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ECB5D" w14:textId="49906A2F" w:rsidR="000F0ED3" w:rsidRDefault="000F0ED3" w:rsidP="000F0ED3">
      <w:pPr>
        <w:pStyle w:val="Header"/>
        <w:tabs>
          <w:tab w:val="clear" w:pos="4536"/>
        </w:tabs>
        <w:rPr>
          <w:i/>
        </w:rPr>
      </w:pPr>
      <w:r>
        <w:t>TSG-RAN WG1 #87</w:t>
      </w:r>
      <w:r>
        <w:tab/>
        <w:t>R1-161</w:t>
      </w:r>
      <w:r w:rsidR="00637C56">
        <w:t>2775</w:t>
      </w:r>
      <w:bookmarkStart w:id="0" w:name="_GoBack"/>
      <w:bookmarkEnd w:id="0"/>
    </w:p>
    <w:p w14:paraId="08DC72D3" w14:textId="77777777" w:rsidR="000F0ED3" w:rsidRDefault="000F0ED3" w:rsidP="000F0ED3">
      <w:pPr>
        <w:pStyle w:val="Header"/>
        <w:rPr>
          <w:color w:val="000000"/>
        </w:rPr>
      </w:pPr>
      <w:r>
        <w:t>Reno, Nevada, US, November 14 – 18, 2016</w:t>
      </w:r>
    </w:p>
    <w:p w14:paraId="0C2DB96F" w14:textId="77777777" w:rsidR="000F0ED3" w:rsidRDefault="000F0ED3" w:rsidP="000F0ED3">
      <w:pPr>
        <w:pStyle w:val="Header"/>
      </w:pPr>
    </w:p>
    <w:p w14:paraId="512F9451" w14:textId="77777777" w:rsidR="000F0ED3" w:rsidRDefault="000F0ED3" w:rsidP="000F0ED3">
      <w:pPr>
        <w:pStyle w:val="Header"/>
        <w:tabs>
          <w:tab w:val="clear" w:pos="4536"/>
          <w:tab w:val="left" w:pos="1800"/>
        </w:tabs>
        <w:ind w:left="1800" w:hanging="1800"/>
      </w:pPr>
      <w:r>
        <w:t>Source:</w:t>
      </w:r>
      <w:r>
        <w:tab/>
        <w:t>Ericsson</w:t>
      </w:r>
    </w:p>
    <w:p w14:paraId="2959BBB9" w14:textId="01CC35EF" w:rsidR="000F0ED3" w:rsidRDefault="000F0ED3" w:rsidP="000F0ED3">
      <w:pPr>
        <w:pStyle w:val="Header"/>
        <w:tabs>
          <w:tab w:val="clear" w:pos="4536"/>
          <w:tab w:val="left" w:pos="1800"/>
        </w:tabs>
      </w:pPr>
      <w:r>
        <w:t>Title:</w:t>
      </w:r>
      <w:bookmarkStart w:id="1" w:name="Title"/>
      <w:bookmarkEnd w:id="1"/>
      <w:r>
        <w:tab/>
        <w:t xml:space="preserve">On </w:t>
      </w:r>
      <w:r w:rsidR="00CA4D04">
        <w:t>C</w:t>
      </w:r>
      <w:r w:rsidR="00C15550">
        <w:t>oexistence</w:t>
      </w:r>
      <w:r w:rsidR="00CA4D04">
        <w:t xml:space="preserve"> between LTE and NR</w:t>
      </w:r>
    </w:p>
    <w:p w14:paraId="728368F1" w14:textId="2DDA4A02" w:rsidR="000F0ED3" w:rsidRDefault="000F0ED3" w:rsidP="000F0ED3">
      <w:pPr>
        <w:pStyle w:val="Header"/>
        <w:tabs>
          <w:tab w:val="left" w:pos="1800"/>
        </w:tabs>
      </w:pPr>
      <w:r>
        <w:t>Agenda Item:</w:t>
      </w:r>
      <w:bookmarkStart w:id="2" w:name="Source"/>
      <w:bookmarkEnd w:id="2"/>
      <w:r>
        <w:tab/>
      </w:r>
      <w:r w:rsidR="00535DE9">
        <w:t>7.1.7</w:t>
      </w:r>
    </w:p>
    <w:p w14:paraId="365DE35B" w14:textId="77777777" w:rsidR="000F0ED3" w:rsidRDefault="000F0ED3" w:rsidP="000F0ED3">
      <w:pPr>
        <w:pStyle w:val="Header"/>
        <w:tabs>
          <w:tab w:val="left" w:pos="1800"/>
        </w:tabs>
      </w:pPr>
      <w:r>
        <w:t>Document for:</w:t>
      </w:r>
      <w:r>
        <w:tab/>
      </w:r>
      <w:bookmarkStart w:id="3" w:name="DocumentFor"/>
      <w:bookmarkEnd w:id="3"/>
      <w:r>
        <w:t>Discussion and Decision</w:t>
      </w:r>
    </w:p>
    <w:p w14:paraId="4AE7F300" w14:textId="77777777" w:rsidR="000F0ED3" w:rsidRDefault="000F0ED3" w:rsidP="000F0ED3">
      <w:pPr>
        <w:pBdr>
          <w:bottom w:val="single" w:sz="4" w:space="1" w:color="auto"/>
        </w:pBdr>
        <w:tabs>
          <w:tab w:val="left" w:pos="2552"/>
        </w:tabs>
      </w:pPr>
    </w:p>
    <w:p w14:paraId="3F6211C7" w14:textId="77777777" w:rsidR="00F73844" w:rsidRDefault="000F0ED3" w:rsidP="000F0ED3">
      <w:pPr>
        <w:pStyle w:val="Heading1"/>
        <w:rPr>
          <w:b/>
          <w:bCs/>
        </w:rPr>
      </w:pPr>
      <w:r>
        <w:rPr>
          <w:b/>
          <w:bCs/>
        </w:rPr>
        <w:t>Introduction</w:t>
      </w:r>
    </w:p>
    <w:p w14:paraId="3050E3C6" w14:textId="77777777" w:rsidR="00F73844" w:rsidRDefault="00F73844" w:rsidP="00F73844">
      <w:pPr>
        <w:spacing w:after="120"/>
        <w:jc w:val="both"/>
        <w:rPr>
          <w:rFonts w:eastAsia="MS Mincho"/>
        </w:rPr>
      </w:pPr>
      <w:r>
        <w:rPr>
          <w:rFonts w:eastAsia="MS Mincho"/>
        </w:rPr>
        <w:t xml:space="preserve">In RAN1 #86b the following </w:t>
      </w:r>
      <w:r w:rsidR="002C7AD7">
        <w:rPr>
          <w:rFonts w:eastAsia="MS Mincho"/>
        </w:rPr>
        <w:t xml:space="preserve">was agreed </w:t>
      </w:r>
      <w:r>
        <w:rPr>
          <w:rFonts w:eastAsia="MS Mincho"/>
        </w:rPr>
        <w:fldChar w:fldCharType="begin"/>
      </w:r>
      <w:r>
        <w:rPr>
          <w:rFonts w:eastAsia="MS Mincho"/>
        </w:rPr>
        <w:instrText xml:space="preserve"> REF _Ref465264559 \n \h </w:instrText>
      </w:r>
      <w:r>
        <w:rPr>
          <w:rFonts w:eastAsia="MS Mincho"/>
        </w:rPr>
      </w:r>
      <w:r>
        <w:rPr>
          <w:rFonts w:eastAsia="MS Mincho"/>
        </w:rPr>
        <w:fldChar w:fldCharType="separate"/>
      </w:r>
      <w:r>
        <w:rPr>
          <w:rFonts w:eastAsia="MS Mincho"/>
        </w:rPr>
        <w:t>[1]</w:t>
      </w:r>
      <w:r>
        <w:rPr>
          <w:rFonts w:eastAsia="MS Mincho"/>
        </w:rPr>
        <w:fldChar w:fldCharType="end"/>
      </w:r>
      <w:r>
        <w:rPr>
          <w:rFonts w:eastAsia="MS Mincho"/>
        </w:rPr>
        <w:t>:</w:t>
      </w:r>
    </w:p>
    <w:p w14:paraId="2A3EECA9" w14:textId="77777777" w:rsidR="00C15550" w:rsidRPr="00857EFA" w:rsidRDefault="00C15550" w:rsidP="00C15550">
      <w:pPr>
        <w:rPr>
          <w:rFonts w:eastAsia="MS Mincho"/>
          <w:szCs w:val="20"/>
          <w:lang w:eastAsia="ja-JP"/>
        </w:rPr>
      </w:pPr>
      <w:r w:rsidRPr="00857EFA">
        <w:rPr>
          <w:rFonts w:eastAsia="MS Mincho"/>
          <w:szCs w:val="20"/>
          <w:highlight w:val="green"/>
          <w:lang w:eastAsia="ja-JP"/>
        </w:rPr>
        <w:t>Agreements:</w:t>
      </w:r>
    </w:p>
    <w:p w14:paraId="4B09DF0B" w14:textId="77777777" w:rsidR="00C15550" w:rsidRPr="00857EFA" w:rsidRDefault="00C15550" w:rsidP="00C15550">
      <w:pPr>
        <w:numPr>
          <w:ilvl w:val="0"/>
          <w:numId w:val="5"/>
        </w:numPr>
        <w:rPr>
          <w:rFonts w:eastAsia="MS Mincho"/>
          <w:szCs w:val="20"/>
          <w:lang w:eastAsia="ja-JP"/>
        </w:rPr>
      </w:pPr>
      <w:r w:rsidRPr="00857EFA">
        <w:rPr>
          <w:rFonts w:eastAsia="MS Mincho"/>
          <w:szCs w:val="20"/>
          <w:lang w:eastAsia="ja-JP"/>
        </w:rPr>
        <w:t>To support the efficient coexistence between NR and LTE operating in the same licensed frequency band,</w:t>
      </w:r>
    </w:p>
    <w:p w14:paraId="54BE860E" w14:textId="77777777" w:rsidR="00C15550" w:rsidRPr="00857EFA" w:rsidRDefault="00C15550" w:rsidP="00C15550">
      <w:pPr>
        <w:numPr>
          <w:ilvl w:val="1"/>
          <w:numId w:val="5"/>
        </w:numPr>
        <w:rPr>
          <w:rFonts w:eastAsia="MS Mincho"/>
          <w:szCs w:val="20"/>
          <w:lang w:eastAsia="ja-JP"/>
        </w:rPr>
      </w:pPr>
      <w:r w:rsidRPr="00857EFA">
        <w:rPr>
          <w:rFonts w:eastAsia="MS Mincho"/>
          <w:szCs w:val="20"/>
          <w:lang w:eastAsia="ja-JP"/>
        </w:rPr>
        <w:t>At least legacy LTE features should be considered in the NR study, e.g.:</w:t>
      </w:r>
    </w:p>
    <w:p w14:paraId="2C29B7DB"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MBSFN configuration (for LTE Rel-8 and beyond)</w:t>
      </w:r>
    </w:p>
    <w:p w14:paraId="577F0E32"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TDD UL subframe (for LTE Rel-8 and beyond)</w:t>
      </w:r>
    </w:p>
    <w:p w14:paraId="40507280"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SCell activation/deactivation (for LTE Rel-10 and beyond)</w:t>
      </w:r>
    </w:p>
    <w:p w14:paraId="69456646"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TDD UL subframe configured by eIMTA feature (for LTE Rel-12 and beyond)</w:t>
      </w:r>
    </w:p>
    <w:p w14:paraId="26717A1A" w14:textId="77777777" w:rsidR="00C15550" w:rsidRPr="00857EFA" w:rsidRDefault="00C15550" w:rsidP="00C15550">
      <w:pPr>
        <w:numPr>
          <w:ilvl w:val="1"/>
          <w:numId w:val="5"/>
        </w:numPr>
        <w:rPr>
          <w:rFonts w:eastAsia="MS Mincho"/>
          <w:szCs w:val="20"/>
          <w:lang w:eastAsia="ja-JP"/>
        </w:rPr>
      </w:pPr>
      <w:r w:rsidRPr="00857EFA">
        <w:rPr>
          <w:rFonts w:eastAsia="MS Mincho"/>
          <w:szCs w:val="20"/>
          <w:lang w:eastAsia="ja-JP"/>
        </w:rPr>
        <w:t>NR should study the following candidate mechanisms for coexistence:</w:t>
      </w:r>
    </w:p>
    <w:p w14:paraId="6A65F5C9"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Resource indication (e.g., blank resources, available resources, etc.) of time/frequency resources</w:t>
      </w:r>
    </w:p>
    <w:p w14:paraId="6492FEA7"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Reconfiguring channel bandwidth/carriers monitored by UEs</w:t>
      </w:r>
    </w:p>
    <w:p w14:paraId="76403650"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Any other mechanisms are not precluded.</w:t>
      </w:r>
    </w:p>
    <w:p w14:paraId="18709F9D" w14:textId="77777777" w:rsidR="00C15550" w:rsidRPr="00857EFA" w:rsidRDefault="00C15550" w:rsidP="00C15550">
      <w:pPr>
        <w:numPr>
          <w:ilvl w:val="1"/>
          <w:numId w:val="5"/>
        </w:numPr>
        <w:rPr>
          <w:rFonts w:eastAsia="MS Mincho"/>
          <w:szCs w:val="20"/>
          <w:lang w:eastAsia="ja-JP"/>
        </w:rPr>
      </w:pPr>
      <w:r w:rsidRPr="00857EFA">
        <w:rPr>
          <w:rFonts w:eastAsia="MS Mincho"/>
          <w:szCs w:val="20"/>
          <w:lang w:eastAsia="ja-JP"/>
        </w:rPr>
        <w:t>For non co-located LTE/NR case, backhaul signaling between LTE and NR can be studied to mitigate inter-cell interference.</w:t>
      </w:r>
    </w:p>
    <w:p w14:paraId="33A809F3"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FFS on which information can be conveyed on the backhaul signaling</w:t>
      </w:r>
    </w:p>
    <w:p w14:paraId="509286CB"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Over-the-air listening at the gNB can also be considered</w:t>
      </w:r>
    </w:p>
    <w:p w14:paraId="2049F995" w14:textId="77777777" w:rsidR="00C15550" w:rsidRPr="00857EFA" w:rsidRDefault="00C15550" w:rsidP="00C15550">
      <w:pPr>
        <w:numPr>
          <w:ilvl w:val="1"/>
          <w:numId w:val="5"/>
        </w:numPr>
        <w:rPr>
          <w:rFonts w:eastAsia="MS Mincho"/>
          <w:szCs w:val="20"/>
          <w:lang w:eastAsia="ja-JP"/>
        </w:rPr>
      </w:pPr>
      <w:r w:rsidRPr="00857EFA">
        <w:rPr>
          <w:rFonts w:eastAsia="MS Mincho"/>
          <w:szCs w:val="20"/>
          <w:lang w:eastAsia="ja-JP"/>
        </w:rPr>
        <w:t>Note: Dynamic switch between NR and LTE can be studied from the perspective of network for co-located LTE/NR case.</w:t>
      </w:r>
    </w:p>
    <w:p w14:paraId="50F888D1" w14:textId="77777777" w:rsidR="00C15550" w:rsidRDefault="00C15550" w:rsidP="00F73844">
      <w:pPr>
        <w:spacing w:after="120"/>
        <w:jc w:val="both"/>
        <w:rPr>
          <w:rFonts w:eastAsia="MS Mincho"/>
        </w:rPr>
      </w:pPr>
    </w:p>
    <w:p w14:paraId="69A5A2E6" w14:textId="77777777" w:rsidR="002C7AD7" w:rsidRDefault="002C7AD7" w:rsidP="00F73844">
      <w:pPr>
        <w:spacing w:after="120"/>
        <w:jc w:val="both"/>
        <w:rPr>
          <w:rFonts w:eastAsia="MS Mincho"/>
        </w:rPr>
      </w:pPr>
      <w:r>
        <w:rPr>
          <w:rFonts w:eastAsia="MS Mincho"/>
        </w:rPr>
        <w:t>In this contribution, we discuss the various aspects of efficient coexistence between NR and LTE and the implications of such coexistence for NR design.</w:t>
      </w:r>
    </w:p>
    <w:p w14:paraId="12673DC1" w14:textId="77777777" w:rsidR="00F73844" w:rsidRDefault="002C7AD7" w:rsidP="000F0ED3">
      <w:pPr>
        <w:pStyle w:val="Heading1"/>
        <w:rPr>
          <w:b/>
          <w:bCs/>
        </w:rPr>
      </w:pPr>
      <w:r>
        <w:rPr>
          <w:b/>
          <w:bCs/>
        </w:rPr>
        <w:t>Discussion</w:t>
      </w:r>
    </w:p>
    <w:p w14:paraId="1DB8D3AE" w14:textId="77777777" w:rsidR="00351C2C" w:rsidRDefault="002C7AD7" w:rsidP="00F73844">
      <w:r>
        <w:t>The key motivation for coexistence of NR and LTE in the same frequency band is to ensure a smooth migration path for the band from LTE to NR.</w:t>
      </w:r>
      <w:r w:rsidR="00351C2C">
        <w:t xml:space="preserve"> From this perspective, it is beneficial to be able to support both LTE and NR UEs in the same band during the transition period from LTE to NR. Furthermore, the granularity with which resources can be partitioned between LTE and NR will determine the efficiency of the system during the migration.</w:t>
      </w:r>
    </w:p>
    <w:p w14:paraId="569D8763" w14:textId="77777777" w:rsidR="00351C2C" w:rsidRDefault="00351C2C" w:rsidP="00F73844"/>
    <w:p w14:paraId="745FBE3F" w14:textId="123DD437" w:rsidR="000E353C" w:rsidRDefault="00351C2C" w:rsidP="00F73844">
      <w:r>
        <w:t>Assuming that when LTE and NR coexist in a band, both should provide comprehensive coverage in the service area, LTE and NR can potentially share resources in frequency and/or time. The simplest method for sharing resources in frequency is to operate NR and LTE on separate carriers in the same band</w:t>
      </w:r>
      <w:r w:rsidR="004566A7">
        <w:t xml:space="preserve"> as shown in </w:t>
      </w:r>
      <w:r w:rsidR="004566A7" w:rsidRPr="004566A7">
        <w:fldChar w:fldCharType="begin"/>
      </w:r>
      <w:r w:rsidR="004566A7" w:rsidRPr="004566A7">
        <w:instrText xml:space="preserve"> REF _Ref465803939 \h  \* MERGEFORMAT </w:instrText>
      </w:r>
      <w:r w:rsidR="004566A7" w:rsidRPr="004566A7">
        <w:fldChar w:fldCharType="separate"/>
      </w:r>
      <w:r w:rsidR="004566A7" w:rsidRPr="004566A7">
        <w:t xml:space="preserve">Figure </w:t>
      </w:r>
      <w:r w:rsidR="004566A7" w:rsidRPr="004566A7">
        <w:rPr>
          <w:noProof/>
        </w:rPr>
        <w:t>1</w:t>
      </w:r>
      <w:r w:rsidR="004566A7" w:rsidRPr="004566A7">
        <w:fldChar w:fldCharType="end"/>
      </w:r>
      <w:r>
        <w:t xml:space="preserve">. </w:t>
      </w:r>
      <w:r w:rsidR="000E353C">
        <w:t>For instance, when migrating a 2</w:t>
      </w:r>
      <w:r>
        <w:t xml:space="preserve">0 MHz carrier in a band to NR, the </w:t>
      </w:r>
      <w:r w:rsidR="00B45314">
        <w:t>2</w:t>
      </w:r>
      <w:r>
        <w:t>0 MHz bandwidth could be partition</w:t>
      </w:r>
      <w:r w:rsidR="000E353C">
        <w:t>ed so that it is served by two 10</w:t>
      </w:r>
      <w:r>
        <w:t xml:space="preserve"> MHz carriers with one carrier operating NR and the other one operating LTE. Other bandwidth configurations could be used as well. While thi</w:t>
      </w:r>
      <w:r w:rsidR="005C1FFB">
        <w:t xml:space="preserve">s is the simplest option, it has limited granularity due to the limited number of bandwidths supported by LTE. </w:t>
      </w:r>
      <w:r w:rsidR="00381AA2">
        <w:t>Furthermore, the sharing of resources between NR and LTE cannot be adjusted very dynamically.</w:t>
      </w:r>
    </w:p>
    <w:p w14:paraId="18127C90" w14:textId="77777777" w:rsidR="005C1FFB" w:rsidRDefault="005C1FFB" w:rsidP="00F73844"/>
    <w:p w14:paraId="18415597" w14:textId="77777777" w:rsidR="005C1FFB" w:rsidRDefault="00B33FD2" w:rsidP="00F73844">
      <w:r>
        <w:rPr>
          <w:b/>
        </w:rPr>
        <w:t>Observation</w:t>
      </w:r>
      <w:r w:rsidR="005C1FFB">
        <w:rPr>
          <w:b/>
        </w:rPr>
        <w:t xml:space="preserve">: </w:t>
      </w:r>
      <w:r w:rsidR="005C1FFB">
        <w:t>Operation of NR and LTE on separate carriers can be used for coexistence of NR and LTE in the same band.</w:t>
      </w:r>
    </w:p>
    <w:p w14:paraId="1D7D3AF4" w14:textId="77777777" w:rsidR="005C1FFB" w:rsidRDefault="00E558C4" w:rsidP="00F73844">
      <w:r>
        <w:tab/>
      </w:r>
    </w:p>
    <w:p w14:paraId="684B65D9" w14:textId="77777777" w:rsidR="00E558C4" w:rsidRDefault="004566A7" w:rsidP="00930ECB">
      <w:pPr>
        <w:jc w:val="center"/>
      </w:pPr>
      <w:r>
        <w:rPr>
          <w:noProof/>
        </w:rPr>
        <w:lastRenderedPageBreak/>
        <w:drawing>
          <wp:inline distT="0" distB="0" distL="0" distR="0" wp14:anchorId="700A2137" wp14:editId="4FA92A06">
            <wp:extent cx="2014143" cy="1598114"/>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23748" cy="1605735"/>
                    </a:xfrm>
                    <a:prstGeom prst="rect">
                      <a:avLst/>
                    </a:prstGeom>
                    <a:noFill/>
                  </pic:spPr>
                </pic:pic>
              </a:graphicData>
            </a:graphic>
          </wp:inline>
        </w:drawing>
      </w:r>
    </w:p>
    <w:p w14:paraId="2F8F336A" w14:textId="77777777" w:rsidR="00E558C4" w:rsidRDefault="004566A7" w:rsidP="004566A7">
      <w:pPr>
        <w:jc w:val="center"/>
      </w:pPr>
      <w:bookmarkStart w:id="4" w:name="_Ref465803939"/>
      <w:r w:rsidRPr="004566A7">
        <w:rPr>
          <w:b/>
        </w:rPr>
        <w:t xml:space="preserve">Figure </w:t>
      </w:r>
      <w:r w:rsidRPr="004566A7">
        <w:rPr>
          <w:b/>
        </w:rPr>
        <w:fldChar w:fldCharType="begin"/>
      </w:r>
      <w:r w:rsidRPr="004566A7">
        <w:rPr>
          <w:b/>
        </w:rPr>
        <w:instrText xml:space="preserve"> SEQ Figure \* ARABIC </w:instrText>
      </w:r>
      <w:r w:rsidRPr="004566A7">
        <w:rPr>
          <w:b/>
        </w:rPr>
        <w:fldChar w:fldCharType="separate"/>
      </w:r>
      <w:r w:rsidRPr="004566A7">
        <w:rPr>
          <w:b/>
          <w:noProof/>
        </w:rPr>
        <w:t>1</w:t>
      </w:r>
      <w:r w:rsidRPr="004566A7">
        <w:rPr>
          <w:b/>
        </w:rPr>
        <w:fldChar w:fldCharType="end"/>
      </w:r>
      <w:bookmarkEnd w:id="4"/>
      <w:r>
        <w:t>: Coexistence between LTE and NR in the same band on separate carriers</w:t>
      </w:r>
    </w:p>
    <w:p w14:paraId="23B42D78" w14:textId="77777777" w:rsidR="004566A7" w:rsidRDefault="004566A7" w:rsidP="00F73844"/>
    <w:p w14:paraId="524124C4" w14:textId="77777777" w:rsidR="00B33FD2" w:rsidRDefault="005C1FFB" w:rsidP="00F73844">
      <w:r>
        <w:t xml:space="preserve">In order to enable sharing both in time and in frequency, another viable option for coexistence of NR and LTE in the same band is </w:t>
      </w:r>
      <w:r w:rsidR="000E353C">
        <w:t xml:space="preserve">to use SCell activation/deactivation mechanisms in LTE. For instance, a single 20 MHz carrier operating LTE can be partitioned into four 5 MHz carriers. LTE UEs could be configured with one of the carriers as a PCell and the other carriers as SCells. The carriers designated as SCells may be cleared for NR use for periods of time by deactivating these SCells for all LTE UEs. </w:t>
      </w:r>
      <w:r w:rsidR="00B57761">
        <w:t>NR would have to be designed so that it can operate within such periods. Se</w:t>
      </w:r>
      <w:r w:rsidR="00766F6B">
        <w:t xml:space="preserve">veral design options can be considered for NR. </w:t>
      </w:r>
    </w:p>
    <w:p w14:paraId="282C5AAE" w14:textId="77777777" w:rsidR="00B33FD2" w:rsidRDefault="00B33FD2" w:rsidP="00F73844"/>
    <w:p w14:paraId="489F9921" w14:textId="77777777" w:rsidR="007B330C" w:rsidRDefault="00766F6B" w:rsidP="00F73844">
      <w:r>
        <w:t xml:space="preserve">First we consider non-standalone NR operation. If all the NR UEs are LTE-capable, then, both NR and LTE UEs could use the LTE PCell as the anchor for mobility and obtaining essential system information. The NR-capable UEs could then be informed when the </w:t>
      </w:r>
      <w:r w:rsidR="00192C37">
        <w:t>other carriers are operating as LTE SCells and when they are operating with NR</w:t>
      </w:r>
      <w:r>
        <w:t xml:space="preserve">. The LTE-capable UEs receive and transmit on the SCells only when the SCells are activated. </w:t>
      </w:r>
      <w:r w:rsidR="00F63631">
        <w:t>The turning off and on of NR operation on a carrier can be considered to be akin to the activation and deactivation of SCells for LTE.</w:t>
      </w:r>
      <w:r w:rsidR="00B33FD2">
        <w:t xml:space="preserve"> Such sharing of resources on a carrier is shown in </w:t>
      </w:r>
      <w:r w:rsidR="00B33FD2" w:rsidRPr="00B33FD2">
        <w:fldChar w:fldCharType="begin"/>
      </w:r>
      <w:r w:rsidR="00B33FD2" w:rsidRPr="00B33FD2">
        <w:instrText xml:space="preserve"> REF _Ref465805171 \h  \* MERGEFORMAT </w:instrText>
      </w:r>
      <w:r w:rsidR="00B33FD2" w:rsidRPr="00B33FD2">
        <w:fldChar w:fldCharType="separate"/>
      </w:r>
      <w:r w:rsidR="00B33FD2" w:rsidRPr="00B33FD2">
        <w:t xml:space="preserve">Figure </w:t>
      </w:r>
      <w:r w:rsidR="00B33FD2" w:rsidRPr="00B33FD2">
        <w:rPr>
          <w:noProof/>
        </w:rPr>
        <w:t>2</w:t>
      </w:r>
      <w:r w:rsidR="00B33FD2" w:rsidRPr="00B33FD2">
        <w:fldChar w:fldCharType="end"/>
      </w:r>
      <w:r w:rsidR="00B33FD2">
        <w:t>. Based on the above discussion we make the following observation.</w:t>
      </w:r>
    </w:p>
    <w:p w14:paraId="2DC2719D" w14:textId="77777777" w:rsidR="007B330C" w:rsidRDefault="007B330C" w:rsidP="00F73844"/>
    <w:p w14:paraId="178D59B9" w14:textId="77777777" w:rsidR="007B330C" w:rsidRDefault="00B33FD2" w:rsidP="00F73844">
      <w:r>
        <w:rPr>
          <w:b/>
        </w:rPr>
        <w:t>Observation</w:t>
      </w:r>
      <w:r w:rsidR="007B330C">
        <w:rPr>
          <w:b/>
        </w:rPr>
        <w:t xml:space="preserve">: </w:t>
      </w:r>
      <w:r w:rsidR="00ED4710">
        <w:t>LTE and n</w:t>
      </w:r>
      <w:r w:rsidR="00371ED4">
        <w:t xml:space="preserve">on-standalone NR with LTE-capable UEs </w:t>
      </w:r>
      <w:r w:rsidR="00F63631">
        <w:t>can coexist on a carrier and share resources in time if the carrier is configured as an SCell for all UEs operating with LTE on the carrier.</w:t>
      </w:r>
    </w:p>
    <w:p w14:paraId="24B7BED6" w14:textId="77777777" w:rsidR="00B33FD2" w:rsidRPr="00B33FD2" w:rsidRDefault="00B33FD2" w:rsidP="00F73844"/>
    <w:p w14:paraId="3820ED29" w14:textId="77777777" w:rsidR="00930ECB" w:rsidRDefault="00930ECB" w:rsidP="00F73844"/>
    <w:p w14:paraId="62371A6E" w14:textId="77777777" w:rsidR="00930ECB" w:rsidRDefault="00930ECB" w:rsidP="00930ECB">
      <w:pPr>
        <w:jc w:val="center"/>
      </w:pPr>
      <w:r>
        <w:rPr>
          <w:noProof/>
        </w:rPr>
        <w:drawing>
          <wp:inline distT="0" distB="0" distL="0" distR="0" wp14:anchorId="27BE0983" wp14:editId="407FBE8E">
            <wp:extent cx="2098238" cy="16648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30115" cy="1690131"/>
                    </a:xfrm>
                    <a:prstGeom prst="rect">
                      <a:avLst/>
                    </a:prstGeom>
                    <a:noFill/>
                  </pic:spPr>
                </pic:pic>
              </a:graphicData>
            </a:graphic>
          </wp:inline>
        </w:drawing>
      </w:r>
    </w:p>
    <w:p w14:paraId="76FDD44F" w14:textId="77777777" w:rsidR="00930ECB" w:rsidRDefault="00930ECB" w:rsidP="00930ECB">
      <w:pPr>
        <w:jc w:val="center"/>
      </w:pPr>
      <w:bookmarkStart w:id="5" w:name="_Ref465805171"/>
      <w:r w:rsidRPr="004566A7">
        <w:rPr>
          <w:b/>
        </w:rPr>
        <w:t xml:space="preserve">Figure </w:t>
      </w:r>
      <w:r w:rsidRPr="004566A7">
        <w:rPr>
          <w:b/>
        </w:rPr>
        <w:fldChar w:fldCharType="begin"/>
      </w:r>
      <w:r w:rsidRPr="004566A7">
        <w:rPr>
          <w:b/>
        </w:rPr>
        <w:instrText xml:space="preserve"> SEQ Figure \* ARABIC </w:instrText>
      </w:r>
      <w:r w:rsidRPr="004566A7">
        <w:rPr>
          <w:b/>
        </w:rPr>
        <w:fldChar w:fldCharType="separate"/>
      </w:r>
      <w:r>
        <w:rPr>
          <w:b/>
          <w:noProof/>
        </w:rPr>
        <w:t>2</w:t>
      </w:r>
      <w:r w:rsidRPr="004566A7">
        <w:rPr>
          <w:b/>
        </w:rPr>
        <w:fldChar w:fldCharType="end"/>
      </w:r>
      <w:bookmarkEnd w:id="5"/>
      <w:r>
        <w:t>: Coexistence between LTE and non-standalone NR in the same band on the same carrier</w:t>
      </w:r>
    </w:p>
    <w:p w14:paraId="02C6DF8D" w14:textId="77777777" w:rsidR="007B330C" w:rsidRDefault="007B330C" w:rsidP="00F73844"/>
    <w:p w14:paraId="227AD9A6" w14:textId="77777777" w:rsidR="005C1FFB" w:rsidRDefault="00766F6B" w:rsidP="00F73844">
      <w:r>
        <w:t xml:space="preserve">For standalone NR operation, the activation and deactivation times for LTE SCells makes the operation of NR in a standalone manner in the carriers configured as LTE SCells somewhat challenging. The worst case activation time for an LAA SCell could be more than 24 ms although the typical activation time is probably less than 10 ms. Similarly, the deactivation time is in the order of 8 ms as well. Hence, the smallest duration where the LTE SCell remains activated, without the activation and deactivation delays causing excessive overhead, is in the order of many tens of ms. While NR could potentially operate on a carrier where the carrier is unavailable for long periods such as this, it is probably not the best option especially from a latency perspective. One design option for NR to better make use of these periods where the LAA SCells are deactivated is to adopt carrier aggregation similar to LTE. In such a situation, </w:t>
      </w:r>
      <w:r w:rsidR="00F63631">
        <w:t xml:space="preserve">there would be a dedicated NR carrier and a separate dedicated LTE carrier. The other carriers are then configured as SCells for both the NR and LTE UEs. On each of these carriers, either an LTE SCell or an NR SCell is activated at any given time but both are not activated. </w:t>
      </w:r>
      <w:r w:rsidR="00246230">
        <w:t xml:space="preserve">Such operation is shown in </w:t>
      </w:r>
      <w:r w:rsidR="00246230" w:rsidRPr="00246230">
        <w:fldChar w:fldCharType="begin"/>
      </w:r>
      <w:r w:rsidR="00246230" w:rsidRPr="00246230">
        <w:instrText xml:space="preserve"> REF _Ref465806101 \h  \* MERGEFORMAT </w:instrText>
      </w:r>
      <w:r w:rsidR="00246230" w:rsidRPr="00246230">
        <w:fldChar w:fldCharType="separate"/>
      </w:r>
      <w:r w:rsidR="00246230" w:rsidRPr="00246230">
        <w:t xml:space="preserve">Figure </w:t>
      </w:r>
      <w:r w:rsidR="00246230" w:rsidRPr="00246230">
        <w:rPr>
          <w:noProof/>
        </w:rPr>
        <w:t>3</w:t>
      </w:r>
      <w:r w:rsidR="00246230" w:rsidRPr="00246230">
        <w:fldChar w:fldCharType="end"/>
      </w:r>
      <w:r w:rsidR="00246230" w:rsidRPr="00246230">
        <w:t xml:space="preserve">. </w:t>
      </w:r>
      <w:r w:rsidR="00246230">
        <w:t>Considering the above, we make the following observation and proposal.</w:t>
      </w:r>
    </w:p>
    <w:p w14:paraId="5DFC7C56" w14:textId="77777777" w:rsidR="00B33FD2" w:rsidRDefault="00B33FD2" w:rsidP="00F73844"/>
    <w:p w14:paraId="3A3AE794" w14:textId="77777777" w:rsidR="00B33FD2" w:rsidRDefault="00B33FD2" w:rsidP="00B33FD2">
      <w:r>
        <w:rPr>
          <w:b/>
        </w:rPr>
        <w:lastRenderedPageBreak/>
        <w:t xml:space="preserve">Observation: </w:t>
      </w:r>
      <w:r>
        <w:t>Standalone NR and LTE can coexist on a carrier and share resources in time if the carrier is configured as an SCell for all UEs operating with LTE on the carrier and if it is aggregated with a separate dedicated NR carrier for all UEs operating with NR.</w:t>
      </w:r>
    </w:p>
    <w:p w14:paraId="00D2E7AB" w14:textId="77777777" w:rsidR="00246230" w:rsidRDefault="00246230" w:rsidP="00B33FD2"/>
    <w:p w14:paraId="360E48DD" w14:textId="77777777" w:rsidR="00246230" w:rsidRPr="00246230" w:rsidRDefault="00246230" w:rsidP="00B33FD2">
      <w:r>
        <w:rPr>
          <w:b/>
        </w:rPr>
        <w:t xml:space="preserve">Proposal: </w:t>
      </w:r>
      <w:r>
        <w:t>NR should support carrier aggregation of multiple NR carriers as in LTE.</w:t>
      </w:r>
    </w:p>
    <w:p w14:paraId="5D0E1389" w14:textId="77777777" w:rsidR="00B33FD2" w:rsidRDefault="00B33FD2" w:rsidP="00B33FD2"/>
    <w:p w14:paraId="00105E7E" w14:textId="77777777" w:rsidR="00B33FD2" w:rsidRDefault="005600AD" w:rsidP="00BE732C">
      <w:pPr>
        <w:jc w:val="center"/>
      </w:pPr>
      <w:r>
        <w:rPr>
          <w:noProof/>
        </w:rPr>
        <w:drawing>
          <wp:inline distT="0" distB="0" distL="0" distR="0" wp14:anchorId="7FBE30DD" wp14:editId="3E6581FA">
            <wp:extent cx="2572932" cy="177442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1923" cy="1780629"/>
                    </a:xfrm>
                    <a:prstGeom prst="rect">
                      <a:avLst/>
                    </a:prstGeom>
                    <a:noFill/>
                  </pic:spPr>
                </pic:pic>
              </a:graphicData>
            </a:graphic>
          </wp:inline>
        </w:drawing>
      </w:r>
    </w:p>
    <w:p w14:paraId="0F05B495" w14:textId="77777777" w:rsidR="00B33FD2" w:rsidRDefault="00BF57FF" w:rsidP="00BF57FF">
      <w:pPr>
        <w:jc w:val="center"/>
      </w:pPr>
      <w:bookmarkStart w:id="6" w:name="_Ref465806101"/>
      <w:r w:rsidRPr="004566A7">
        <w:rPr>
          <w:b/>
        </w:rPr>
        <w:t xml:space="preserve">Figure </w:t>
      </w:r>
      <w:r w:rsidRPr="004566A7">
        <w:rPr>
          <w:b/>
        </w:rPr>
        <w:fldChar w:fldCharType="begin"/>
      </w:r>
      <w:r w:rsidRPr="004566A7">
        <w:rPr>
          <w:b/>
        </w:rPr>
        <w:instrText xml:space="preserve"> SEQ Figure \* ARABIC </w:instrText>
      </w:r>
      <w:r w:rsidRPr="004566A7">
        <w:rPr>
          <w:b/>
        </w:rPr>
        <w:fldChar w:fldCharType="separate"/>
      </w:r>
      <w:r>
        <w:rPr>
          <w:b/>
          <w:noProof/>
        </w:rPr>
        <w:t>3</w:t>
      </w:r>
      <w:r w:rsidRPr="004566A7">
        <w:rPr>
          <w:b/>
        </w:rPr>
        <w:fldChar w:fldCharType="end"/>
      </w:r>
      <w:bookmarkEnd w:id="6"/>
      <w:r>
        <w:t>: Coexistence between LTE and standalone NR in the same band on the same carriers</w:t>
      </w:r>
    </w:p>
    <w:p w14:paraId="68ED836E" w14:textId="77777777" w:rsidR="00F63631" w:rsidRDefault="00F63631" w:rsidP="00F73844"/>
    <w:p w14:paraId="7AD80F82" w14:textId="4CBCC46D" w:rsidR="00B16A2C" w:rsidRDefault="007E212B" w:rsidP="00F73844">
      <w:r>
        <w:t>Other modes of ope</w:t>
      </w:r>
      <w:r w:rsidR="005600AD">
        <w:t>ration that allow NR and LTE coexistence in a band on the same carrier in a more dynamic way include the use of MBSFN subframes in LTE as well as the use of uplink subframes where no UEs are scheduled for uplink transmissions in TDD bands. With the use of MBSFN subframes on an LTE carrier, the 12 OFDM symbols in a subframe excluding the firs</w:t>
      </w:r>
      <w:r w:rsidR="00B16A2C">
        <w:t xml:space="preserve">t two symbols can be made available for use by NR. However, this approach has some limitations. First, it puts a restriction on the maximum length of an NR transmission in a subframe. Secondly, it also puts a restriction that NR synchronization and reference signals cannot appear in the first two symbols of any subframe. However, if these constraints can be met, then the use of MBSFN subframes may be a feasible approach. Similarly, the use of uplink subframes on a carrier is a possibility but comes with some significant constraints. First, this is not a solution that is applicable in FDD spectrum. Secondly, similar to the MBSFN subframe case, NR design should be such that the </w:t>
      </w:r>
      <w:r w:rsidR="00794EA4">
        <w:t>need for transmission of</w:t>
      </w:r>
      <w:r w:rsidR="00B16A2C">
        <w:t xml:space="preserve"> reference and synchronization signals </w:t>
      </w:r>
      <w:r w:rsidR="00794EA4">
        <w:t xml:space="preserve">or other signals or channels due to fixed timing relationships </w:t>
      </w:r>
      <w:r w:rsidR="00B16A2C">
        <w:t>in LTE downlink subframes is avoided.</w:t>
      </w:r>
      <w:r w:rsidR="00AE069B">
        <w:t xml:space="preserve"> This leads us to the following observation.</w:t>
      </w:r>
    </w:p>
    <w:p w14:paraId="4DD7E237" w14:textId="77777777" w:rsidR="00AE069B" w:rsidRDefault="00AE069B" w:rsidP="00F73844"/>
    <w:p w14:paraId="6E0E38B6" w14:textId="25A1C19D" w:rsidR="00AE069B" w:rsidRDefault="00AE069B" w:rsidP="00F73844">
      <w:r>
        <w:rPr>
          <w:b/>
        </w:rPr>
        <w:t xml:space="preserve">Observation: </w:t>
      </w:r>
      <w:r>
        <w:t xml:space="preserve">MBSFN subframes and UL subframes on an LTE carrier can potentially be used for sharing a carrier with NR, but such solutions may </w:t>
      </w:r>
      <w:r w:rsidR="00381AA2">
        <w:t xml:space="preserve">have some limitations and </w:t>
      </w:r>
      <w:r>
        <w:t>not be applicable in some important cases.</w:t>
      </w:r>
    </w:p>
    <w:p w14:paraId="32A28B10" w14:textId="77777777" w:rsidR="00086A4B" w:rsidRDefault="00086A4B" w:rsidP="00F73844"/>
    <w:p w14:paraId="7E146814" w14:textId="28E6C5D9" w:rsidR="00766E0F" w:rsidRDefault="00766E0F" w:rsidP="00F73844">
      <w:r>
        <w:t>LTE MTC and NB-IoT do not make use of the LTE control channel region in the beginning of the LTE downlink subframes. This means that in scenarios where the focus is on coexistence between NR and LTE MTC or NB-IoT, NR signals can be allocated to the first one or few symbols in each downlink subframe. Furthermore, in both LTE MTC and NB-IoT, a valid downlink subframe bitmap can be configured per cell, which allows configuration of LTE MTC and NB-IoT devices so that they avoid transmission in some downlink subframes. LTE MTC also has a corresponding valid uplink subframe bitmap.</w:t>
      </w:r>
    </w:p>
    <w:p w14:paraId="2C251A25" w14:textId="2668B737" w:rsidR="00766E0F" w:rsidRDefault="00766E0F" w:rsidP="00F73844"/>
    <w:p w14:paraId="1A496E2F" w14:textId="52FA876A" w:rsidR="00766E0F" w:rsidRDefault="00766E0F" w:rsidP="00F73844">
      <w:r w:rsidRPr="00C8212E">
        <w:rPr>
          <w:b/>
        </w:rPr>
        <w:t>Observation:</w:t>
      </w:r>
      <w:r>
        <w:t xml:space="preserve"> Coexistence between NR and LTE MTC or NB-IoT can be facilitated by the fact that LTE MTC and NB-IoT devices do not use the LTE control channel region in the beginning of the LTE downlink subframes.</w:t>
      </w:r>
    </w:p>
    <w:p w14:paraId="5A69D2FB" w14:textId="28CFE045" w:rsidR="00766E0F" w:rsidRDefault="00766E0F" w:rsidP="00F73844"/>
    <w:p w14:paraId="04A104FF" w14:textId="08591F79" w:rsidR="00766E0F" w:rsidRDefault="00766E0F" w:rsidP="00766E0F">
      <w:r w:rsidRPr="00012FCF">
        <w:rPr>
          <w:b/>
        </w:rPr>
        <w:t>Observation:</w:t>
      </w:r>
      <w:r>
        <w:t xml:space="preserve"> Coexistence between NR and LTE MTC or NB-IoT can be facilitated by the possibility to configure valid subframe bitmap configurations for the LTE MTC and NB-IoT devices.</w:t>
      </w:r>
    </w:p>
    <w:p w14:paraId="7409959F" w14:textId="77777777" w:rsidR="00766E0F" w:rsidRDefault="00766E0F" w:rsidP="00F73844"/>
    <w:p w14:paraId="20BDC2DA" w14:textId="6FE9B675" w:rsidR="00086A4B" w:rsidRDefault="00086A4B" w:rsidP="00F73844">
      <w:r>
        <w:t xml:space="preserve">From the various methods of coexistence of NR and LTE in the same band discussed above, it is apparent that it is beneficial for NR </w:t>
      </w:r>
      <w:r w:rsidR="00592A97">
        <w:t>to be designed such that it can operate on a carrier when the carrier is not always available. Such constraints are interestingly similar in some cases to operation on carriers in unlicensed spectrum as well. The ability to operate under such constraints is significantly enhanced if NR design minimizes the need for signals that need to be transmitted regularly with high frequency, such as synchronization signals, and if NR design allows for operation even when fixed timing relationships are not feasible, e.g., HARQ feedback always following a transmission after a fixed gap between the original transmission and the feedback.</w:t>
      </w:r>
    </w:p>
    <w:p w14:paraId="2AE8D719" w14:textId="77777777" w:rsidR="00086A4B" w:rsidRDefault="00086A4B" w:rsidP="00F73844">
      <w:pPr>
        <w:rPr>
          <w:b/>
        </w:rPr>
      </w:pPr>
    </w:p>
    <w:p w14:paraId="4190B2DF" w14:textId="77777777" w:rsidR="00086A4B" w:rsidRPr="005C1FFB" w:rsidRDefault="00086A4B" w:rsidP="00F73844">
      <w:r w:rsidRPr="00B33FD2">
        <w:rPr>
          <w:b/>
        </w:rPr>
        <w:t xml:space="preserve">Proposal: </w:t>
      </w:r>
      <w:r>
        <w:t>NR should be designed such that</w:t>
      </w:r>
      <w:r w:rsidR="00592A97">
        <w:t xml:space="preserve"> it can operate on carriers that are not available continuously</w:t>
      </w:r>
      <w:r>
        <w:t>.</w:t>
      </w:r>
      <w:r w:rsidR="00592A97">
        <w:t xml:space="preserve"> Persistent transmission of signals with high frequency and inability to operate without fixed timing relationships should be avoided.</w:t>
      </w:r>
    </w:p>
    <w:p w14:paraId="672AF837" w14:textId="77777777" w:rsidR="00286F19" w:rsidRPr="00286F19" w:rsidRDefault="005600AD" w:rsidP="00286F19">
      <w:pPr>
        <w:pStyle w:val="Heading1"/>
        <w:rPr>
          <w:b/>
          <w:bCs/>
        </w:rPr>
      </w:pPr>
      <w:r>
        <w:rPr>
          <w:b/>
          <w:bCs/>
        </w:rPr>
        <w:lastRenderedPageBreak/>
        <w:t>Conclusions</w:t>
      </w:r>
    </w:p>
    <w:p w14:paraId="768142B3" w14:textId="77777777" w:rsidR="00834A0C" w:rsidRPr="005600AD" w:rsidRDefault="005600AD" w:rsidP="00AA6868">
      <w:r>
        <w:t>We discussed the coexistence of LTE and NR in the same band and made the following observations and proposals.</w:t>
      </w:r>
    </w:p>
    <w:p w14:paraId="57E8BC5F" w14:textId="77777777" w:rsidR="00AA6868" w:rsidRDefault="00AA6868" w:rsidP="00AA6868">
      <w:pPr>
        <w:rPr>
          <w:b/>
        </w:rPr>
      </w:pPr>
    </w:p>
    <w:p w14:paraId="168F5F5B" w14:textId="77777777" w:rsidR="00AE069B" w:rsidRDefault="00AE069B" w:rsidP="00AA6868">
      <w:r>
        <w:rPr>
          <w:b/>
        </w:rPr>
        <w:t xml:space="preserve">Observation: </w:t>
      </w:r>
      <w:r>
        <w:t>Operation of NR and LTE on separate carriers can be used for coexistence of NR and LTE in the same band.</w:t>
      </w:r>
    </w:p>
    <w:p w14:paraId="1549ED8B" w14:textId="77777777" w:rsidR="00AE069B" w:rsidRDefault="00AE069B" w:rsidP="00AA6868">
      <w:pPr>
        <w:rPr>
          <w:b/>
        </w:rPr>
      </w:pPr>
    </w:p>
    <w:p w14:paraId="502AABE9" w14:textId="77777777" w:rsidR="00AE069B" w:rsidRDefault="00AE069B" w:rsidP="00AE069B">
      <w:r>
        <w:rPr>
          <w:b/>
        </w:rPr>
        <w:t xml:space="preserve">Observation: </w:t>
      </w:r>
      <w:r w:rsidR="00ED4710">
        <w:t>LTE and n</w:t>
      </w:r>
      <w:r>
        <w:t xml:space="preserve">on-standalone NR </w:t>
      </w:r>
      <w:r w:rsidR="00ED4710">
        <w:t>with LTE-capable UEs</w:t>
      </w:r>
      <w:r>
        <w:t xml:space="preserve"> can coexist on a carrier and share resources in time if the carrier is configured as an SCell for all UEs operating with LTE on the carrier.</w:t>
      </w:r>
    </w:p>
    <w:p w14:paraId="1011EF40" w14:textId="77777777" w:rsidR="00AE069B" w:rsidRDefault="00AE069B" w:rsidP="00AA6868">
      <w:pPr>
        <w:rPr>
          <w:b/>
        </w:rPr>
      </w:pPr>
    </w:p>
    <w:p w14:paraId="1B14296B" w14:textId="77777777" w:rsidR="00AE069B" w:rsidRDefault="00AE069B" w:rsidP="00AE069B">
      <w:r>
        <w:rPr>
          <w:b/>
        </w:rPr>
        <w:t xml:space="preserve">Observation: </w:t>
      </w:r>
      <w:r>
        <w:t>Standalone NR and LTE can coexist on a carrier and share resources in time if the carrier is configured as an SCell for all UEs operating with LTE on the carrier and if it is aggregated with a separate dedicated NR carrier for all UEs operating with NR.</w:t>
      </w:r>
    </w:p>
    <w:p w14:paraId="6F85A611" w14:textId="77777777" w:rsidR="00AE069B" w:rsidRDefault="00AE069B" w:rsidP="00AA6868">
      <w:pPr>
        <w:rPr>
          <w:b/>
        </w:rPr>
      </w:pPr>
    </w:p>
    <w:p w14:paraId="7540BCDA" w14:textId="2CE14637" w:rsidR="00AE069B" w:rsidRPr="005C1FFB" w:rsidRDefault="00AE069B" w:rsidP="00AE069B">
      <w:r>
        <w:rPr>
          <w:b/>
        </w:rPr>
        <w:t xml:space="preserve">Observation: </w:t>
      </w:r>
      <w:r>
        <w:t>MBSFN subframes and UL subframes on an LTE carrier can potentially be used for sharing a carrier with NR, but such solutions may</w:t>
      </w:r>
      <w:r w:rsidR="00381AA2">
        <w:t xml:space="preserve"> have some limitations and</w:t>
      </w:r>
      <w:r>
        <w:t xml:space="preserve"> not be applicable in some important cases.</w:t>
      </w:r>
    </w:p>
    <w:p w14:paraId="4F99FFF0" w14:textId="77777777" w:rsidR="00AE069B" w:rsidRDefault="00AE069B" w:rsidP="00AA6868">
      <w:pPr>
        <w:rPr>
          <w:b/>
        </w:rPr>
      </w:pPr>
    </w:p>
    <w:p w14:paraId="5AFAD06B" w14:textId="77777777" w:rsidR="00954B09" w:rsidRDefault="00954B09" w:rsidP="00954B09">
      <w:r w:rsidRPr="00824DEA">
        <w:rPr>
          <w:b/>
        </w:rPr>
        <w:t>Observation:</w:t>
      </w:r>
      <w:r>
        <w:t xml:space="preserve"> Coexistence between NR and LTE MTC or NB-IoT can be facilitated by the fact that LTE MTC and NB-IoT devices do not use the LTE control channel region in the beginning of the LTE downlink subframes.</w:t>
      </w:r>
    </w:p>
    <w:p w14:paraId="631A7E79" w14:textId="77777777" w:rsidR="00954B09" w:rsidRDefault="00954B09" w:rsidP="00954B09"/>
    <w:p w14:paraId="0A72CD7D" w14:textId="77777777" w:rsidR="00954B09" w:rsidRDefault="00954B09" w:rsidP="00954B09">
      <w:r w:rsidRPr="00012FCF">
        <w:rPr>
          <w:b/>
        </w:rPr>
        <w:t>Observation:</w:t>
      </w:r>
      <w:r>
        <w:t xml:space="preserve"> Coexistence between NR and LTE MTC or NB-IoT can be facilitated by the possibility to configure valid subframe bitmap configurations for the LTE MTC and NB-IoT devices.</w:t>
      </w:r>
    </w:p>
    <w:p w14:paraId="7141EC9B" w14:textId="77777777" w:rsidR="00954B09" w:rsidRDefault="00954B09" w:rsidP="00954B09"/>
    <w:p w14:paraId="61FC870E" w14:textId="77777777" w:rsidR="00AE069B" w:rsidRDefault="00AE069B" w:rsidP="00AE069B">
      <w:pPr>
        <w:rPr>
          <w:b/>
        </w:rPr>
      </w:pPr>
    </w:p>
    <w:p w14:paraId="2FD6215E" w14:textId="77777777" w:rsidR="00AE069B" w:rsidRDefault="00AE069B" w:rsidP="00AE069B">
      <w:r>
        <w:rPr>
          <w:b/>
        </w:rPr>
        <w:t xml:space="preserve">Proposal: </w:t>
      </w:r>
      <w:r>
        <w:t>NR should support carrier aggregation of multiple NR carriers as in LTE.</w:t>
      </w:r>
    </w:p>
    <w:p w14:paraId="44CAE199" w14:textId="77777777" w:rsidR="00592A97" w:rsidRDefault="00592A97" w:rsidP="00AE069B"/>
    <w:p w14:paraId="363D8B3E" w14:textId="77777777" w:rsidR="00592A97" w:rsidRPr="005C1FFB" w:rsidRDefault="00592A97" w:rsidP="00592A97">
      <w:r w:rsidRPr="00B33FD2">
        <w:rPr>
          <w:b/>
        </w:rPr>
        <w:t xml:space="preserve">Proposal: </w:t>
      </w:r>
      <w:r>
        <w:t>NR should be designed such that it can operate on carriers that are not available continuously. Persistent transmission of signals with high frequency and inability to operate without fixed timing relationships should be avoided.</w:t>
      </w:r>
    </w:p>
    <w:p w14:paraId="72138923" w14:textId="77777777" w:rsidR="00592A97" w:rsidRPr="00246230" w:rsidRDefault="00592A97" w:rsidP="00AE069B"/>
    <w:p w14:paraId="7280E5B8" w14:textId="77777777" w:rsidR="00AE069B" w:rsidRPr="00B33FD2" w:rsidRDefault="00AE069B" w:rsidP="00AE069B"/>
    <w:p w14:paraId="55F9B429" w14:textId="77777777" w:rsidR="00AE069B" w:rsidRPr="00AA6868" w:rsidRDefault="00AE069B" w:rsidP="00AA6868">
      <w:pPr>
        <w:rPr>
          <w:b/>
        </w:rPr>
      </w:pPr>
    </w:p>
    <w:p w14:paraId="67816D85" w14:textId="77777777" w:rsidR="000F0ED3" w:rsidRDefault="00F73844" w:rsidP="000F0ED3">
      <w:pPr>
        <w:pStyle w:val="Heading1"/>
        <w:rPr>
          <w:b/>
          <w:bCs/>
        </w:rPr>
      </w:pPr>
      <w:r>
        <w:rPr>
          <w:b/>
          <w:bCs/>
        </w:rPr>
        <w:t xml:space="preserve">References </w:t>
      </w:r>
    </w:p>
    <w:p w14:paraId="6B538558" w14:textId="77777777" w:rsidR="00F73844" w:rsidRPr="00FF2FA9" w:rsidRDefault="00F73844" w:rsidP="00F73844">
      <w:pPr>
        <w:widowControl w:val="0"/>
        <w:numPr>
          <w:ilvl w:val="0"/>
          <w:numId w:val="4"/>
        </w:numPr>
        <w:spacing w:before="120"/>
        <w:jc w:val="both"/>
        <w:rPr>
          <w:szCs w:val="20"/>
          <w:lang w:eastAsia="ja-JP"/>
        </w:rPr>
      </w:pPr>
      <w:r>
        <w:rPr>
          <w:szCs w:val="20"/>
          <w:lang w:eastAsia="ja-JP"/>
        </w:rPr>
        <w:t xml:space="preserve">Chairman’s </w:t>
      </w:r>
      <w:r w:rsidR="007447B5">
        <w:rPr>
          <w:szCs w:val="20"/>
          <w:lang w:eastAsia="ja-JP"/>
        </w:rPr>
        <w:t>Notes, RAN1#86bis</w:t>
      </w:r>
    </w:p>
    <w:p w14:paraId="7E2F6EBC" w14:textId="77777777" w:rsidR="00F73844" w:rsidRPr="00F73844" w:rsidRDefault="00F73844" w:rsidP="00F73844">
      <w:pPr>
        <w:pStyle w:val="BodyText"/>
      </w:pPr>
    </w:p>
    <w:p w14:paraId="7CB8268B" w14:textId="77777777" w:rsidR="00F73844" w:rsidRPr="00F73844" w:rsidRDefault="00F73844" w:rsidP="00F73844">
      <w:pPr>
        <w:pStyle w:val="BodyText"/>
      </w:pPr>
    </w:p>
    <w:p w14:paraId="3FAB9343" w14:textId="77777777" w:rsidR="00F73844" w:rsidRPr="00F73844" w:rsidRDefault="00F73844" w:rsidP="00F73844">
      <w:pPr>
        <w:pStyle w:val="BodyText"/>
      </w:pPr>
    </w:p>
    <w:p w14:paraId="343D596B" w14:textId="77777777" w:rsidR="00561E32" w:rsidRDefault="00561E32"/>
    <w:p w14:paraId="309C1CD0" w14:textId="77777777" w:rsidR="00561E32" w:rsidRPr="00CD1C6F" w:rsidRDefault="00561E32"/>
    <w:sectPr w:rsidR="00561E32" w:rsidRPr="00CD1C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BED18BC"/>
    <w:multiLevelType w:val="multilevel"/>
    <w:tmpl w:val="32FEA0A4"/>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3447"/>
        </w:tabs>
        <w:ind w:left="3447" w:hanging="567"/>
      </w:pPr>
      <w:rPr>
        <w:strike w:val="0"/>
        <w:dstrike w:val="0"/>
        <w:u w:val="none"/>
        <w:effect w:val="none"/>
      </w:rPr>
    </w:lvl>
    <w:lvl w:ilvl="2">
      <w:start w:val="1"/>
      <w:numFmt w:val="decimal"/>
      <w:pStyle w:val="Heading3"/>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D3"/>
    <w:rsid w:val="00086A4B"/>
    <w:rsid w:val="000E353C"/>
    <w:rsid w:val="000F0ED3"/>
    <w:rsid w:val="00187F81"/>
    <w:rsid w:val="00192C37"/>
    <w:rsid w:val="00246230"/>
    <w:rsid w:val="002755D9"/>
    <w:rsid w:val="00286F19"/>
    <w:rsid w:val="002C7AD7"/>
    <w:rsid w:val="00306015"/>
    <w:rsid w:val="00313591"/>
    <w:rsid w:val="00342EEB"/>
    <w:rsid w:val="00351C2C"/>
    <w:rsid w:val="00371ED4"/>
    <w:rsid w:val="00381AA2"/>
    <w:rsid w:val="003A1D7E"/>
    <w:rsid w:val="003F74EA"/>
    <w:rsid w:val="00412572"/>
    <w:rsid w:val="004566A7"/>
    <w:rsid w:val="00535DE9"/>
    <w:rsid w:val="005600AD"/>
    <w:rsid w:val="00561E32"/>
    <w:rsid w:val="00592A97"/>
    <w:rsid w:val="005C1FFB"/>
    <w:rsid w:val="005E22B9"/>
    <w:rsid w:val="00631D33"/>
    <w:rsid w:val="00637C56"/>
    <w:rsid w:val="007447B5"/>
    <w:rsid w:val="00747500"/>
    <w:rsid w:val="00766547"/>
    <w:rsid w:val="00766E0F"/>
    <w:rsid w:val="00766F6B"/>
    <w:rsid w:val="00794EA4"/>
    <w:rsid w:val="007B330C"/>
    <w:rsid w:val="007E212B"/>
    <w:rsid w:val="00834A0C"/>
    <w:rsid w:val="00902F26"/>
    <w:rsid w:val="00930ECB"/>
    <w:rsid w:val="00954B09"/>
    <w:rsid w:val="00A76D87"/>
    <w:rsid w:val="00AA6868"/>
    <w:rsid w:val="00AE069B"/>
    <w:rsid w:val="00B16A2C"/>
    <w:rsid w:val="00B33FD2"/>
    <w:rsid w:val="00B45314"/>
    <w:rsid w:val="00B57761"/>
    <w:rsid w:val="00BE732C"/>
    <w:rsid w:val="00BF57FF"/>
    <w:rsid w:val="00C15550"/>
    <w:rsid w:val="00C7126F"/>
    <w:rsid w:val="00C8212E"/>
    <w:rsid w:val="00C92365"/>
    <w:rsid w:val="00CA4D04"/>
    <w:rsid w:val="00CD1C6F"/>
    <w:rsid w:val="00D14173"/>
    <w:rsid w:val="00D50797"/>
    <w:rsid w:val="00DC1E14"/>
    <w:rsid w:val="00E558C4"/>
    <w:rsid w:val="00ED433C"/>
    <w:rsid w:val="00ED4710"/>
    <w:rsid w:val="00F63631"/>
    <w:rsid w:val="00F73844"/>
    <w:rsid w:val="00F75384"/>
    <w:rsid w:val="00F767E4"/>
    <w:rsid w:val="00FA32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B28A9"/>
  <w15:chartTrackingRefBased/>
  <w15:docId w15:val="{8EE1E48C-3524-4FB0-A4ED-0892293D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F0ED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0F0ED3"/>
    <w:pPr>
      <w:keepNext/>
      <w:numPr>
        <w:numId w:val="1"/>
      </w:numPr>
      <w:spacing w:before="240" w:after="60"/>
      <w:outlineLvl w:val="0"/>
    </w:pPr>
    <w:rPr>
      <w:rFonts w:ascii="Helvetica" w:eastAsia="MS Mincho" w:hAnsi="Helvetica" w:cs="Arial"/>
      <w:kern w:val="32"/>
      <w:sz w:val="28"/>
      <w:szCs w:val="32"/>
    </w:rPr>
  </w:style>
  <w:style w:type="paragraph" w:styleId="Heading2">
    <w:name w:val="heading 2"/>
    <w:aliases w:val="Head2A,2,H2,UNDERRUBRIK 1-2,DO NOT USE_h2,h2,h21,H2 Char,h2 Char"/>
    <w:basedOn w:val="Normal"/>
    <w:next w:val="BodyText"/>
    <w:link w:val="Heading2Char"/>
    <w:semiHidden/>
    <w:unhideWhenUsed/>
    <w:qFormat/>
    <w:rsid w:val="000F0ED3"/>
    <w:pPr>
      <w:keepNext/>
      <w:numPr>
        <w:ilvl w:val="1"/>
        <w:numId w:val="1"/>
      </w:numPr>
      <w:spacing w:before="240" w:after="60"/>
      <w:ind w:left="567"/>
      <w:outlineLvl w:val="1"/>
    </w:pPr>
    <w:rPr>
      <w:rFonts w:ascii="Helvetica" w:eastAsia="MS Mincho" w:hAnsi="Helvetica" w:cs="Arial"/>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semiHidden/>
    <w:unhideWhenUsed/>
    <w:qFormat/>
    <w:rsid w:val="000F0ED3"/>
    <w:pPr>
      <w:keepNext/>
      <w:numPr>
        <w:ilvl w:val="2"/>
        <w:numId w:val="1"/>
      </w:numPr>
      <w:spacing w:before="240" w:after="60"/>
      <w:outlineLvl w:val="2"/>
    </w:pPr>
    <w:rPr>
      <w:rFonts w:ascii="Arial" w:eastAsia="MS Mincho" w:hAnsi="Arial" w:cs="Arial"/>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semiHidden/>
    <w:unhideWhenUsed/>
    <w:qFormat/>
    <w:rsid w:val="000F0ED3"/>
    <w:pPr>
      <w:keepNext/>
      <w:numPr>
        <w:ilvl w:val="3"/>
        <w:numId w:val="1"/>
      </w:numPr>
      <w:spacing w:before="240" w:after="60"/>
      <w:outlineLvl w:val="3"/>
    </w:pPr>
    <w:rPr>
      <w:rFonts w:eastAsia="MS Minch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F0ED3"/>
    <w:rPr>
      <w:rFonts w:ascii="Helvetica" w:eastAsia="MS Mincho" w:hAnsi="Helvetica" w:cs="Arial"/>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semiHidden/>
    <w:rsid w:val="000F0ED3"/>
    <w:rPr>
      <w:rFonts w:ascii="Helvetica" w:eastAsia="MS Mincho" w:hAnsi="Helvetica" w:cs="Arial"/>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0F0ED3"/>
    <w:rPr>
      <w:rFonts w:ascii="Arial" w:eastAsia="MS Mincho" w:hAnsi="Arial" w:cs="Arial"/>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F0ED3"/>
    <w:rPr>
      <w:rFonts w:ascii="Times New Roman" w:eastAsia="MS Mincho" w:hAnsi="Times New Roman" w:cs="Times New Roman"/>
      <w:sz w:val="28"/>
      <w:szCs w:val="2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0F0ED3"/>
    <w:rPr>
      <w:rFonts w:ascii="Arial" w:eastAsia="MS Mincho" w:hAnsi="Arial" w:cs="Times New Roman"/>
      <w:b/>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0F0ED3"/>
    <w:pPr>
      <w:tabs>
        <w:tab w:val="center" w:pos="4536"/>
        <w:tab w:val="right" w:pos="9072"/>
      </w:tabs>
    </w:pPr>
    <w:rPr>
      <w:rFonts w:ascii="Arial" w:eastAsia="MS Mincho" w:hAnsi="Arial"/>
      <w:b/>
    </w:rPr>
  </w:style>
  <w:style w:type="character" w:customStyle="1" w:styleId="HeaderChar1">
    <w:name w:val="Header Char1"/>
    <w:basedOn w:val="DefaultParagraphFont"/>
    <w:uiPriority w:val="99"/>
    <w:semiHidden/>
    <w:rsid w:val="000F0ED3"/>
    <w:rPr>
      <w:rFonts w:ascii="Times New Roman" w:eastAsia="Times New Roman" w:hAnsi="Times New Roman" w:cs="Times New Roman"/>
      <w:sz w:val="20"/>
      <w:szCs w:val="24"/>
      <w:lang w:val="en-US"/>
    </w:rPr>
  </w:style>
  <w:style w:type="paragraph" w:styleId="BodyText">
    <w:name w:val="Body Text"/>
    <w:basedOn w:val="Normal"/>
    <w:link w:val="BodyTextChar"/>
    <w:uiPriority w:val="99"/>
    <w:semiHidden/>
    <w:unhideWhenUsed/>
    <w:rsid w:val="000F0ED3"/>
    <w:pPr>
      <w:spacing w:after="120"/>
    </w:pPr>
  </w:style>
  <w:style w:type="character" w:customStyle="1" w:styleId="BodyTextChar">
    <w:name w:val="Body Text Char"/>
    <w:basedOn w:val="DefaultParagraphFont"/>
    <w:link w:val="BodyText"/>
    <w:uiPriority w:val="99"/>
    <w:semiHidden/>
    <w:rsid w:val="000F0ED3"/>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4566A7"/>
    <w:pPr>
      <w:spacing w:after="200"/>
    </w:pPr>
    <w:rPr>
      <w:i/>
      <w:iCs/>
      <w:color w:val="1F497D" w:themeColor="text2"/>
      <w:sz w:val="18"/>
      <w:szCs w:val="18"/>
    </w:rPr>
  </w:style>
  <w:style w:type="character" w:styleId="CommentReference">
    <w:name w:val="annotation reference"/>
    <w:basedOn w:val="DefaultParagraphFont"/>
    <w:uiPriority w:val="99"/>
    <w:semiHidden/>
    <w:unhideWhenUsed/>
    <w:rsid w:val="00B45314"/>
    <w:rPr>
      <w:sz w:val="16"/>
      <w:szCs w:val="16"/>
    </w:rPr>
  </w:style>
  <w:style w:type="paragraph" w:styleId="CommentText">
    <w:name w:val="annotation text"/>
    <w:basedOn w:val="Normal"/>
    <w:link w:val="CommentTextChar"/>
    <w:uiPriority w:val="99"/>
    <w:semiHidden/>
    <w:unhideWhenUsed/>
    <w:rsid w:val="00B45314"/>
    <w:rPr>
      <w:szCs w:val="20"/>
    </w:rPr>
  </w:style>
  <w:style w:type="character" w:customStyle="1" w:styleId="CommentTextChar">
    <w:name w:val="Comment Text Char"/>
    <w:basedOn w:val="DefaultParagraphFont"/>
    <w:link w:val="CommentText"/>
    <w:uiPriority w:val="99"/>
    <w:semiHidden/>
    <w:rsid w:val="00B4531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5314"/>
    <w:rPr>
      <w:b/>
      <w:bCs/>
    </w:rPr>
  </w:style>
  <w:style w:type="character" w:customStyle="1" w:styleId="CommentSubjectChar">
    <w:name w:val="Comment Subject Char"/>
    <w:basedOn w:val="CommentTextChar"/>
    <w:link w:val="CommentSubject"/>
    <w:uiPriority w:val="99"/>
    <w:semiHidden/>
    <w:rsid w:val="00B45314"/>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B453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314"/>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FA5A4-7AE1-438D-9C85-870CA1614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Efthymios Stathakis</dc:creator>
  <cp:keywords/>
  <dc:description/>
  <cp:lastModifiedBy>Ericsson 1</cp:lastModifiedBy>
  <cp:revision>3</cp:revision>
  <dcterms:created xsi:type="dcterms:W3CDTF">2016-11-05T02:33:00Z</dcterms:created>
  <dcterms:modified xsi:type="dcterms:W3CDTF">2016-11-05T02:34:00Z</dcterms:modified>
</cp:coreProperties>
</file>