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01B9" w:rsidRDefault="001D01B9" w:rsidP="001D01B9">
      <w:pPr>
        <w:pStyle w:val="CRCoverPage"/>
        <w:tabs>
          <w:tab w:val="right" w:pos="9639"/>
          <w:tab w:val="right" w:pos="13323"/>
        </w:tabs>
        <w:spacing w:after="0"/>
        <w:rPr>
          <w:rFonts w:cs="Arial"/>
          <w:b/>
          <w:noProof/>
          <w:sz w:val="24"/>
          <w:szCs w:val="24"/>
        </w:rPr>
      </w:pPr>
      <w:r>
        <w:rPr>
          <w:rFonts w:cs="Arial"/>
          <w:b/>
          <w:noProof/>
          <w:sz w:val="24"/>
          <w:szCs w:val="24"/>
        </w:rPr>
        <w:t xml:space="preserve">3GPP TSG RAN </w:t>
      </w:r>
      <w:r w:rsidR="00E70DFF">
        <w:rPr>
          <w:rFonts w:cs="Arial"/>
          <w:b/>
          <w:noProof/>
          <w:sz w:val="24"/>
          <w:szCs w:val="24"/>
        </w:rPr>
        <w:t xml:space="preserve">WG1 </w:t>
      </w:r>
      <w:r>
        <w:rPr>
          <w:rFonts w:cs="Arial"/>
          <w:b/>
          <w:noProof/>
          <w:sz w:val="24"/>
          <w:szCs w:val="24"/>
        </w:rPr>
        <w:t>Meeting #</w:t>
      </w:r>
      <w:r w:rsidR="00FC7FF3">
        <w:rPr>
          <w:rFonts w:cs="Arial"/>
          <w:b/>
          <w:noProof/>
          <w:sz w:val="24"/>
          <w:szCs w:val="24"/>
        </w:rPr>
        <w:t>84</w:t>
      </w:r>
      <w:r>
        <w:rPr>
          <w:rFonts w:cs="Arial"/>
          <w:b/>
          <w:noProof/>
          <w:sz w:val="24"/>
          <w:szCs w:val="24"/>
        </w:rPr>
        <w:tab/>
      </w:r>
      <w:r w:rsidR="00A02759" w:rsidRPr="00A02759">
        <w:rPr>
          <w:rFonts w:cs="Arial"/>
          <w:b/>
          <w:noProof/>
          <w:sz w:val="24"/>
          <w:szCs w:val="24"/>
        </w:rPr>
        <w:t>R1-161077</w:t>
      </w:r>
    </w:p>
    <w:p w:rsidR="001D01B9" w:rsidRDefault="00B77726" w:rsidP="001D01B9">
      <w:pPr>
        <w:pStyle w:val="CRCoverPage"/>
        <w:tabs>
          <w:tab w:val="right" w:pos="9639"/>
          <w:tab w:val="right" w:pos="13323"/>
        </w:tabs>
        <w:spacing w:after="0"/>
        <w:jc w:val="right"/>
        <w:rPr>
          <w:rFonts w:cs="Arial"/>
          <w:b/>
          <w:noProof/>
          <w:sz w:val="24"/>
          <w:szCs w:val="24"/>
        </w:rPr>
      </w:pPr>
      <w:r>
        <w:rPr>
          <w:rFonts w:cs="Arial"/>
          <w:b/>
          <w:noProof/>
          <w:sz w:val="24"/>
          <w:szCs w:val="24"/>
        </w:rPr>
        <w:t xml:space="preserve">St. Julians, </w:t>
      </w:r>
      <w:r w:rsidR="00E70DFF">
        <w:rPr>
          <w:rFonts w:cs="Arial"/>
          <w:b/>
          <w:noProof/>
          <w:sz w:val="24"/>
          <w:szCs w:val="24"/>
        </w:rPr>
        <w:t>Malta</w:t>
      </w:r>
      <w:r w:rsidR="001D01B9" w:rsidRPr="0033775D">
        <w:rPr>
          <w:rFonts w:cs="Arial"/>
          <w:b/>
          <w:noProof/>
          <w:sz w:val="24"/>
          <w:szCs w:val="24"/>
        </w:rPr>
        <w:t xml:space="preserve">, </w:t>
      </w:r>
      <w:r w:rsidR="00E70DFF">
        <w:rPr>
          <w:rFonts w:cs="Arial"/>
          <w:b/>
          <w:noProof/>
          <w:sz w:val="24"/>
          <w:szCs w:val="24"/>
        </w:rPr>
        <w:t>15</w:t>
      </w:r>
      <w:r w:rsidR="001D01B9" w:rsidRPr="008B769D">
        <w:rPr>
          <w:rFonts w:cs="Arial"/>
          <w:b/>
          <w:noProof/>
          <w:sz w:val="24"/>
          <w:szCs w:val="24"/>
          <w:vertAlign w:val="superscript"/>
        </w:rPr>
        <w:t>th</w:t>
      </w:r>
      <w:r w:rsidR="001D01B9" w:rsidRPr="0033775D">
        <w:rPr>
          <w:rFonts w:cs="Arial"/>
          <w:b/>
          <w:noProof/>
          <w:sz w:val="24"/>
          <w:szCs w:val="24"/>
        </w:rPr>
        <w:t xml:space="preserve"> – </w:t>
      </w:r>
      <w:r w:rsidR="001D01B9">
        <w:rPr>
          <w:rFonts w:cs="Arial"/>
          <w:b/>
          <w:noProof/>
          <w:sz w:val="24"/>
          <w:szCs w:val="24"/>
        </w:rPr>
        <w:t>1</w:t>
      </w:r>
      <w:r w:rsidR="00E70DFF">
        <w:rPr>
          <w:rFonts w:cs="Arial"/>
          <w:b/>
          <w:noProof/>
          <w:sz w:val="24"/>
          <w:szCs w:val="24"/>
        </w:rPr>
        <w:t>9</w:t>
      </w:r>
      <w:r w:rsidR="001D01B9" w:rsidRPr="008B769D">
        <w:rPr>
          <w:rFonts w:cs="Arial"/>
          <w:b/>
          <w:noProof/>
          <w:sz w:val="24"/>
          <w:szCs w:val="24"/>
          <w:vertAlign w:val="superscript"/>
        </w:rPr>
        <w:t>th</w:t>
      </w:r>
      <w:r w:rsidR="001D01B9" w:rsidRPr="0033775D">
        <w:rPr>
          <w:rFonts w:cs="Arial"/>
          <w:b/>
          <w:noProof/>
          <w:sz w:val="24"/>
          <w:szCs w:val="24"/>
        </w:rPr>
        <w:t xml:space="preserve"> </w:t>
      </w:r>
      <w:r w:rsidR="00E70DFF">
        <w:rPr>
          <w:rFonts w:cs="Arial"/>
          <w:b/>
          <w:noProof/>
          <w:sz w:val="24"/>
          <w:szCs w:val="24"/>
        </w:rPr>
        <w:t>February, 2016</w:t>
      </w:r>
      <w:r w:rsidR="001D01B9">
        <w:rPr>
          <w:rFonts w:cs="Arial"/>
          <w:b/>
          <w:noProof/>
          <w:sz w:val="24"/>
          <w:szCs w:val="24"/>
        </w:rPr>
        <w:tab/>
      </w:r>
    </w:p>
    <w:p w:rsidR="001D01B9" w:rsidRPr="00155924" w:rsidRDefault="001D01B9" w:rsidP="001D01B9">
      <w:pPr>
        <w:pStyle w:val="Header"/>
        <w:tabs>
          <w:tab w:val="right" w:pos="9639"/>
        </w:tabs>
        <w:jc w:val="both"/>
        <w:rPr>
          <w:i/>
          <w:sz w:val="32"/>
          <w:lang w:val="en-GB"/>
        </w:rPr>
      </w:pPr>
      <w:r w:rsidRPr="00155924">
        <w:rPr>
          <w:sz w:val="24"/>
          <w:lang w:val="en-GB"/>
        </w:rPr>
        <w:tab/>
      </w:r>
    </w:p>
    <w:p w:rsidR="001D01B9" w:rsidRPr="00474F96" w:rsidRDefault="001D01B9" w:rsidP="001D01B9">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Pr>
          <w:rFonts w:ascii="Arial" w:hAnsi="Arial"/>
          <w:sz w:val="22"/>
        </w:rPr>
        <w:tab/>
      </w:r>
      <w:r w:rsidR="00A02759" w:rsidRPr="00A02759">
        <w:rPr>
          <w:rFonts w:ascii="Arial" w:hAnsi="Arial" w:cs="Arial"/>
          <w:sz w:val="24"/>
          <w:szCs w:val="24"/>
        </w:rPr>
        <w:t>Considerations for progressing V2V resource allocation </w:t>
      </w:r>
    </w:p>
    <w:p w:rsidR="001D01B9" w:rsidRDefault="001D01B9" w:rsidP="001D01B9">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Pr>
          <w:rFonts w:ascii="Arial" w:hAnsi="Arial"/>
          <w:sz w:val="24"/>
        </w:rPr>
        <w:t>Vodafone</w:t>
      </w:r>
      <w:r w:rsidR="00651673">
        <w:rPr>
          <w:rFonts w:ascii="Arial" w:hAnsi="Arial"/>
          <w:sz w:val="24"/>
        </w:rPr>
        <w:t xml:space="preserve"> Group Plc</w:t>
      </w:r>
    </w:p>
    <w:p w:rsidR="001D01B9" w:rsidRPr="00036934" w:rsidRDefault="001D01B9" w:rsidP="001D01B9">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A02759">
        <w:rPr>
          <w:rFonts w:ascii="Arial" w:hAnsi="Arial"/>
          <w:sz w:val="24"/>
        </w:rPr>
        <w:t>7.3.2</w:t>
      </w:r>
    </w:p>
    <w:p w:rsidR="001D01B9" w:rsidRPr="00CC27F5" w:rsidRDefault="001D01B9" w:rsidP="001D01B9">
      <w:pPr>
        <w:tabs>
          <w:tab w:val="left" w:pos="1985"/>
        </w:tabs>
        <w:ind w:right="-441"/>
        <w:jc w:val="both"/>
        <w:rPr>
          <w:rFonts w:ascii="Arial" w:hAnsi="Arial"/>
          <w:sz w:val="24"/>
        </w:rPr>
      </w:pPr>
      <w:r w:rsidRPr="00CC27F5">
        <w:rPr>
          <w:rFonts w:ascii="Arial" w:hAnsi="Arial"/>
          <w:b/>
          <w:sz w:val="24"/>
        </w:rPr>
        <w:t>Document for:</w:t>
      </w:r>
      <w:r>
        <w:rPr>
          <w:rFonts w:ascii="Arial" w:hAnsi="Arial"/>
          <w:sz w:val="24"/>
        </w:rPr>
        <w:tab/>
      </w:r>
      <w:r w:rsidR="00986BE4">
        <w:rPr>
          <w:rFonts w:ascii="Arial" w:hAnsi="Arial"/>
          <w:sz w:val="24"/>
        </w:rPr>
        <w:t>Discussion</w:t>
      </w:r>
    </w:p>
    <w:p w:rsidR="001D01B9" w:rsidRPr="00CC27F5" w:rsidRDefault="001D01B9" w:rsidP="001D01B9">
      <w:pPr>
        <w:pStyle w:val="Heading1"/>
        <w:jc w:val="both"/>
      </w:pPr>
      <w:r>
        <w:t>1</w:t>
      </w:r>
      <w:r>
        <w:tab/>
        <w:t>Introduction</w:t>
      </w:r>
    </w:p>
    <w:p w:rsidR="001D01B9" w:rsidRDefault="00E70DFF" w:rsidP="001D01B9">
      <w:pPr>
        <w:pStyle w:val="Header"/>
        <w:jc w:val="both"/>
        <w:rPr>
          <w:rFonts w:ascii="Times New Roman" w:hAnsi="Times New Roman"/>
          <w:b w:val="0"/>
          <w:noProof w:val="0"/>
          <w:sz w:val="20"/>
          <w:lang w:val="en-GB"/>
        </w:rPr>
      </w:pPr>
      <w:r>
        <w:rPr>
          <w:rFonts w:ascii="Times New Roman" w:hAnsi="Times New Roman"/>
          <w:b w:val="0"/>
          <w:noProof w:val="0"/>
          <w:sz w:val="20"/>
          <w:lang w:val="en-GB"/>
        </w:rPr>
        <w:t xml:space="preserve">This contribution raises some issues regarding how to progress the V2V work item in 3GPP, </w:t>
      </w:r>
      <w:r w:rsidR="00EC2EDB">
        <w:rPr>
          <w:rFonts w:ascii="Times New Roman" w:hAnsi="Times New Roman"/>
          <w:b w:val="0"/>
          <w:noProof w:val="0"/>
          <w:sz w:val="20"/>
          <w:lang w:val="en-GB"/>
        </w:rPr>
        <w:t>given that there are still some outstanding issues where there needs to be high level alignment to allow us to move forward efficiently</w:t>
      </w:r>
      <w:r>
        <w:rPr>
          <w:rFonts w:ascii="Times New Roman" w:hAnsi="Times New Roman"/>
          <w:b w:val="0"/>
          <w:noProof w:val="0"/>
          <w:sz w:val="20"/>
          <w:lang w:val="en-GB"/>
        </w:rPr>
        <w:t>.</w:t>
      </w:r>
    </w:p>
    <w:p w:rsidR="00986BE4" w:rsidRPr="003A738E" w:rsidRDefault="00986BE4" w:rsidP="001D01B9">
      <w:pPr>
        <w:pStyle w:val="Header"/>
        <w:jc w:val="both"/>
        <w:rPr>
          <w:rFonts w:ascii="Times New Roman" w:hAnsi="Times New Roman"/>
          <w:b w:val="0"/>
          <w:noProof w:val="0"/>
          <w:sz w:val="6"/>
          <w:szCs w:val="6"/>
          <w:lang w:val="en-GB"/>
        </w:rPr>
      </w:pPr>
    </w:p>
    <w:p w:rsidR="00986BE4" w:rsidRDefault="00986BE4" w:rsidP="00986BE4">
      <w:pPr>
        <w:pStyle w:val="Heading1"/>
        <w:jc w:val="both"/>
      </w:pPr>
      <w:r>
        <w:t>2</w:t>
      </w:r>
      <w:r>
        <w:tab/>
      </w:r>
      <w:r w:rsidR="00AC7E9E">
        <w:t>Status as conclusion of the V2V studies</w:t>
      </w:r>
    </w:p>
    <w:p w:rsidR="00E70DFF" w:rsidRDefault="00E70DFF" w:rsidP="005E5D7C">
      <w:pPr>
        <w:jc w:val="both"/>
      </w:pPr>
      <w:r>
        <w:t>At TSG RAN#70 the V2V work item [1] was agreed to be started. The completion dat</w:t>
      </w:r>
      <w:r w:rsidR="00B47D6E">
        <w:t>e</w:t>
      </w:r>
      <w:r>
        <w:t xml:space="preserve"> is set to September</w:t>
      </w:r>
      <w:r w:rsidR="00495AC8">
        <w:t xml:space="preserve"> 2016.</w:t>
      </w:r>
      <w:r>
        <w:t xml:space="preserve"> </w:t>
      </w:r>
      <w:r w:rsidR="00ED29F0">
        <w:t>Therefore</w:t>
      </w:r>
      <w:r>
        <w:t xml:space="preserve"> there is a limited time to make progress, considering also RAN2 and RAN4 work will be needed. </w:t>
      </w:r>
    </w:p>
    <w:p w:rsidR="00655BDC" w:rsidRDefault="00655BDC" w:rsidP="005E5D7C">
      <w:pPr>
        <w:jc w:val="both"/>
      </w:pPr>
      <w:r>
        <w:t>The following observations are made from the performance results under the agreed evaluation scenarios</w:t>
      </w:r>
      <w:r w:rsidR="00DD0FAA">
        <w:t xml:space="preserve"> in</w:t>
      </w:r>
      <w:r>
        <w:t xml:space="preserve"> [</w:t>
      </w:r>
      <w:r w:rsidR="00ED29F0">
        <w:t>2</w:t>
      </w:r>
      <w:r>
        <w:t>]</w:t>
      </w:r>
      <w:r w:rsidR="00DD0FAA">
        <w:t>:</w:t>
      </w:r>
    </w:p>
    <w:p w:rsidR="00655BDC" w:rsidRDefault="00655BDC" w:rsidP="0035672D">
      <w:pPr>
        <w:pStyle w:val="ListParagraph"/>
        <w:numPr>
          <w:ilvl w:val="0"/>
          <w:numId w:val="3"/>
        </w:numPr>
        <w:jc w:val="both"/>
      </w:pPr>
      <w:r>
        <w:t>In freeway cases, the performance of PC5 interface with enhancements exceeds or approaches 80% average PRR at 320m range.</w:t>
      </w:r>
    </w:p>
    <w:p w:rsidR="00655BDC" w:rsidRDefault="00655BDC" w:rsidP="0035672D">
      <w:pPr>
        <w:pStyle w:val="ListParagraph"/>
        <w:numPr>
          <w:ilvl w:val="0"/>
          <w:numId w:val="3"/>
        </w:numPr>
        <w:jc w:val="both"/>
      </w:pPr>
      <w:r>
        <w:t>In urban cases with 15 km/h, the performance of PC5 interface with enhancements achieves average PRR 90% at 50m range.</w:t>
      </w:r>
    </w:p>
    <w:p w:rsidR="00655BDC" w:rsidRDefault="00655BDC" w:rsidP="0035672D">
      <w:pPr>
        <w:pStyle w:val="ListParagraph"/>
        <w:numPr>
          <w:ilvl w:val="0"/>
          <w:numId w:val="3"/>
        </w:numPr>
        <w:jc w:val="both"/>
      </w:pPr>
      <w:r>
        <w:t>In urban cases with 60 km/h speed, the performance of PC5 interface with enhancements achieves about 60% average PRR at 150m range.</w:t>
      </w:r>
    </w:p>
    <w:p w:rsidR="00705D6F" w:rsidRDefault="00705D6F" w:rsidP="005E5D7C">
      <w:pPr>
        <w:jc w:val="both"/>
      </w:pPr>
      <w:r w:rsidRPr="00655BDC">
        <w:t>Evaluation results in [</w:t>
      </w:r>
      <w:r>
        <w:t>2</w:t>
      </w:r>
      <w:r w:rsidRPr="00655BDC">
        <w:t>] show that it is challenging to provide sufficient V2V performance</w:t>
      </w:r>
      <w:r>
        <w:t xml:space="preserve"> reliability</w:t>
      </w:r>
      <w:r w:rsidRPr="00655BDC">
        <w:t xml:space="preserve"> in the urban case</w:t>
      </w:r>
      <w:r>
        <w:t>s</w:t>
      </w:r>
      <w:r w:rsidRPr="00655BDC">
        <w:t xml:space="preserve"> </w:t>
      </w:r>
      <w:r>
        <w:t>for the range of 150m</w:t>
      </w:r>
      <w:r w:rsidRPr="00655BDC">
        <w:t>. In addition, the message load can increase further in a PC5 carrier if UE-type RSUs and/or pedestrian UEs also transmit V2X message in the same carrier.</w:t>
      </w:r>
      <w:r>
        <w:t xml:space="preserve"> </w:t>
      </w:r>
    </w:p>
    <w:p w:rsidR="00705D6F" w:rsidRDefault="00705D6F" w:rsidP="005E5D7C">
      <w:pPr>
        <w:jc w:val="both"/>
      </w:pPr>
      <w:r>
        <w:t>Therefore, we do not seem to be meeting all of the SA1 requirements</w:t>
      </w:r>
      <w:r w:rsidR="0027248F">
        <w:t xml:space="preserve"> [3]</w:t>
      </w:r>
      <w:r>
        <w:t xml:space="preserve"> </w:t>
      </w:r>
      <w:r w:rsidR="0027248F">
        <w:t xml:space="preserve">applying </w:t>
      </w:r>
      <w:r>
        <w:t>the current techniques</w:t>
      </w:r>
      <w:r w:rsidR="00191E5F">
        <w:t xml:space="preserve"> </w:t>
      </w:r>
      <w:r w:rsidR="00A77581">
        <w:t xml:space="preserve">with a 10MHz </w:t>
      </w:r>
      <w:proofErr w:type="gramStart"/>
      <w:r w:rsidR="00A77581">
        <w:t>channel,</w:t>
      </w:r>
      <w:proofErr w:type="gramEnd"/>
      <w:r w:rsidR="00A77581">
        <w:t xml:space="preserve"> and we should consider what steps to take in this regard</w:t>
      </w:r>
      <w:r>
        <w:t xml:space="preserve">. </w:t>
      </w:r>
    </w:p>
    <w:p w:rsidR="003F3B33" w:rsidRDefault="00DD0FAA" w:rsidP="00AC7E9E">
      <w:pPr>
        <w:pStyle w:val="Heading1"/>
      </w:pPr>
      <w:r>
        <w:t>3</w:t>
      </w:r>
      <w:r>
        <w:tab/>
      </w:r>
      <w:r w:rsidR="00EC2EDB">
        <w:t>R</w:t>
      </w:r>
      <w:r>
        <w:t>efine</w:t>
      </w:r>
      <w:r w:rsidR="00EC2EDB">
        <w:t>ment of</w:t>
      </w:r>
      <w:r w:rsidR="00AD4594">
        <w:t xml:space="preserve"> the </w:t>
      </w:r>
      <w:r>
        <w:t>urban</w:t>
      </w:r>
      <w:r w:rsidR="00AD4594">
        <w:t xml:space="preserve"> </w:t>
      </w:r>
      <w:r>
        <w:t>scenario</w:t>
      </w:r>
      <w:r w:rsidR="00051147">
        <w:t xml:space="preserve"> </w:t>
      </w:r>
      <w:r w:rsidR="00AC3D08">
        <w:t xml:space="preserve">together </w:t>
      </w:r>
      <w:r w:rsidR="00051147">
        <w:t xml:space="preserve">with adoptive message frequency </w:t>
      </w:r>
    </w:p>
    <w:p w:rsidR="00DD0FAA" w:rsidRDefault="00AC7E9E" w:rsidP="00DD0FAA">
      <w:r>
        <w:t>There are 2 scenarios in SA1</w:t>
      </w:r>
      <w:r w:rsidR="007D51E5">
        <w:t xml:space="preserve"> TR22.885 that cover the urban use cases</w:t>
      </w:r>
      <w:r>
        <w:t xml:space="preserve"> for V2V</w:t>
      </w:r>
      <w:r w:rsidR="007D51E5">
        <w:t xml:space="preserve">. </w:t>
      </w:r>
      <w:r w:rsidR="00DD0FAA">
        <w:t>The requirements for those scenarios</w:t>
      </w:r>
      <w:r w:rsidR="007D51E5">
        <w:t xml:space="preserve"> are</w:t>
      </w:r>
      <w:r w:rsidR="00DD0FAA">
        <w:t xml:space="preserve"> shown in Table 1 below.</w:t>
      </w:r>
    </w:p>
    <w:p w:rsidR="00DD0FAA" w:rsidRDefault="00DD0FAA" w:rsidP="00DD0FAA"/>
    <w:p w:rsidR="00DD0FAA" w:rsidRPr="002A22F1" w:rsidRDefault="00DD0FAA" w:rsidP="00DD0FAA">
      <w:pPr>
        <w:pStyle w:val="TH"/>
      </w:pPr>
      <w:r>
        <w:lastRenderedPageBreak/>
        <w:t xml:space="preserve">Table </w:t>
      </w:r>
      <w:r w:rsidRPr="002A22F1">
        <w:fldChar w:fldCharType="begin"/>
      </w:r>
      <w:r w:rsidRPr="002A22F1">
        <w:instrText xml:space="preserve"> SEQ Table \* ARABIC </w:instrText>
      </w:r>
      <w:r w:rsidRPr="002A22F1">
        <w:fldChar w:fldCharType="separate"/>
      </w:r>
      <w:r>
        <w:rPr>
          <w:noProof/>
        </w:rPr>
        <w:t>1</w:t>
      </w:r>
      <w:r w:rsidRPr="002A22F1">
        <w:fldChar w:fldCharType="end"/>
      </w:r>
      <w:r w:rsidRPr="002A22F1">
        <w:t>: Example parameters for V2X Services</w:t>
      </w:r>
    </w:p>
    <w:tbl>
      <w:tblPr>
        <w:tblW w:w="49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8"/>
        <w:gridCol w:w="973"/>
        <w:gridCol w:w="1185"/>
        <w:gridCol w:w="1185"/>
        <w:gridCol w:w="1050"/>
        <w:gridCol w:w="1017"/>
        <w:gridCol w:w="1295"/>
      </w:tblGrid>
      <w:tr w:rsidR="00DD0FAA" w:rsidRPr="005D7C20" w:rsidTr="007D4F0E">
        <w:tc>
          <w:tcPr>
            <w:tcW w:w="1085" w:type="pct"/>
            <w:tcBorders>
              <w:top w:val="nil"/>
              <w:left w:val="nil"/>
            </w:tcBorders>
          </w:tcPr>
          <w:p w:rsidR="00DD0FAA" w:rsidRPr="00C3078F" w:rsidRDefault="00DD0FAA" w:rsidP="004F1E7C">
            <w:pPr>
              <w:pStyle w:val="Heading9"/>
              <w:rPr>
                <w:rFonts w:ascii="Times New Roman" w:hAnsi="Times New Roman"/>
                <w:lang w:eastAsia="ko-KR"/>
              </w:rPr>
            </w:pPr>
          </w:p>
        </w:tc>
        <w:tc>
          <w:tcPr>
            <w:tcW w:w="568" w:type="pct"/>
            <w:hideMark/>
          </w:tcPr>
          <w:p w:rsidR="00DD0FAA" w:rsidRPr="002A1BF9" w:rsidRDefault="00DD0FAA" w:rsidP="004F1E7C">
            <w:pPr>
              <w:rPr>
                <w:lang w:eastAsia="ko-KR"/>
              </w:rPr>
            </w:pPr>
            <w:r w:rsidRPr="005D7C20">
              <w:t xml:space="preserve">Effective </w:t>
            </w:r>
            <w:r w:rsidRPr="008C5D32">
              <w:t>distance</w:t>
            </w:r>
            <w:r w:rsidRPr="002A1BF9">
              <w:rPr>
                <w:rFonts w:hint="eastAsia"/>
                <w:lang w:eastAsia="ko-KR"/>
              </w:rPr>
              <w:t>*</w:t>
            </w:r>
          </w:p>
        </w:tc>
        <w:tc>
          <w:tcPr>
            <w:tcW w:w="692" w:type="pct"/>
          </w:tcPr>
          <w:p w:rsidR="00DD0FAA" w:rsidRPr="005D7C20" w:rsidRDefault="00DD0FAA" w:rsidP="004F1E7C">
            <w:r w:rsidRPr="005D7C20">
              <w:t xml:space="preserve">Absolute </w:t>
            </w:r>
            <w:r>
              <w:t>speed</w:t>
            </w:r>
            <w:r w:rsidRPr="005D7C20">
              <w:t xml:space="preserve"> of a UE supporting V2X Services</w:t>
            </w:r>
          </w:p>
        </w:tc>
        <w:tc>
          <w:tcPr>
            <w:tcW w:w="692" w:type="pct"/>
          </w:tcPr>
          <w:p w:rsidR="00DD0FAA" w:rsidRPr="005D7C20" w:rsidRDefault="00DD0FAA" w:rsidP="004F1E7C">
            <w:r w:rsidRPr="005D7C20">
              <w:t xml:space="preserve">Relative </w:t>
            </w:r>
            <w:r>
              <w:t>speed</w:t>
            </w:r>
            <w:r w:rsidRPr="005D7C20">
              <w:t xml:space="preserve"> between 2 UEs supporting V2X Services</w:t>
            </w:r>
          </w:p>
        </w:tc>
        <w:tc>
          <w:tcPr>
            <w:tcW w:w="613" w:type="pct"/>
            <w:hideMark/>
          </w:tcPr>
          <w:p w:rsidR="00DD0FAA" w:rsidRPr="005D7C20" w:rsidRDefault="00DD0FAA" w:rsidP="004F1E7C">
            <w:r w:rsidRPr="005D7C20">
              <w:t>Maximum tolerable latency</w:t>
            </w:r>
          </w:p>
        </w:tc>
        <w:tc>
          <w:tcPr>
            <w:tcW w:w="594" w:type="pct"/>
            <w:hideMark/>
          </w:tcPr>
          <w:p w:rsidR="00DD0FAA" w:rsidRPr="002A1BF9" w:rsidRDefault="00DD0FAA" w:rsidP="00DD0FAA">
            <w:pPr>
              <w:rPr>
                <w:lang w:eastAsia="ko-KR"/>
              </w:rPr>
            </w:pPr>
            <w:r w:rsidRPr="005D7C20">
              <w:t xml:space="preserve">Minimum </w:t>
            </w:r>
            <w:r w:rsidRPr="002A1BF9">
              <w:rPr>
                <w:rFonts w:hint="eastAsia"/>
                <w:lang w:eastAsia="ko-KR"/>
              </w:rPr>
              <w:t>radio</w:t>
            </w:r>
            <w:r w:rsidRPr="005D7C20">
              <w:t xml:space="preserve"> layer message reception reliability</w:t>
            </w:r>
            <w:r w:rsidRPr="002A1BF9">
              <w:rPr>
                <w:rFonts w:hint="eastAsia"/>
                <w:lang w:eastAsia="ko-KR"/>
              </w:rPr>
              <w:t xml:space="preserve"> </w:t>
            </w:r>
          </w:p>
        </w:tc>
        <w:tc>
          <w:tcPr>
            <w:tcW w:w="756" w:type="pct"/>
          </w:tcPr>
          <w:p w:rsidR="00DD0FAA" w:rsidRPr="002A1BF9" w:rsidRDefault="00DD0FAA" w:rsidP="004F1E7C">
            <w:pPr>
              <w:rPr>
                <w:lang w:eastAsia="ko-KR"/>
              </w:rPr>
            </w:pPr>
            <w:r w:rsidRPr="003C4D30">
              <w:t>Example</w:t>
            </w:r>
            <w:r>
              <w:t xml:space="preserve"> Cumulative transmission reliability***</w:t>
            </w:r>
          </w:p>
        </w:tc>
      </w:tr>
      <w:tr w:rsidR="00DD0FAA" w:rsidRPr="005D7C20" w:rsidTr="007D4F0E">
        <w:tc>
          <w:tcPr>
            <w:tcW w:w="1085" w:type="pct"/>
          </w:tcPr>
          <w:p w:rsidR="00DD0FAA" w:rsidRPr="005D7C20" w:rsidRDefault="00DD0FAA" w:rsidP="004F1E7C">
            <w:r w:rsidRPr="005D7C20">
              <w:t>#4 (NLOS / urban)</w:t>
            </w:r>
          </w:p>
        </w:tc>
        <w:tc>
          <w:tcPr>
            <w:tcW w:w="568" w:type="pct"/>
          </w:tcPr>
          <w:p w:rsidR="00DD0FAA" w:rsidRPr="002A1BF9" w:rsidRDefault="00DD0FAA" w:rsidP="004F1E7C">
            <w:pPr>
              <w:jc w:val="center"/>
              <w:rPr>
                <w:lang w:eastAsia="ko-KR"/>
              </w:rPr>
            </w:pPr>
            <w:r w:rsidRPr="002A1BF9">
              <w:rPr>
                <w:rFonts w:hint="eastAsia"/>
                <w:lang w:eastAsia="ko-KR"/>
              </w:rPr>
              <w:t>150m</w:t>
            </w:r>
          </w:p>
        </w:tc>
        <w:tc>
          <w:tcPr>
            <w:tcW w:w="692" w:type="pct"/>
          </w:tcPr>
          <w:p w:rsidR="00DD0FAA" w:rsidRPr="005D7C20" w:rsidRDefault="00DD0FAA" w:rsidP="004F1E7C">
            <w:pPr>
              <w:jc w:val="center"/>
            </w:pPr>
            <w:r w:rsidRPr="005D7C20">
              <w:t>50km</w:t>
            </w:r>
            <w:r>
              <w:t>/</w:t>
            </w:r>
            <w:r w:rsidRPr="005D7C20">
              <w:t>h</w:t>
            </w:r>
          </w:p>
        </w:tc>
        <w:tc>
          <w:tcPr>
            <w:tcW w:w="692" w:type="pct"/>
          </w:tcPr>
          <w:p w:rsidR="00DD0FAA" w:rsidRPr="005D7C20" w:rsidRDefault="00DD0FAA" w:rsidP="004F1E7C">
            <w:pPr>
              <w:jc w:val="center"/>
            </w:pPr>
            <w:r w:rsidRPr="005D7C20">
              <w:t>100km</w:t>
            </w:r>
            <w:r>
              <w:t>/</w:t>
            </w:r>
            <w:r w:rsidRPr="005D7C20">
              <w:t>h</w:t>
            </w:r>
          </w:p>
        </w:tc>
        <w:tc>
          <w:tcPr>
            <w:tcW w:w="613" w:type="pct"/>
          </w:tcPr>
          <w:p w:rsidR="00DD0FAA" w:rsidRPr="005D7C20" w:rsidRDefault="00DD0FAA" w:rsidP="004F1E7C">
            <w:pPr>
              <w:jc w:val="center"/>
            </w:pPr>
            <w:r w:rsidRPr="005D7C20">
              <w:t>100ms</w:t>
            </w:r>
          </w:p>
        </w:tc>
        <w:tc>
          <w:tcPr>
            <w:tcW w:w="594" w:type="pct"/>
          </w:tcPr>
          <w:p w:rsidR="00DD0FAA" w:rsidRPr="005D7C20" w:rsidRDefault="00DD0FAA" w:rsidP="004F1E7C">
            <w:pPr>
              <w:jc w:val="center"/>
            </w:pPr>
            <w:r w:rsidRPr="005D7C20">
              <w:t>90%</w:t>
            </w:r>
          </w:p>
        </w:tc>
        <w:tc>
          <w:tcPr>
            <w:tcW w:w="756" w:type="pct"/>
          </w:tcPr>
          <w:p w:rsidR="00DD0FAA" w:rsidRPr="008C1C25" w:rsidRDefault="00DD0FAA" w:rsidP="004F1E7C">
            <w:pPr>
              <w:jc w:val="center"/>
              <w:rPr>
                <w:lang w:eastAsia="ko-KR"/>
              </w:rPr>
            </w:pPr>
            <w:r w:rsidRPr="002A1BF9">
              <w:rPr>
                <w:rFonts w:hint="eastAsia"/>
                <w:lang w:eastAsia="ko-KR"/>
              </w:rPr>
              <w:t>99%</w:t>
            </w:r>
          </w:p>
        </w:tc>
      </w:tr>
      <w:tr w:rsidR="00DD0FAA" w:rsidRPr="005D7C20" w:rsidTr="007D4F0E">
        <w:tc>
          <w:tcPr>
            <w:tcW w:w="1085" w:type="pct"/>
            <w:hideMark/>
          </w:tcPr>
          <w:p w:rsidR="00DD0FAA" w:rsidRPr="005D7C20" w:rsidRDefault="00DD0FAA" w:rsidP="004F1E7C">
            <w:r w:rsidRPr="005D7C20">
              <w:t>#5 (urban intersection)</w:t>
            </w:r>
          </w:p>
        </w:tc>
        <w:tc>
          <w:tcPr>
            <w:tcW w:w="568" w:type="pct"/>
            <w:hideMark/>
          </w:tcPr>
          <w:p w:rsidR="00DD0FAA" w:rsidRPr="005D7C20" w:rsidRDefault="00DD0FAA" w:rsidP="004F1E7C">
            <w:pPr>
              <w:jc w:val="center"/>
            </w:pPr>
            <w:r w:rsidRPr="005D7C20">
              <w:t>50m</w:t>
            </w:r>
          </w:p>
        </w:tc>
        <w:tc>
          <w:tcPr>
            <w:tcW w:w="692" w:type="pct"/>
          </w:tcPr>
          <w:p w:rsidR="00DD0FAA" w:rsidRPr="005D7C20" w:rsidRDefault="00DD0FAA" w:rsidP="004F1E7C">
            <w:pPr>
              <w:jc w:val="center"/>
            </w:pPr>
            <w:r w:rsidRPr="005D7C20">
              <w:t>50km</w:t>
            </w:r>
            <w:r>
              <w:t>/</w:t>
            </w:r>
            <w:r w:rsidRPr="005D7C20">
              <w:t>h</w:t>
            </w:r>
          </w:p>
        </w:tc>
        <w:tc>
          <w:tcPr>
            <w:tcW w:w="692" w:type="pct"/>
          </w:tcPr>
          <w:p w:rsidR="00DD0FAA" w:rsidRPr="005D7C20" w:rsidRDefault="00DD0FAA" w:rsidP="004F1E7C">
            <w:pPr>
              <w:jc w:val="center"/>
            </w:pPr>
            <w:r w:rsidRPr="005D7C20">
              <w:t>100km</w:t>
            </w:r>
            <w:r>
              <w:t>/</w:t>
            </w:r>
            <w:r w:rsidRPr="005D7C20">
              <w:t>h</w:t>
            </w:r>
          </w:p>
        </w:tc>
        <w:tc>
          <w:tcPr>
            <w:tcW w:w="613" w:type="pct"/>
            <w:hideMark/>
          </w:tcPr>
          <w:p w:rsidR="00DD0FAA" w:rsidRPr="005D7C20" w:rsidRDefault="00DD0FAA" w:rsidP="004F1E7C">
            <w:pPr>
              <w:jc w:val="center"/>
            </w:pPr>
            <w:r w:rsidRPr="005D7C20">
              <w:t>100ms</w:t>
            </w:r>
          </w:p>
        </w:tc>
        <w:tc>
          <w:tcPr>
            <w:tcW w:w="594" w:type="pct"/>
            <w:hideMark/>
          </w:tcPr>
          <w:p w:rsidR="00DD0FAA" w:rsidRPr="005D7C20" w:rsidRDefault="00DD0FAA" w:rsidP="004F1E7C">
            <w:pPr>
              <w:jc w:val="center"/>
            </w:pPr>
            <w:r w:rsidRPr="005D7C20">
              <w:t>95%</w:t>
            </w:r>
          </w:p>
        </w:tc>
        <w:tc>
          <w:tcPr>
            <w:tcW w:w="756" w:type="pct"/>
          </w:tcPr>
          <w:p w:rsidR="00DD0FAA" w:rsidRPr="008C1C25" w:rsidRDefault="00DD0FAA" w:rsidP="004F1E7C">
            <w:pPr>
              <w:jc w:val="center"/>
              <w:rPr>
                <w:lang w:eastAsia="ko-KR"/>
              </w:rPr>
            </w:pPr>
            <w:r w:rsidRPr="009A2128">
              <w:rPr>
                <w:rFonts w:hint="eastAsia"/>
                <w:lang w:eastAsia="ko-KR"/>
              </w:rPr>
              <w:t>-</w:t>
            </w:r>
          </w:p>
        </w:tc>
      </w:tr>
      <w:tr w:rsidR="0011629F" w:rsidRPr="005D7C20" w:rsidTr="0011629F">
        <w:tc>
          <w:tcPr>
            <w:tcW w:w="1085" w:type="pct"/>
            <w:tcBorders>
              <w:top w:val="single" w:sz="4" w:space="0" w:color="auto"/>
              <w:left w:val="single" w:sz="4" w:space="0" w:color="auto"/>
              <w:bottom w:val="single" w:sz="4" w:space="0" w:color="auto"/>
              <w:right w:val="single" w:sz="4" w:space="0" w:color="auto"/>
            </w:tcBorders>
            <w:hideMark/>
          </w:tcPr>
          <w:p w:rsidR="0011629F" w:rsidRPr="005D7C20" w:rsidRDefault="0011629F" w:rsidP="00D01AFA">
            <w:r w:rsidRPr="00AA6205">
              <w:t>#6 (campus/</w:t>
            </w:r>
            <w:r>
              <w:rPr>
                <w:rFonts w:hint="eastAsia"/>
              </w:rPr>
              <w:t xml:space="preserve"> </w:t>
            </w:r>
            <w:r w:rsidRPr="00AA6205">
              <w:t>shopping</w:t>
            </w:r>
            <w:r>
              <w:t xml:space="preserve"> area</w:t>
            </w:r>
            <w:r w:rsidRPr="00AA6205">
              <w:t>)</w:t>
            </w:r>
          </w:p>
        </w:tc>
        <w:tc>
          <w:tcPr>
            <w:tcW w:w="568" w:type="pct"/>
            <w:tcBorders>
              <w:top w:val="single" w:sz="4" w:space="0" w:color="auto"/>
              <w:left w:val="single" w:sz="4" w:space="0" w:color="auto"/>
              <w:bottom w:val="single" w:sz="4" w:space="0" w:color="auto"/>
              <w:right w:val="single" w:sz="4" w:space="0" w:color="auto"/>
            </w:tcBorders>
            <w:hideMark/>
          </w:tcPr>
          <w:p w:rsidR="0011629F" w:rsidRPr="005D7C20" w:rsidRDefault="0011629F" w:rsidP="00D01AFA">
            <w:pPr>
              <w:jc w:val="center"/>
            </w:pPr>
            <w:r w:rsidRPr="00AA6205">
              <w:t>50m</w:t>
            </w:r>
          </w:p>
        </w:tc>
        <w:tc>
          <w:tcPr>
            <w:tcW w:w="692" w:type="pct"/>
            <w:tcBorders>
              <w:top w:val="single" w:sz="4" w:space="0" w:color="auto"/>
              <w:left w:val="single" w:sz="4" w:space="0" w:color="auto"/>
              <w:bottom w:val="single" w:sz="4" w:space="0" w:color="auto"/>
              <w:right w:val="single" w:sz="4" w:space="0" w:color="auto"/>
            </w:tcBorders>
          </w:tcPr>
          <w:p w:rsidR="0011629F" w:rsidRPr="005D7C20" w:rsidRDefault="0011629F" w:rsidP="00D01AFA">
            <w:pPr>
              <w:jc w:val="center"/>
            </w:pPr>
            <w:r>
              <w:t>30</w:t>
            </w:r>
            <w:r w:rsidRPr="00AA6205">
              <w:t>km</w:t>
            </w:r>
            <w:r>
              <w:t>/</w:t>
            </w:r>
            <w:r w:rsidRPr="00AA6205">
              <w:t>h</w:t>
            </w:r>
          </w:p>
        </w:tc>
        <w:tc>
          <w:tcPr>
            <w:tcW w:w="692" w:type="pct"/>
            <w:tcBorders>
              <w:top w:val="single" w:sz="4" w:space="0" w:color="auto"/>
              <w:left w:val="single" w:sz="4" w:space="0" w:color="auto"/>
              <w:bottom w:val="single" w:sz="4" w:space="0" w:color="auto"/>
              <w:right w:val="single" w:sz="4" w:space="0" w:color="auto"/>
            </w:tcBorders>
          </w:tcPr>
          <w:p w:rsidR="0011629F" w:rsidRPr="005D7C20" w:rsidRDefault="0011629F" w:rsidP="00D01AFA">
            <w:pPr>
              <w:jc w:val="center"/>
            </w:pPr>
            <w:r>
              <w:t>30</w:t>
            </w:r>
            <w:r w:rsidRPr="00AA6205">
              <w:t>km</w:t>
            </w:r>
            <w:r>
              <w:t>/</w:t>
            </w:r>
            <w:r w:rsidRPr="00AA6205">
              <w:t>h</w:t>
            </w:r>
          </w:p>
        </w:tc>
        <w:tc>
          <w:tcPr>
            <w:tcW w:w="613" w:type="pct"/>
            <w:tcBorders>
              <w:top w:val="single" w:sz="4" w:space="0" w:color="auto"/>
              <w:left w:val="single" w:sz="4" w:space="0" w:color="auto"/>
              <w:bottom w:val="single" w:sz="4" w:space="0" w:color="auto"/>
              <w:right w:val="single" w:sz="4" w:space="0" w:color="auto"/>
            </w:tcBorders>
            <w:hideMark/>
          </w:tcPr>
          <w:p w:rsidR="0011629F" w:rsidRPr="005D7C20" w:rsidRDefault="0011629F" w:rsidP="00D01AFA">
            <w:pPr>
              <w:jc w:val="center"/>
            </w:pPr>
            <w:r>
              <w:t>100</w:t>
            </w:r>
            <w:r w:rsidRPr="00AA6205">
              <w:t>ms</w:t>
            </w:r>
          </w:p>
        </w:tc>
        <w:tc>
          <w:tcPr>
            <w:tcW w:w="594" w:type="pct"/>
            <w:tcBorders>
              <w:top w:val="single" w:sz="4" w:space="0" w:color="auto"/>
              <w:left w:val="single" w:sz="4" w:space="0" w:color="auto"/>
              <w:bottom w:val="single" w:sz="4" w:space="0" w:color="auto"/>
              <w:right w:val="single" w:sz="4" w:space="0" w:color="auto"/>
            </w:tcBorders>
            <w:hideMark/>
          </w:tcPr>
          <w:p w:rsidR="0011629F" w:rsidRPr="005D7C20" w:rsidRDefault="0011629F" w:rsidP="00D01AFA">
            <w:pPr>
              <w:jc w:val="center"/>
            </w:pPr>
            <w:r>
              <w:t>90%</w:t>
            </w:r>
          </w:p>
        </w:tc>
        <w:tc>
          <w:tcPr>
            <w:tcW w:w="756" w:type="pct"/>
            <w:tcBorders>
              <w:top w:val="single" w:sz="4" w:space="0" w:color="auto"/>
              <w:left w:val="single" w:sz="4" w:space="0" w:color="auto"/>
              <w:bottom w:val="single" w:sz="4" w:space="0" w:color="auto"/>
              <w:right w:val="single" w:sz="4" w:space="0" w:color="auto"/>
            </w:tcBorders>
          </w:tcPr>
          <w:p w:rsidR="0011629F" w:rsidRPr="008C1C25" w:rsidRDefault="0011629F" w:rsidP="00D01AFA">
            <w:pPr>
              <w:jc w:val="center"/>
              <w:rPr>
                <w:lang w:eastAsia="ko-KR"/>
              </w:rPr>
            </w:pPr>
            <w:r w:rsidRPr="002A1BF9">
              <w:rPr>
                <w:rFonts w:hint="eastAsia"/>
                <w:lang w:eastAsia="ko-KR"/>
              </w:rPr>
              <w:t>99%</w:t>
            </w:r>
          </w:p>
        </w:tc>
      </w:tr>
    </w:tbl>
    <w:p w:rsidR="0011629F" w:rsidRDefault="0011629F" w:rsidP="00DD0FAA">
      <w:pPr>
        <w:jc w:val="both"/>
      </w:pPr>
    </w:p>
    <w:p w:rsidR="00E75DD7" w:rsidRDefault="007D51E5" w:rsidP="00DD0FAA">
      <w:pPr>
        <w:jc w:val="both"/>
      </w:pPr>
      <w:r>
        <w:t xml:space="preserve">RAN1 has modelled the </w:t>
      </w:r>
      <w:r w:rsidR="00DD0FAA">
        <w:t>NLOS/urban scenario</w:t>
      </w:r>
      <w:r>
        <w:t xml:space="preserve"> </w:t>
      </w:r>
      <w:r w:rsidR="00051147">
        <w:t>for both 50 m and 150 m range</w:t>
      </w:r>
      <w:r w:rsidR="0011629F">
        <w:t>.</w:t>
      </w:r>
      <w:r w:rsidR="00AC3D08">
        <w:t xml:space="preserve"> </w:t>
      </w:r>
      <w:r w:rsidR="001B1B6D">
        <w:t xml:space="preserve">However </w:t>
      </w:r>
      <w:r w:rsidR="00AC3D08">
        <w:t xml:space="preserve">for both cases </w:t>
      </w:r>
      <w:r w:rsidR="00AC7E9E">
        <w:t>the</w:t>
      </w:r>
      <w:r w:rsidR="00AC3D08">
        <w:t xml:space="preserve"> SA1</w:t>
      </w:r>
      <w:r w:rsidR="00AC7E9E">
        <w:t xml:space="preserve"> requirements</w:t>
      </w:r>
      <w:r w:rsidR="001B1B6D">
        <w:t xml:space="preserve"> are applied generically</w:t>
      </w:r>
      <w:r w:rsidR="00AC7E9E">
        <w:t xml:space="preserve"> to cover any 2 vehicles A and B anywhere within</w:t>
      </w:r>
      <w:r w:rsidR="00DD0FAA">
        <w:t xml:space="preserve"> the </w:t>
      </w:r>
      <w:r w:rsidR="00A80B13">
        <w:t>required range</w:t>
      </w:r>
      <w:r w:rsidR="00AC7E9E">
        <w:t xml:space="preserve"> within the simulation scenario. This may have led to overly conservative results due to the 150m range being required to be met even when vehicle A and B are not on the same street. </w:t>
      </w:r>
    </w:p>
    <w:p w:rsidR="00E75DD7" w:rsidRDefault="00E75DD7" w:rsidP="00DD0FAA">
      <w:pPr>
        <w:jc w:val="both"/>
      </w:pPr>
      <w:r w:rsidRPr="0027248F">
        <w:rPr>
          <w:u w:val="single"/>
        </w:rPr>
        <w:t>Possible new approach</w:t>
      </w:r>
      <w:r>
        <w:t>:</w:t>
      </w:r>
    </w:p>
    <w:p w:rsidR="002C1A42" w:rsidRDefault="00AC7E9E" w:rsidP="00DD0FAA">
      <w:pPr>
        <w:jc w:val="both"/>
      </w:pPr>
      <w:r>
        <w:t xml:space="preserve">A </w:t>
      </w:r>
      <w:r w:rsidR="002C1A42">
        <w:t xml:space="preserve">more accurate evaluation </w:t>
      </w:r>
      <w:r w:rsidR="000C61FA">
        <w:t>may</w:t>
      </w:r>
      <w:r w:rsidR="002C1A42">
        <w:t xml:space="preserve"> be to separate</w:t>
      </w:r>
      <w:r w:rsidR="000C61FA">
        <w:t>ly evaluate the link level</w:t>
      </w:r>
      <w:r w:rsidR="002C1A42">
        <w:t xml:space="preserve"> relationships </w:t>
      </w:r>
      <w:r w:rsidR="000C61FA">
        <w:t xml:space="preserve">between any two vehicles A and B </w:t>
      </w:r>
      <w:r w:rsidR="002C1A42">
        <w:t>in the following way:</w:t>
      </w:r>
      <w:r w:rsidR="00643273" w:rsidRPr="00643273">
        <w:t xml:space="preserve"> </w:t>
      </w:r>
    </w:p>
    <w:p w:rsidR="00DF1A3B" w:rsidRDefault="000C61FA" w:rsidP="00834A5D">
      <w:pPr>
        <w:pStyle w:val="ListParagraph"/>
        <w:numPr>
          <w:ilvl w:val="0"/>
          <w:numId w:val="6"/>
        </w:numPr>
        <w:spacing w:after="120"/>
        <w:contextualSpacing w:val="0"/>
        <w:jc w:val="both"/>
      </w:pPr>
      <w:r>
        <w:t xml:space="preserve">When </w:t>
      </w:r>
      <w:r w:rsidR="0027248F">
        <w:t xml:space="preserve">vehicle </w:t>
      </w:r>
      <w:r>
        <w:t xml:space="preserve">A and </w:t>
      </w:r>
      <w:r w:rsidR="0027248F">
        <w:t xml:space="preserve">vehicle </w:t>
      </w:r>
      <w:r>
        <w:t xml:space="preserve">B are on different streets perpendicular to each other then they should follow the message reliability and range requirements of the </w:t>
      </w:r>
      <w:r w:rsidR="00AC7E9E">
        <w:t>“</w:t>
      </w:r>
      <w:r>
        <w:t>Urban Intersection</w:t>
      </w:r>
      <w:r w:rsidR="00AC7E9E">
        <w:t>”</w:t>
      </w:r>
      <w:r>
        <w:t xml:space="preserve"> scenario</w:t>
      </w:r>
      <w:r w:rsidR="00AC7E9E">
        <w:t xml:space="preserve"> – including the NLOS component when separated by the corner of a building</w:t>
      </w:r>
      <w:r>
        <w:t xml:space="preserve">. </w:t>
      </w:r>
      <w:r w:rsidR="002C1A42">
        <w:t xml:space="preserve"> </w:t>
      </w:r>
      <w:r>
        <w:t>Note that for the case where vehicles A and B are on parallel streets then</w:t>
      </w:r>
      <w:r w:rsidR="00AC7E9E">
        <w:t xml:space="preserve"> -</w:t>
      </w:r>
      <w:r>
        <w:t xml:space="preserve"> due to the size of the buildings having a larger width than 150m</w:t>
      </w:r>
      <w:r w:rsidR="00AC7E9E">
        <w:t xml:space="preserve"> - </w:t>
      </w:r>
      <w:r>
        <w:t xml:space="preserve">there would be no </w:t>
      </w:r>
      <w:r w:rsidR="00AC7E9E">
        <w:t>required reception</w:t>
      </w:r>
      <w:r>
        <w:t>.</w:t>
      </w:r>
      <w:r w:rsidR="00A80B13">
        <w:t xml:space="preserve"> This approach should help with the intersection scenario with NLOS since a comparison between different ranges shows that 50m </w:t>
      </w:r>
      <w:r w:rsidR="00EB0C8B">
        <w:t>range has</w:t>
      </w:r>
      <w:r w:rsidR="00A80B13">
        <w:t xml:space="preserve"> better reliability compared to 150 m range [2].</w:t>
      </w:r>
      <w:r w:rsidR="00DF1A3B">
        <w:t xml:space="preserve"> </w:t>
      </w:r>
    </w:p>
    <w:p w:rsidR="00EE3FCB" w:rsidRDefault="00DF1A3B" w:rsidP="00AC3D08">
      <w:pPr>
        <w:pStyle w:val="ListParagraph"/>
        <w:numPr>
          <w:ilvl w:val="0"/>
          <w:numId w:val="6"/>
        </w:numPr>
        <w:spacing w:after="120"/>
        <w:ind w:left="714" w:hanging="357"/>
        <w:contextualSpacing w:val="0"/>
        <w:jc w:val="both"/>
      </w:pPr>
      <w:r>
        <w:t xml:space="preserve">When vehicle A and vehicle B are on the same street they should follow the message reliability and range requirements of the “NLOS/Urban scenario” (it may be that the NLOS component here is not relevant – possibly the existing shadowing coefficient is sufficient to model penetration loss of other intermediate vehicles between Vehicle A and Vehicle B). </w:t>
      </w:r>
    </w:p>
    <w:p w:rsidR="000C61FA" w:rsidRDefault="00EE3FCB" w:rsidP="00A80B13">
      <w:pPr>
        <w:spacing w:after="120"/>
        <w:jc w:val="both"/>
      </w:pPr>
      <w:r>
        <w:t xml:space="preserve">Also according to SA1 requirements the minimum car speed for urban cases is 30 km/s </w:t>
      </w:r>
      <w:r w:rsidR="00A80B13">
        <w:t xml:space="preserve">with </w:t>
      </w:r>
      <w:r w:rsidR="00A80B13">
        <w:rPr>
          <w:szCs w:val="22"/>
          <w:lang w:val="en-US"/>
        </w:rPr>
        <w:t>a p</w:t>
      </w:r>
      <w:r w:rsidR="00A80B13" w:rsidRPr="00677A11">
        <w:rPr>
          <w:szCs w:val="22"/>
          <w:lang w:val="en-US"/>
        </w:rPr>
        <w:t xml:space="preserve">eriodic traffic </w:t>
      </w:r>
      <w:r w:rsidR="00EB0C8B">
        <w:rPr>
          <w:szCs w:val="22"/>
          <w:lang w:val="en-US"/>
        </w:rPr>
        <w:t>which</w:t>
      </w:r>
      <w:r w:rsidR="00A80B13">
        <w:rPr>
          <w:szCs w:val="22"/>
          <w:lang w:val="en-US"/>
        </w:rPr>
        <w:t xml:space="preserve"> </w:t>
      </w:r>
      <w:r w:rsidR="00A80B13" w:rsidRPr="00F93DFA">
        <w:rPr>
          <w:szCs w:val="22"/>
          <w:lang w:val="en-US"/>
        </w:rPr>
        <w:t xml:space="preserve">generates messages </w:t>
      </w:r>
      <w:r w:rsidR="00A80B13">
        <w:rPr>
          <w:szCs w:val="22"/>
          <w:lang w:val="en-US"/>
        </w:rPr>
        <w:t xml:space="preserve">every 100 </w:t>
      </w:r>
      <w:proofErr w:type="spellStart"/>
      <w:r w:rsidR="00A80B13">
        <w:rPr>
          <w:szCs w:val="22"/>
          <w:lang w:val="en-US"/>
        </w:rPr>
        <w:t>ms</w:t>
      </w:r>
      <w:proofErr w:type="spellEnd"/>
      <w:r w:rsidR="00A80B13">
        <w:rPr>
          <w:szCs w:val="22"/>
          <w:lang w:val="en-US"/>
        </w:rPr>
        <w:t xml:space="preserve">, </w:t>
      </w:r>
      <w:r>
        <w:t xml:space="preserve">while in RAN1 simulations the car speed is set to 15 km/h </w:t>
      </w:r>
      <w:r w:rsidR="00A80B13">
        <w:t>with the same message periodicity</w:t>
      </w:r>
      <w:r>
        <w:t xml:space="preserve">. </w:t>
      </w:r>
      <w:r w:rsidR="00A80B13">
        <w:rPr>
          <w:szCs w:val="22"/>
          <w:lang w:val="en-US"/>
        </w:rPr>
        <w:t>SA1 has had some discussion on the possibility of reducing the message generation periodicity especially for vehicles that are densely packed in urban scenarios and likely to be slow-moving and not require such fast reaction times. It seems there was no agreement so far in SA1 to soften the “transport” requirements (i.e</w:t>
      </w:r>
      <w:r w:rsidR="00EB0C8B">
        <w:rPr>
          <w:szCs w:val="22"/>
          <w:lang w:val="en-US"/>
        </w:rPr>
        <w:t>. what the RAN should provide). However</w:t>
      </w:r>
      <w:r>
        <w:t xml:space="preserve"> </w:t>
      </w:r>
      <w:r w:rsidR="00EB0C8B">
        <w:t>a</w:t>
      </w:r>
      <w:r>
        <w:t xml:space="preserve"> further improvement can be achieved by reducing the </w:t>
      </w:r>
      <w:r w:rsidRPr="00834A5D">
        <w:t>message generation periodicity</w:t>
      </w:r>
      <w:r>
        <w:t xml:space="preserve"> </w:t>
      </w:r>
      <w:r w:rsidR="00A80B13">
        <w:t xml:space="preserve">especially </w:t>
      </w:r>
      <w:r>
        <w:t>for cases that the cars are moving slower than 30km/h. This would help to reduce the message load and increase the reliability in urban scenarios.</w:t>
      </w:r>
      <w:r w:rsidR="00DD0FAA">
        <w:t xml:space="preserve"> </w:t>
      </w:r>
    </w:p>
    <w:p w:rsidR="00DD0FAA" w:rsidRPr="00643273" w:rsidRDefault="002102B9" w:rsidP="003A738E">
      <w:pPr>
        <w:jc w:val="both"/>
        <w:rPr>
          <w:b/>
        </w:rPr>
      </w:pPr>
      <w:r>
        <w:rPr>
          <w:b/>
        </w:rPr>
        <w:t>Proposal</w:t>
      </w:r>
      <w:r w:rsidR="001820E1">
        <w:rPr>
          <w:b/>
        </w:rPr>
        <w:t xml:space="preserve"> 1</w:t>
      </w:r>
      <w:r>
        <w:rPr>
          <w:b/>
        </w:rPr>
        <w:t xml:space="preserve">: </w:t>
      </w:r>
      <w:r w:rsidR="00DD0FAA" w:rsidRPr="00643273">
        <w:rPr>
          <w:b/>
        </w:rPr>
        <w:t xml:space="preserve">It </w:t>
      </w:r>
      <w:r w:rsidR="0017649B" w:rsidRPr="00643273">
        <w:rPr>
          <w:b/>
        </w:rPr>
        <w:t xml:space="preserve">is proposed to </w:t>
      </w:r>
      <w:r w:rsidR="00834A5D">
        <w:rPr>
          <w:b/>
        </w:rPr>
        <w:t>evaluate</w:t>
      </w:r>
      <w:r w:rsidR="00834A5D" w:rsidRPr="00643273">
        <w:rPr>
          <w:b/>
        </w:rPr>
        <w:t xml:space="preserve"> </w:t>
      </w:r>
      <w:r w:rsidR="0017649B" w:rsidRPr="00643273">
        <w:rPr>
          <w:b/>
        </w:rPr>
        <w:t xml:space="preserve">whether </w:t>
      </w:r>
      <w:r w:rsidR="00E75DD7">
        <w:rPr>
          <w:b/>
        </w:rPr>
        <w:t>the above</w:t>
      </w:r>
      <w:r w:rsidR="00E75DD7" w:rsidRPr="00643273">
        <w:rPr>
          <w:b/>
        </w:rPr>
        <w:t xml:space="preserve"> </w:t>
      </w:r>
      <w:r w:rsidR="00643273">
        <w:rPr>
          <w:b/>
        </w:rPr>
        <w:t xml:space="preserve">approach </w:t>
      </w:r>
      <w:r w:rsidR="00834A5D">
        <w:rPr>
          <w:b/>
        </w:rPr>
        <w:t xml:space="preserve">together with </w:t>
      </w:r>
      <w:r w:rsidR="00F2705C">
        <w:rPr>
          <w:b/>
        </w:rPr>
        <w:t>some small change in</w:t>
      </w:r>
      <w:r w:rsidR="00834A5D">
        <w:rPr>
          <w:b/>
        </w:rPr>
        <w:t xml:space="preserve"> </w:t>
      </w:r>
      <w:r w:rsidR="00834A5D" w:rsidRPr="002102B9">
        <w:rPr>
          <w:b/>
          <w:lang w:val="en-US"/>
        </w:rPr>
        <w:t>message generation periodicity</w:t>
      </w:r>
      <w:r w:rsidR="00834A5D" w:rsidRPr="00643273">
        <w:rPr>
          <w:b/>
        </w:rPr>
        <w:t xml:space="preserve"> </w:t>
      </w:r>
      <w:r w:rsidR="0017649B" w:rsidRPr="00643273">
        <w:rPr>
          <w:b/>
        </w:rPr>
        <w:t xml:space="preserve">would </w:t>
      </w:r>
      <w:r w:rsidR="00834A5D">
        <w:rPr>
          <w:b/>
        </w:rPr>
        <w:t>help the reliability issues of V2V for urban scenarios.</w:t>
      </w:r>
      <w:r w:rsidR="0017649B" w:rsidRPr="00643273">
        <w:rPr>
          <w:b/>
        </w:rPr>
        <w:t xml:space="preserve"> </w:t>
      </w:r>
    </w:p>
    <w:p w:rsidR="0017649B" w:rsidRDefault="0017649B" w:rsidP="0017649B">
      <w:pPr>
        <w:pStyle w:val="Heading1"/>
      </w:pPr>
      <w:r>
        <w:t>4</w:t>
      </w:r>
      <w:r>
        <w:tab/>
      </w:r>
      <w:r w:rsidR="00EC2EDB">
        <w:t>A</w:t>
      </w:r>
      <w:r>
        <w:t xml:space="preserve">dditional </w:t>
      </w:r>
      <w:r w:rsidR="00EC2EDB">
        <w:t xml:space="preserve">radio </w:t>
      </w:r>
      <w:r>
        <w:t>techniques</w:t>
      </w:r>
    </w:p>
    <w:p w:rsidR="000F3115" w:rsidRPr="00F2705C" w:rsidRDefault="00E75DD7" w:rsidP="0027248F">
      <w:pPr>
        <w:jc w:val="both"/>
        <w:rPr>
          <w:szCs w:val="22"/>
          <w:lang w:val="en-US"/>
        </w:rPr>
      </w:pPr>
      <w:r w:rsidRPr="00F2705C">
        <w:rPr>
          <w:szCs w:val="22"/>
          <w:lang w:val="en-US"/>
        </w:rPr>
        <w:t>We could also consider whether additional techniques could be used to help our system to meet SA1 requirements</w:t>
      </w:r>
      <w:r w:rsidR="000F3115" w:rsidRPr="00F2705C">
        <w:rPr>
          <w:szCs w:val="22"/>
          <w:lang w:val="en-US"/>
        </w:rPr>
        <w:t xml:space="preserve"> in high density scenarios. However, given that we really need to complete the LTE V2V work quickly and within the documented WI timescales to allow LTE technology to take advantage of the V2V opportunity, any new technique would need to:</w:t>
      </w:r>
    </w:p>
    <w:p w:rsidR="000F3115" w:rsidRPr="00F2705C" w:rsidRDefault="000F3115" w:rsidP="0027248F">
      <w:pPr>
        <w:pStyle w:val="ListParagraph"/>
        <w:numPr>
          <w:ilvl w:val="0"/>
          <w:numId w:val="6"/>
        </w:numPr>
        <w:jc w:val="both"/>
        <w:rPr>
          <w:szCs w:val="22"/>
          <w:lang w:val="en-US"/>
        </w:rPr>
      </w:pPr>
      <w:r w:rsidRPr="00F2705C">
        <w:rPr>
          <w:szCs w:val="22"/>
          <w:lang w:val="en-US"/>
        </w:rPr>
        <w:lastRenderedPageBreak/>
        <w:t>clearly provide benefit in allowing us to meet SA1 requirements</w:t>
      </w:r>
    </w:p>
    <w:p w:rsidR="000F3115" w:rsidRPr="00F2705C" w:rsidRDefault="000F3115" w:rsidP="0027248F">
      <w:pPr>
        <w:pStyle w:val="ListParagraph"/>
        <w:numPr>
          <w:ilvl w:val="0"/>
          <w:numId w:val="6"/>
        </w:numPr>
        <w:jc w:val="both"/>
        <w:rPr>
          <w:szCs w:val="22"/>
          <w:lang w:val="en-US"/>
        </w:rPr>
      </w:pPr>
      <w:r w:rsidRPr="00F2705C">
        <w:rPr>
          <w:szCs w:val="22"/>
          <w:lang w:val="en-US"/>
        </w:rPr>
        <w:t>not require large changes to chipset designs</w:t>
      </w:r>
    </w:p>
    <w:p w:rsidR="000F3115" w:rsidRPr="00F2705C" w:rsidRDefault="000F3115" w:rsidP="0027248F">
      <w:pPr>
        <w:pStyle w:val="ListParagraph"/>
        <w:numPr>
          <w:ilvl w:val="0"/>
          <w:numId w:val="6"/>
        </w:numPr>
        <w:jc w:val="both"/>
        <w:rPr>
          <w:szCs w:val="22"/>
          <w:lang w:val="en-US"/>
        </w:rPr>
      </w:pPr>
      <w:r w:rsidRPr="00F2705C">
        <w:rPr>
          <w:szCs w:val="22"/>
          <w:lang w:val="en-US"/>
        </w:rPr>
        <w:t>be reasonably simple to standardize</w:t>
      </w:r>
    </w:p>
    <w:p w:rsidR="000F3115" w:rsidRPr="00F2705C" w:rsidRDefault="000F3115" w:rsidP="0027248F">
      <w:pPr>
        <w:pStyle w:val="ListParagraph"/>
        <w:numPr>
          <w:ilvl w:val="0"/>
          <w:numId w:val="6"/>
        </w:numPr>
        <w:jc w:val="both"/>
        <w:rPr>
          <w:szCs w:val="22"/>
          <w:lang w:val="en-US"/>
        </w:rPr>
      </w:pPr>
      <w:proofErr w:type="gramStart"/>
      <w:r w:rsidRPr="00F2705C">
        <w:rPr>
          <w:szCs w:val="22"/>
          <w:lang w:val="en-US"/>
        </w:rPr>
        <w:t>be</w:t>
      </w:r>
      <w:proofErr w:type="gramEnd"/>
      <w:r w:rsidRPr="00F2705C">
        <w:rPr>
          <w:szCs w:val="22"/>
          <w:lang w:val="en-US"/>
        </w:rPr>
        <w:t xml:space="preserve"> something that does not reduce the attractiveness of LTE V2V to car manufacturers.</w:t>
      </w:r>
    </w:p>
    <w:p w:rsidR="000F3115" w:rsidRPr="000F3115" w:rsidRDefault="000F3115" w:rsidP="0027248F">
      <w:pPr>
        <w:jc w:val="both"/>
        <w:rPr>
          <w:szCs w:val="22"/>
          <w:lang w:val="en-US"/>
        </w:rPr>
      </w:pPr>
      <w:r w:rsidRPr="000F3115">
        <w:rPr>
          <w:szCs w:val="22"/>
          <w:lang w:val="en-US"/>
        </w:rPr>
        <w:t>2 techniques worth considering are</w:t>
      </w:r>
      <w:r>
        <w:rPr>
          <w:szCs w:val="22"/>
          <w:lang w:val="en-US"/>
        </w:rPr>
        <w:t xml:space="preserve"> described below</w:t>
      </w:r>
      <w:r w:rsidRPr="000F3115">
        <w:rPr>
          <w:szCs w:val="22"/>
          <w:lang w:val="en-US"/>
        </w:rPr>
        <w:t>:</w:t>
      </w:r>
    </w:p>
    <w:p w:rsidR="00643273" w:rsidRPr="00643273" w:rsidRDefault="00643273" w:rsidP="00705D6F">
      <w:pPr>
        <w:rPr>
          <w:u w:val="single"/>
        </w:rPr>
      </w:pPr>
      <w:r w:rsidRPr="00643273">
        <w:rPr>
          <w:szCs w:val="22"/>
          <w:u w:val="single"/>
          <w:lang w:val="en-US"/>
        </w:rPr>
        <w:t>Code division multiplexing (</w:t>
      </w:r>
      <w:r w:rsidRPr="00643273">
        <w:rPr>
          <w:u w:val="single"/>
        </w:rPr>
        <w:t xml:space="preserve">CDM) </w:t>
      </w:r>
      <w:r w:rsidR="00F2705C">
        <w:rPr>
          <w:u w:val="single"/>
        </w:rPr>
        <w:t xml:space="preserve">on the </w:t>
      </w:r>
      <w:proofErr w:type="spellStart"/>
      <w:r w:rsidR="00F2705C">
        <w:rPr>
          <w:u w:val="single"/>
        </w:rPr>
        <w:t>sidelink</w:t>
      </w:r>
      <w:proofErr w:type="spellEnd"/>
      <w:r w:rsidR="00F2705C">
        <w:rPr>
          <w:u w:val="single"/>
        </w:rPr>
        <w:t xml:space="preserve"> channel</w:t>
      </w:r>
    </w:p>
    <w:p w:rsidR="00CE45D0" w:rsidRDefault="00643273" w:rsidP="00651673">
      <w:pPr>
        <w:jc w:val="both"/>
      </w:pPr>
      <w:r>
        <w:rPr>
          <w:szCs w:val="22"/>
          <w:lang w:val="en-US"/>
        </w:rPr>
        <w:t>R</w:t>
      </w:r>
      <w:r w:rsidRPr="00EE2ECE">
        <w:rPr>
          <w:szCs w:val="22"/>
          <w:lang w:val="en-US"/>
        </w:rPr>
        <w:t>educ</w:t>
      </w:r>
      <w:r>
        <w:rPr>
          <w:szCs w:val="22"/>
          <w:lang w:val="en-US"/>
        </w:rPr>
        <w:t>ing the level of FDM and introducing</w:t>
      </w:r>
      <w:r w:rsidRPr="00EE2ECE">
        <w:rPr>
          <w:szCs w:val="22"/>
          <w:lang w:val="en-US"/>
        </w:rPr>
        <w:t xml:space="preserve"> </w:t>
      </w:r>
      <w:r>
        <w:rPr>
          <w:szCs w:val="22"/>
          <w:lang w:val="en-US"/>
        </w:rPr>
        <w:t>CDM on top of orthogonal subcarriers will help to</w:t>
      </w:r>
      <w:r>
        <w:t xml:space="preserve"> remove </w:t>
      </w:r>
      <w:proofErr w:type="spellStart"/>
      <w:r>
        <w:t>inband</w:t>
      </w:r>
      <w:proofErr w:type="spellEnd"/>
      <w:r>
        <w:t xml:space="preserve"> emission issues</w:t>
      </w:r>
      <w:r w:rsidRPr="00EE2ECE">
        <w:rPr>
          <w:szCs w:val="22"/>
          <w:lang w:val="en-US"/>
        </w:rPr>
        <w:t xml:space="preserve">. In addition to resolving </w:t>
      </w:r>
      <w:proofErr w:type="spellStart"/>
      <w:r w:rsidRPr="00EE2ECE">
        <w:rPr>
          <w:szCs w:val="22"/>
          <w:lang w:val="en-US"/>
        </w:rPr>
        <w:t>inband</w:t>
      </w:r>
      <w:proofErr w:type="spellEnd"/>
      <w:r w:rsidRPr="00EE2ECE">
        <w:rPr>
          <w:szCs w:val="22"/>
          <w:lang w:val="en-US"/>
        </w:rPr>
        <w:t xml:space="preserve"> issues CDM can also help when the users select the same resources </w:t>
      </w:r>
      <w:r>
        <w:rPr>
          <w:szCs w:val="22"/>
          <w:lang w:val="en-US"/>
        </w:rPr>
        <w:t>- that</w:t>
      </w:r>
      <w:r w:rsidRPr="00EE2ECE">
        <w:rPr>
          <w:szCs w:val="22"/>
          <w:lang w:val="en-US"/>
        </w:rPr>
        <w:t xml:space="preserve"> is more likely to happen if we reduce the level of FDM. In V2X systems packets are generally transmitted more than once by a user to achieve the link budget requirements. One of the issues with the CDM is that a user must differentiate between the signals from a near user and a far user (near-far effect). To resolve the near-far effect successive interference cancelation (SIC)</w:t>
      </w:r>
      <w:r w:rsidR="002102B9">
        <w:rPr>
          <w:szCs w:val="22"/>
          <w:lang w:val="en-US"/>
        </w:rPr>
        <w:t xml:space="preserve"> could be used</w:t>
      </w:r>
      <w:r w:rsidRPr="00EE2ECE">
        <w:rPr>
          <w:szCs w:val="22"/>
          <w:lang w:val="en-US"/>
        </w:rPr>
        <w:t>.</w:t>
      </w:r>
      <w:r w:rsidR="002102B9">
        <w:rPr>
          <w:szCs w:val="22"/>
          <w:lang w:val="en-US"/>
        </w:rPr>
        <w:t xml:space="preserve"> </w:t>
      </w:r>
    </w:p>
    <w:p w:rsidR="00CE45D0" w:rsidRPr="00CE45D0" w:rsidRDefault="00643273" w:rsidP="00705D6F">
      <w:pPr>
        <w:rPr>
          <w:u w:val="single"/>
        </w:rPr>
      </w:pPr>
      <w:r>
        <w:rPr>
          <w:u w:val="single"/>
        </w:rPr>
        <w:t>Multi-antenna techniques</w:t>
      </w:r>
    </w:p>
    <w:p w:rsidR="00CE45D0" w:rsidRDefault="00CE45D0" w:rsidP="00705D6F">
      <w:r>
        <w:t xml:space="preserve">Also multi-antenna approaches could be considered to improve system capacity. </w:t>
      </w:r>
    </w:p>
    <w:p w:rsidR="00CE45D0" w:rsidRPr="002102B9" w:rsidRDefault="002102B9" w:rsidP="00705D6F">
      <w:pPr>
        <w:rPr>
          <w:b/>
        </w:rPr>
      </w:pPr>
      <w:r>
        <w:rPr>
          <w:b/>
        </w:rPr>
        <w:t>Proposal</w:t>
      </w:r>
      <w:r w:rsidR="001820E1">
        <w:rPr>
          <w:b/>
        </w:rPr>
        <w:t xml:space="preserve"> 2</w:t>
      </w:r>
      <w:r>
        <w:rPr>
          <w:b/>
        </w:rPr>
        <w:t xml:space="preserve">: </w:t>
      </w:r>
      <w:r w:rsidRPr="002102B9">
        <w:rPr>
          <w:b/>
        </w:rPr>
        <w:t xml:space="preserve">It is </w:t>
      </w:r>
      <w:r w:rsidR="000F3115">
        <w:rPr>
          <w:b/>
        </w:rPr>
        <w:t xml:space="preserve">requested for companies to give their feedback on whether the above techniques could fulfil the stated conditions </w:t>
      </w:r>
      <w:r w:rsidR="00A77581">
        <w:rPr>
          <w:b/>
        </w:rPr>
        <w:t>for their acceptability</w:t>
      </w:r>
      <w:r w:rsidR="000F3115">
        <w:rPr>
          <w:b/>
        </w:rPr>
        <w:t>.</w:t>
      </w:r>
    </w:p>
    <w:p w:rsidR="004F5952" w:rsidRDefault="00EB0C8B" w:rsidP="004F5952">
      <w:pPr>
        <w:pStyle w:val="Heading1"/>
        <w:rPr>
          <w:lang w:val="en-US"/>
        </w:rPr>
      </w:pPr>
      <w:r>
        <w:rPr>
          <w:lang w:val="en-US"/>
        </w:rPr>
        <w:t>5</w:t>
      </w:r>
      <w:r w:rsidR="004F5952">
        <w:rPr>
          <w:lang w:val="en-US"/>
        </w:rPr>
        <w:tab/>
        <w:t>Usage of increased spectrum resources</w:t>
      </w:r>
    </w:p>
    <w:p w:rsidR="00E75DD7" w:rsidRDefault="004F5952" w:rsidP="003A738E">
      <w:pPr>
        <w:spacing w:after="120"/>
        <w:jc w:val="both"/>
        <w:rPr>
          <w:lang w:val="en-US"/>
        </w:rPr>
      </w:pPr>
      <w:r>
        <w:rPr>
          <w:lang w:val="en-US"/>
        </w:rPr>
        <w:t>Requiring additional spectrum to carry V2V traffic is quite an unattractive option for the LTE V2V ecosystem, both for consideration on dedicated ITS spectrum and for consideration when traffic is carried on cellular spectrum. So we should try to find other ways of resolving capacity issues first.</w:t>
      </w:r>
    </w:p>
    <w:p w:rsidR="003A738E" w:rsidRPr="003A738E" w:rsidRDefault="003A738E" w:rsidP="003A738E">
      <w:pPr>
        <w:spacing w:after="240"/>
        <w:jc w:val="both"/>
        <w:rPr>
          <w:sz w:val="2"/>
          <w:szCs w:val="2"/>
          <w:lang w:val="en-US"/>
        </w:rPr>
      </w:pPr>
    </w:p>
    <w:p w:rsidR="00CD539D" w:rsidRDefault="00EB0C8B" w:rsidP="00CD539D">
      <w:pPr>
        <w:pStyle w:val="Heading1"/>
        <w:jc w:val="both"/>
      </w:pPr>
      <w:r>
        <w:t>6</w:t>
      </w:r>
      <w:r w:rsidR="00CD539D">
        <w:tab/>
      </w:r>
      <w:r w:rsidR="00EC2EDB">
        <w:t>Conclusion</w:t>
      </w:r>
    </w:p>
    <w:p w:rsidR="00EC2EDB" w:rsidRDefault="00EC2EDB" w:rsidP="005E5D7C">
      <w:pPr>
        <w:jc w:val="both"/>
        <w:rPr>
          <w:szCs w:val="22"/>
        </w:rPr>
      </w:pPr>
      <w:r>
        <w:rPr>
          <w:szCs w:val="22"/>
        </w:rPr>
        <w:t>In this document it is proposed that we should NOT compromise the timelines of the LTE V2V work item, but that we do need to do have some further discussions on which approach to take to move forward</w:t>
      </w:r>
      <w:r w:rsidR="00F2705C">
        <w:rPr>
          <w:szCs w:val="22"/>
        </w:rPr>
        <w:t xml:space="preserve"> in the most appropriate manner</w:t>
      </w:r>
      <w:r>
        <w:rPr>
          <w:szCs w:val="22"/>
        </w:rPr>
        <w:t xml:space="preserve">. This document raises </w:t>
      </w:r>
      <w:r w:rsidR="00F2705C">
        <w:rPr>
          <w:szCs w:val="22"/>
        </w:rPr>
        <w:t>a few</w:t>
      </w:r>
      <w:r>
        <w:rPr>
          <w:szCs w:val="22"/>
        </w:rPr>
        <w:t xml:space="preserve"> possible </w:t>
      </w:r>
      <w:r w:rsidR="00F2705C">
        <w:rPr>
          <w:szCs w:val="22"/>
        </w:rPr>
        <w:t>paths to take and we propose that they and other approaches are considered further</w:t>
      </w:r>
      <w:r>
        <w:rPr>
          <w:szCs w:val="22"/>
        </w:rPr>
        <w:t xml:space="preserve">. </w:t>
      </w:r>
    </w:p>
    <w:p w:rsidR="003A738E" w:rsidRPr="003A738E" w:rsidRDefault="003A738E" w:rsidP="003A738E">
      <w:pPr>
        <w:spacing w:after="0"/>
        <w:jc w:val="both"/>
        <w:rPr>
          <w:sz w:val="2"/>
          <w:szCs w:val="2"/>
        </w:rPr>
      </w:pPr>
      <w:bookmarkStart w:id="0" w:name="_GoBack"/>
      <w:bookmarkEnd w:id="0"/>
    </w:p>
    <w:p w:rsidR="002102B9" w:rsidRDefault="00EB0C8B" w:rsidP="002102B9">
      <w:pPr>
        <w:pStyle w:val="Heading1"/>
      </w:pPr>
      <w:r>
        <w:t>7</w:t>
      </w:r>
      <w:r w:rsidR="002102B9">
        <w:tab/>
        <w:t>References</w:t>
      </w:r>
    </w:p>
    <w:p w:rsidR="007D4BA7" w:rsidRDefault="007D4BA7" w:rsidP="00705D6F">
      <w:pPr>
        <w:jc w:val="both"/>
        <w:rPr>
          <w:rFonts w:ascii="Times" w:eastAsia="Malgun Gothic" w:hAnsi="Times"/>
        </w:rPr>
      </w:pPr>
      <w:r>
        <w:rPr>
          <w:rFonts w:ascii="Times" w:eastAsia="Malgun Gothic" w:hAnsi="Times"/>
        </w:rPr>
        <w:t xml:space="preserve">[1] </w:t>
      </w:r>
      <w:r w:rsidRPr="007D4BA7">
        <w:rPr>
          <w:rFonts w:ascii="Times" w:eastAsia="Malgun Gothic" w:hAnsi="Times"/>
        </w:rPr>
        <w:t>RP-</w:t>
      </w:r>
      <w:r w:rsidR="00E75DD7" w:rsidRPr="007D4BA7">
        <w:rPr>
          <w:rFonts w:ascii="Times" w:eastAsia="Malgun Gothic" w:hAnsi="Times"/>
        </w:rPr>
        <w:t>15</w:t>
      </w:r>
      <w:r w:rsidR="00E75DD7">
        <w:rPr>
          <w:rFonts w:ascii="Times" w:eastAsia="Malgun Gothic" w:hAnsi="Times"/>
        </w:rPr>
        <w:t>2293</w:t>
      </w:r>
      <w:r w:rsidR="00D12135">
        <w:rPr>
          <w:rFonts w:ascii="Times" w:eastAsia="Malgun Gothic" w:hAnsi="Times"/>
        </w:rPr>
        <w:t xml:space="preserve">, </w:t>
      </w:r>
      <w:r w:rsidR="00D12135" w:rsidRPr="00D12135">
        <w:rPr>
          <w:rFonts w:ascii="Times" w:eastAsia="Malgun Gothic" w:hAnsi="Times"/>
        </w:rPr>
        <w:t xml:space="preserve">New WI proposal: </w:t>
      </w:r>
      <w:r w:rsidR="00D12135">
        <w:rPr>
          <w:rFonts w:ascii="Times" w:eastAsia="Malgun Gothic" w:hAnsi="Times"/>
        </w:rPr>
        <w:t>“</w:t>
      </w:r>
      <w:r w:rsidR="00D12135" w:rsidRPr="00D12135">
        <w:rPr>
          <w:rFonts w:ascii="Times" w:eastAsia="Malgun Gothic" w:hAnsi="Times"/>
        </w:rPr>
        <w:t xml:space="preserve">Support for V2V services based on LTE </w:t>
      </w:r>
      <w:proofErr w:type="spellStart"/>
      <w:r w:rsidR="00D12135" w:rsidRPr="00D12135">
        <w:rPr>
          <w:rFonts w:ascii="Times" w:eastAsia="Malgun Gothic" w:hAnsi="Times"/>
        </w:rPr>
        <w:t>sidelink</w:t>
      </w:r>
      <w:proofErr w:type="spellEnd"/>
      <w:r w:rsidR="00D12135">
        <w:rPr>
          <w:rFonts w:ascii="Times" w:eastAsia="Malgun Gothic" w:hAnsi="Times"/>
        </w:rPr>
        <w:t xml:space="preserve">”, </w:t>
      </w:r>
      <w:r w:rsidR="00D12135" w:rsidRPr="00D12135">
        <w:rPr>
          <w:rFonts w:ascii="Times" w:eastAsia="Malgun Gothic" w:hAnsi="Times"/>
        </w:rPr>
        <w:t>LG Electronics, Huawei, HiSilicon, CATT</w:t>
      </w:r>
    </w:p>
    <w:p w:rsidR="00BB794E" w:rsidRDefault="00655BDC" w:rsidP="00705D6F">
      <w:pPr>
        <w:jc w:val="both"/>
        <w:rPr>
          <w:szCs w:val="22"/>
          <w:lang w:val="en-US"/>
        </w:rPr>
      </w:pPr>
      <w:r>
        <w:rPr>
          <w:rFonts w:ascii="Times" w:eastAsia="Malgun Gothic" w:hAnsi="Times"/>
        </w:rPr>
        <w:t xml:space="preserve">[2] </w:t>
      </w:r>
      <w:r w:rsidRPr="00D7490D">
        <w:rPr>
          <w:rFonts w:ascii="Times" w:eastAsia="Malgun Gothic" w:hAnsi="Times"/>
        </w:rPr>
        <w:t>TR 36.885</w:t>
      </w:r>
      <w:r w:rsidR="00191E5F">
        <w:rPr>
          <w:rFonts w:ascii="Times" w:eastAsia="Malgun Gothic" w:hAnsi="Times"/>
        </w:rPr>
        <w:t xml:space="preserve">, </w:t>
      </w:r>
      <w:r>
        <w:rPr>
          <w:rFonts w:eastAsia="MS Mincho"/>
        </w:rPr>
        <w:t xml:space="preserve">Study on </w:t>
      </w:r>
      <w:r>
        <w:rPr>
          <w:rFonts w:eastAsia="Malgun Gothic" w:hint="eastAsia"/>
          <w:lang w:eastAsia="ko-KR"/>
        </w:rPr>
        <w:t>LTE-based V2X Services</w:t>
      </w:r>
      <w:r>
        <w:rPr>
          <w:rFonts w:ascii="Times" w:eastAsia="Malgun Gothic" w:hAnsi="Times" w:hint="eastAsia"/>
        </w:rPr>
        <w:t xml:space="preserve">, </w:t>
      </w:r>
      <w:r>
        <w:rPr>
          <w:szCs w:val="22"/>
          <w:lang w:val="en-US"/>
        </w:rPr>
        <w:t>November 2015</w:t>
      </w:r>
      <w:r>
        <w:rPr>
          <w:rFonts w:hint="eastAsia"/>
          <w:szCs w:val="22"/>
          <w:lang w:val="en-US"/>
        </w:rPr>
        <w:t>.</w:t>
      </w:r>
    </w:p>
    <w:p w:rsidR="00191E5F" w:rsidRDefault="00191E5F" w:rsidP="00705D6F">
      <w:pPr>
        <w:jc w:val="both"/>
        <w:rPr>
          <w:szCs w:val="22"/>
          <w:lang w:val="en-US"/>
        </w:rPr>
      </w:pPr>
      <w:r>
        <w:rPr>
          <w:szCs w:val="22"/>
          <w:lang w:val="en-US"/>
        </w:rPr>
        <w:t xml:space="preserve">[3] </w:t>
      </w:r>
      <w:r w:rsidRPr="00191E5F">
        <w:rPr>
          <w:szCs w:val="22"/>
          <w:lang w:val="en-US"/>
        </w:rPr>
        <w:t>TR 22.885</w:t>
      </w:r>
      <w:r>
        <w:rPr>
          <w:szCs w:val="22"/>
          <w:lang w:val="en-US"/>
        </w:rPr>
        <w:t xml:space="preserve">, </w:t>
      </w:r>
      <w:r w:rsidRPr="00191E5F">
        <w:rPr>
          <w:szCs w:val="22"/>
          <w:lang w:val="en-US"/>
        </w:rPr>
        <w:t>Study on LTE support for Vehicle to Everything (V2X) services</w:t>
      </w:r>
      <w:r>
        <w:rPr>
          <w:szCs w:val="22"/>
          <w:lang w:val="en-US"/>
        </w:rPr>
        <w:t>, December 2015</w:t>
      </w:r>
    </w:p>
    <w:p w:rsidR="003F3B33" w:rsidRDefault="003F3B33" w:rsidP="00705D6F">
      <w:pPr>
        <w:jc w:val="both"/>
        <w:rPr>
          <w:szCs w:val="22"/>
          <w:lang w:val="en-US"/>
        </w:rPr>
      </w:pPr>
    </w:p>
    <w:sectPr w:rsidR="003F3B3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6AAE" w:rsidRDefault="001F6AAE" w:rsidP="004F5952">
      <w:pPr>
        <w:spacing w:after="0"/>
      </w:pPr>
      <w:r>
        <w:separator/>
      </w:r>
    </w:p>
  </w:endnote>
  <w:endnote w:type="continuationSeparator" w:id="0">
    <w:p w:rsidR="001F6AAE" w:rsidRDefault="001F6AAE" w:rsidP="004F59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6AAE" w:rsidRDefault="001F6AAE" w:rsidP="004F5952">
      <w:pPr>
        <w:spacing w:after="0"/>
      </w:pPr>
      <w:r>
        <w:separator/>
      </w:r>
    </w:p>
  </w:footnote>
  <w:footnote w:type="continuationSeparator" w:id="0">
    <w:p w:rsidR="001F6AAE" w:rsidRDefault="001F6AAE" w:rsidP="004F595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211DA2"/>
    <w:multiLevelType w:val="hybridMultilevel"/>
    <w:tmpl w:val="4B58FEC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nsid w:val="3AA2260B"/>
    <w:multiLevelType w:val="hybridMultilevel"/>
    <w:tmpl w:val="44B079B4"/>
    <w:lvl w:ilvl="0" w:tplc="4FFE30C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CF36843"/>
    <w:multiLevelType w:val="hybridMultilevel"/>
    <w:tmpl w:val="525C01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50B31EC7"/>
    <w:multiLevelType w:val="hybridMultilevel"/>
    <w:tmpl w:val="9266F8C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5FCF562F"/>
    <w:multiLevelType w:val="hybridMultilevel"/>
    <w:tmpl w:val="661E25FC"/>
    <w:lvl w:ilvl="0" w:tplc="D0D4D52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752F6471"/>
    <w:multiLevelType w:val="hybridMultilevel"/>
    <w:tmpl w:val="1B328EF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7F2F7E47"/>
    <w:multiLevelType w:val="hybridMultilevel"/>
    <w:tmpl w:val="F0B0290C"/>
    <w:lvl w:ilvl="0" w:tplc="89447C2A">
      <w:numFmt w:val="bullet"/>
      <w:lvlText w:val="•"/>
      <w:lvlJc w:val="left"/>
      <w:pPr>
        <w:ind w:left="1068" w:hanging="708"/>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6"/>
  </w:num>
  <w:num w:numId="4">
    <w:abstractNumId w:val="5"/>
  </w:num>
  <w:num w:numId="5">
    <w:abstractNumId w:val="3"/>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1B9"/>
    <w:rsid w:val="000355FB"/>
    <w:rsid w:val="00051147"/>
    <w:rsid w:val="000733D1"/>
    <w:rsid w:val="000C61FA"/>
    <w:rsid w:val="000F1FCC"/>
    <w:rsid w:val="000F3115"/>
    <w:rsid w:val="0011629F"/>
    <w:rsid w:val="0017649B"/>
    <w:rsid w:val="001820E1"/>
    <w:rsid w:val="00191E5F"/>
    <w:rsid w:val="001A733D"/>
    <w:rsid w:val="001B1B6D"/>
    <w:rsid w:val="001C4383"/>
    <w:rsid w:val="001D01B9"/>
    <w:rsid w:val="001F6AAE"/>
    <w:rsid w:val="002102B9"/>
    <w:rsid w:val="0022081F"/>
    <w:rsid w:val="002440C0"/>
    <w:rsid w:val="0027248F"/>
    <w:rsid w:val="002A58A2"/>
    <w:rsid w:val="002C1A42"/>
    <w:rsid w:val="0035672D"/>
    <w:rsid w:val="003A738E"/>
    <w:rsid w:val="003B3684"/>
    <w:rsid w:val="003F3B33"/>
    <w:rsid w:val="00495AC8"/>
    <w:rsid w:val="004B07E8"/>
    <w:rsid w:val="004F5952"/>
    <w:rsid w:val="005E0076"/>
    <w:rsid w:val="005E5D7C"/>
    <w:rsid w:val="006022D8"/>
    <w:rsid w:val="0060598B"/>
    <w:rsid w:val="00643273"/>
    <w:rsid w:val="00651673"/>
    <w:rsid w:val="00655BDC"/>
    <w:rsid w:val="00677A11"/>
    <w:rsid w:val="00693727"/>
    <w:rsid w:val="006D0F26"/>
    <w:rsid w:val="006E2AD1"/>
    <w:rsid w:val="00705D6F"/>
    <w:rsid w:val="007638DC"/>
    <w:rsid w:val="00777789"/>
    <w:rsid w:val="007D4BA7"/>
    <w:rsid w:val="007D4F0E"/>
    <w:rsid w:val="007D51E5"/>
    <w:rsid w:val="00807FDD"/>
    <w:rsid w:val="008112E1"/>
    <w:rsid w:val="00834A5D"/>
    <w:rsid w:val="008B4CB6"/>
    <w:rsid w:val="00986BE4"/>
    <w:rsid w:val="009A03EC"/>
    <w:rsid w:val="009B61B7"/>
    <w:rsid w:val="00A02759"/>
    <w:rsid w:val="00A27722"/>
    <w:rsid w:val="00A53021"/>
    <w:rsid w:val="00A77581"/>
    <w:rsid w:val="00A80B13"/>
    <w:rsid w:val="00A92A69"/>
    <w:rsid w:val="00AC3D08"/>
    <w:rsid w:val="00AC7E9E"/>
    <w:rsid w:val="00AD4594"/>
    <w:rsid w:val="00B47D6E"/>
    <w:rsid w:val="00B77726"/>
    <w:rsid w:val="00B91724"/>
    <w:rsid w:val="00BA4B9A"/>
    <w:rsid w:val="00BB794E"/>
    <w:rsid w:val="00C2184D"/>
    <w:rsid w:val="00C85518"/>
    <w:rsid w:val="00CA5880"/>
    <w:rsid w:val="00CD539D"/>
    <w:rsid w:val="00CE45D0"/>
    <w:rsid w:val="00D12135"/>
    <w:rsid w:val="00D908FA"/>
    <w:rsid w:val="00DD0FAA"/>
    <w:rsid w:val="00DF1A3B"/>
    <w:rsid w:val="00E5694D"/>
    <w:rsid w:val="00E70DFF"/>
    <w:rsid w:val="00E75DD7"/>
    <w:rsid w:val="00EB0C8B"/>
    <w:rsid w:val="00EC2EDB"/>
    <w:rsid w:val="00ED29F0"/>
    <w:rsid w:val="00EE3FCB"/>
    <w:rsid w:val="00EE5F73"/>
    <w:rsid w:val="00F2705C"/>
    <w:rsid w:val="00F46A8B"/>
    <w:rsid w:val="00F93DFA"/>
    <w:rsid w:val="00FA2F98"/>
    <w:rsid w:val="00FC7FF3"/>
    <w:rsid w:val="00FE3B5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01B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1D01B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fr-FR"/>
    </w:rPr>
  </w:style>
  <w:style w:type="paragraph" w:styleId="Heading2">
    <w:name w:val="heading 2"/>
    <w:basedOn w:val="Normal"/>
    <w:next w:val="Normal"/>
    <w:link w:val="Heading2Char"/>
    <w:uiPriority w:val="9"/>
    <w:unhideWhenUsed/>
    <w:qFormat/>
    <w:rsid w:val="00C2184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uiPriority w:val="9"/>
    <w:semiHidden/>
    <w:unhideWhenUsed/>
    <w:qFormat/>
    <w:rsid w:val="003F3B33"/>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01B9"/>
    <w:rPr>
      <w:rFonts w:asciiTheme="majorHAnsi" w:eastAsiaTheme="majorEastAsia" w:hAnsiTheme="majorHAnsi" w:cstheme="majorBidi"/>
      <w:b/>
      <w:bCs/>
      <w:color w:val="365F91" w:themeColor="accent1" w:themeShade="BF"/>
      <w:sz w:val="28"/>
      <w:szCs w:val="28"/>
      <w:lang w:val="en-GB" w:eastAsia="fr-F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D01B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fr-FR" w:eastAsia="fr-F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D01B9"/>
    <w:rPr>
      <w:rFonts w:ascii="Arial" w:eastAsia="Times New Roman" w:hAnsi="Arial" w:cs="Times New Roman"/>
      <w:b/>
      <w:noProof/>
      <w:sz w:val="18"/>
      <w:szCs w:val="20"/>
      <w:lang w:val="fr-FR" w:eastAsia="fr-FR"/>
    </w:rPr>
  </w:style>
  <w:style w:type="paragraph" w:customStyle="1" w:styleId="CRCoverPage">
    <w:name w:val="CR Cover Page"/>
    <w:link w:val="CRCoverPageChar"/>
    <w:rsid w:val="001D01B9"/>
    <w:pPr>
      <w:spacing w:after="120" w:line="240" w:lineRule="auto"/>
    </w:pPr>
    <w:rPr>
      <w:rFonts w:ascii="Arial" w:eastAsia="Times New Roman" w:hAnsi="Arial" w:cs="Times New Roman"/>
      <w:sz w:val="20"/>
      <w:szCs w:val="20"/>
      <w:lang w:val="en-GB"/>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1D01B9"/>
    <w:rPr>
      <w:rFonts w:ascii="Arial" w:eastAsia="Times New Roman" w:hAnsi="Arial" w:cs="Times New Roman"/>
      <w:sz w:val="36"/>
      <w:szCs w:val="20"/>
      <w:lang w:val="en-GB" w:eastAsia="fr-FR"/>
    </w:rPr>
  </w:style>
  <w:style w:type="character" w:customStyle="1" w:styleId="CRCoverPageChar">
    <w:name w:val="CR Cover Page Char"/>
    <w:link w:val="CRCoverPage"/>
    <w:rsid w:val="001D01B9"/>
    <w:rPr>
      <w:rFonts w:ascii="Arial" w:eastAsia="Times New Roman" w:hAnsi="Arial" w:cs="Times New Roman"/>
      <w:sz w:val="20"/>
      <w:szCs w:val="20"/>
      <w:lang w:val="en-GB"/>
    </w:rPr>
  </w:style>
  <w:style w:type="paragraph" w:styleId="ListParagraph">
    <w:name w:val="List Paragraph"/>
    <w:basedOn w:val="Normal"/>
    <w:uiPriority w:val="34"/>
    <w:qFormat/>
    <w:rsid w:val="00CD539D"/>
    <w:pPr>
      <w:ind w:left="720"/>
      <w:contextualSpacing/>
    </w:pPr>
  </w:style>
  <w:style w:type="paragraph" w:styleId="BalloonText">
    <w:name w:val="Balloon Text"/>
    <w:basedOn w:val="Normal"/>
    <w:link w:val="BalloonTextChar"/>
    <w:uiPriority w:val="99"/>
    <w:semiHidden/>
    <w:unhideWhenUsed/>
    <w:rsid w:val="008B4CB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4CB6"/>
    <w:rPr>
      <w:rFonts w:ascii="Tahoma" w:eastAsia="Times New Roman" w:hAnsi="Tahoma" w:cs="Tahoma"/>
      <w:sz w:val="16"/>
      <w:szCs w:val="16"/>
      <w:lang w:val="en-GB" w:eastAsia="fr-FR"/>
    </w:rPr>
  </w:style>
  <w:style w:type="character" w:customStyle="1" w:styleId="Heading2Char">
    <w:name w:val="Heading 2 Char"/>
    <w:basedOn w:val="DefaultParagraphFont"/>
    <w:link w:val="Heading2"/>
    <w:uiPriority w:val="9"/>
    <w:rsid w:val="00C2184D"/>
    <w:rPr>
      <w:rFonts w:asciiTheme="majorHAnsi" w:eastAsiaTheme="majorEastAsia" w:hAnsiTheme="majorHAnsi" w:cstheme="majorBidi"/>
      <w:b/>
      <w:bCs/>
      <w:color w:val="4F81BD" w:themeColor="accent1"/>
      <w:sz w:val="26"/>
      <w:szCs w:val="26"/>
      <w:lang w:val="en-GB" w:eastAsia="fr-FR"/>
    </w:rPr>
  </w:style>
  <w:style w:type="character" w:customStyle="1" w:styleId="Heading9Char">
    <w:name w:val="Heading 9 Char"/>
    <w:basedOn w:val="DefaultParagraphFont"/>
    <w:link w:val="Heading9"/>
    <w:uiPriority w:val="9"/>
    <w:semiHidden/>
    <w:rsid w:val="003F3B33"/>
    <w:rPr>
      <w:rFonts w:asciiTheme="majorHAnsi" w:eastAsiaTheme="majorEastAsia" w:hAnsiTheme="majorHAnsi" w:cstheme="majorBidi"/>
      <w:i/>
      <w:iCs/>
      <w:color w:val="404040" w:themeColor="text1" w:themeTint="BF"/>
      <w:sz w:val="20"/>
      <w:szCs w:val="20"/>
      <w:lang w:val="en-GB" w:eastAsia="fr-FR"/>
    </w:rPr>
  </w:style>
  <w:style w:type="paragraph" w:customStyle="1" w:styleId="TH">
    <w:name w:val="TH"/>
    <w:basedOn w:val="Normal"/>
    <w:link w:val="THChar"/>
    <w:rsid w:val="003F3B3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3F3B33"/>
    <w:rPr>
      <w:rFonts w:ascii="Arial" w:eastAsia="Malgun Gothic" w:hAnsi="Arial" w:cs="Times New Roman"/>
      <w:b/>
      <w:sz w:val="20"/>
      <w:szCs w:val="20"/>
      <w:lang w:val="en-GB"/>
    </w:rPr>
  </w:style>
  <w:style w:type="paragraph" w:customStyle="1" w:styleId="TF">
    <w:name w:val="TF"/>
    <w:basedOn w:val="TH"/>
    <w:rsid w:val="00AD4594"/>
    <w:pPr>
      <w:keepNext w:val="0"/>
      <w:spacing w:before="0" w:after="240"/>
    </w:pPr>
    <w:rPr>
      <w:rFonts w:eastAsia="SimSun"/>
    </w:rPr>
  </w:style>
  <w:style w:type="paragraph" w:styleId="Footer">
    <w:name w:val="footer"/>
    <w:basedOn w:val="Normal"/>
    <w:link w:val="FooterChar"/>
    <w:uiPriority w:val="99"/>
    <w:unhideWhenUsed/>
    <w:rsid w:val="004F5952"/>
    <w:pPr>
      <w:tabs>
        <w:tab w:val="center" w:pos="4252"/>
        <w:tab w:val="right" w:pos="8504"/>
      </w:tabs>
      <w:spacing w:after="0"/>
    </w:pPr>
  </w:style>
  <w:style w:type="character" w:customStyle="1" w:styleId="FooterChar">
    <w:name w:val="Footer Char"/>
    <w:basedOn w:val="DefaultParagraphFont"/>
    <w:link w:val="Footer"/>
    <w:uiPriority w:val="99"/>
    <w:rsid w:val="004F5952"/>
    <w:rPr>
      <w:rFonts w:ascii="Times New Roman" w:eastAsia="Times New Roman" w:hAnsi="Times New Roman" w:cs="Times New Roman"/>
      <w:sz w:val="20"/>
      <w:szCs w:val="20"/>
      <w:lang w:val="en-GB"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01B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1D01B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fr-FR"/>
    </w:rPr>
  </w:style>
  <w:style w:type="paragraph" w:styleId="Heading2">
    <w:name w:val="heading 2"/>
    <w:basedOn w:val="Normal"/>
    <w:next w:val="Normal"/>
    <w:link w:val="Heading2Char"/>
    <w:uiPriority w:val="9"/>
    <w:unhideWhenUsed/>
    <w:qFormat/>
    <w:rsid w:val="00C2184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uiPriority w:val="9"/>
    <w:semiHidden/>
    <w:unhideWhenUsed/>
    <w:qFormat/>
    <w:rsid w:val="003F3B33"/>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01B9"/>
    <w:rPr>
      <w:rFonts w:asciiTheme="majorHAnsi" w:eastAsiaTheme="majorEastAsia" w:hAnsiTheme="majorHAnsi" w:cstheme="majorBidi"/>
      <w:b/>
      <w:bCs/>
      <w:color w:val="365F91" w:themeColor="accent1" w:themeShade="BF"/>
      <w:sz w:val="28"/>
      <w:szCs w:val="28"/>
      <w:lang w:val="en-GB" w:eastAsia="fr-F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D01B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fr-FR" w:eastAsia="fr-F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D01B9"/>
    <w:rPr>
      <w:rFonts w:ascii="Arial" w:eastAsia="Times New Roman" w:hAnsi="Arial" w:cs="Times New Roman"/>
      <w:b/>
      <w:noProof/>
      <w:sz w:val="18"/>
      <w:szCs w:val="20"/>
      <w:lang w:val="fr-FR" w:eastAsia="fr-FR"/>
    </w:rPr>
  </w:style>
  <w:style w:type="paragraph" w:customStyle="1" w:styleId="CRCoverPage">
    <w:name w:val="CR Cover Page"/>
    <w:link w:val="CRCoverPageChar"/>
    <w:rsid w:val="001D01B9"/>
    <w:pPr>
      <w:spacing w:after="120" w:line="240" w:lineRule="auto"/>
    </w:pPr>
    <w:rPr>
      <w:rFonts w:ascii="Arial" w:eastAsia="Times New Roman" w:hAnsi="Arial" w:cs="Times New Roman"/>
      <w:sz w:val="20"/>
      <w:szCs w:val="20"/>
      <w:lang w:val="en-GB"/>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1D01B9"/>
    <w:rPr>
      <w:rFonts w:ascii="Arial" w:eastAsia="Times New Roman" w:hAnsi="Arial" w:cs="Times New Roman"/>
      <w:sz w:val="36"/>
      <w:szCs w:val="20"/>
      <w:lang w:val="en-GB" w:eastAsia="fr-FR"/>
    </w:rPr>
  </w:style>
  <w:style w:type="character" w:customStyle="1" w:styleId="CRCoverPageChar">
    <w:name w:val="CR Cover Page Char"/>
    <w:link w:val="CRCoverPage"/>
    <w:rsid w:val="001D01B9"/>
    <w:rPr>
      <w:rFonts w:ascii="Arial" w:eastAsia="Times New Roman" w:hAnsi="Arial" w:cs="Times New Roman"/>
      <w:sz w:val="20"/>
      <w:szCs w:val="20"/>
      <w:lang w:val="en-GB"/>
    </w:rPr>
  </w:style>
  <w:style w:type="paragraph" w:styleId="ListParagraph">
    <w:name w:val="List Paragraph"/>
    <w:basedOn w:val="Normal"/>
    <w:uiPriority w:val="34"/>
    <w:qFormat/>
    <w:rsid w:val="00CD539D"/>
    <w:pPr>
      <w:ind w:left="720"/>
      <w:contextualSpacing/>
    </w:pPr>
  </w:style>
  <w:style w:type="paragraph" w:styleId="BalloonText">
    <w:name w:val="Balloon Text"/>
    <w:basedOn w:val="Normal"/>
    <w:link w:val="BalloonTextChar"/>
    <w:uiPriority w:val="99"/>
    <w:semiHidden/>
    <w:unhideWhenUsed/>
    <w:rsid w:val="008B4CB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4CB6"/>
    <w:rPr>
      <w:rFonts w:ascii="Tahoma" w:eastAsia="Times New Roman" w:hAnsi="Tahoma" w:cs="Tahoma"/>
      <w:sz w:val="16"/>
      <w:szCs w:val="16"/>
      <w:lang w:val="en-GB" w:eastAsia="fr-FR"/>
    </w:rPr>
  </w:style>
  <w:style w:type="character" w:customStyle="1" w:styleId="Heading2Char">
    <w:name w:val="Heading 2 Char"/>
    <w:basedOn w:val="DefaultParagraphFont"/>
    <w:link w:val="Heading2"/>
    <w:uiPriority w:val="9"/>
    <w:rsid w:val="00C2184D"/>
    <w:rPr>
      <w:rFonts w:asciiTheme="majorHAnsi" w:eastAsiaTheme="majorEastAsia" w:hAnsiTheme="majorHAnsi" w:cstheme="majorBidi"/>
      <w:b/>
      <w:bCs/>
      <w:color w:val="4F81BD" w:themeColor="accent1"/>
      <w:sz w:val="26"/>
      <w:szCs w:val="26"/>
      <w:lang w:val="en-GB" w:eastAsia="fr-FR"/>
    </w:rPr>
  </w:style>
  <w:style w:type="character" w:customStyle="1" w:styleId="Heading9Char">
    <w:name w:val="Heading 9 Char"/>
    <w:basedOn w:val="DefaultParagraphFont"/>
    <w:link w:val="Heading9"/>
    <w:uiPriority w:val="9"/>
    <w:semiHidden/>
    <w:rsid w:val="003F3B33"/>
    <w:rPr>
      <w:rFonts w:asciiTheme="majorHAnsi" w:eastAsiaTheme="majorEastAsia" w:hAnsiTheme="majorHAnsi" w:cstheme="majorBidi"/>
      <w:i/>
      <w:iCs/>
      <w:color w:val="404040" w:themeColor="text1" w:themeTint="BF"/>
      <w:sz w:val="20"/>
      <w:szCs w:val="20"/>
      <w:lang w:val="en-GB" w:eastAsia="fr-FR"/>
    </w:rPr>
  </w:style>
  <w:style w:type="paragraph" w:customStyle="1" w:styleId="TH">
    <w:name w:val="TH"/>
    <w:basedOn w:val="Normal"/>
    <w:link w:val="THChar"/>
    <w:rsid w:val="003F3B3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3F3B33"/>
    <w:rPr>
      <w:rFonts w:ascii="Arial" w:eastAsia="Malgun Gothic" w:hAnsi="Arial" w:cs="Times New Roman"/>
      <w:b/>
      <w:sz w:val="20"/>
      <w:szCs w:val="20"/>
      <w:lang w:val="en-GB"/>
    </w:rPr>
  </w:style>
  <w:style w:type="paragraph" w:customStyle="1" w:styleId="TF">
    <w:name w:val="TF"/>
    <w:basedOn w:val="TH"/>
    <w:rsid w:val="00AD4594"/>
    <w:pPr>
      <w:keepNext w:val="0"/>
      <w:spacing w:before="0" w:after="240"/>
    </w:pPr>
    <w:rPr>
      <w:rFonts w:eastAsia="SimSun"/>
    </w:rPr>
  </w:style>
  <w:style w:type="paragraph" w:styleId="Footer">
    <w:name w:val="footer"/>
    <w:basedOn w:val="Normal"/>
    <w:link w:val="FooterChar"/>
    <w:uiPriority w:val="99"/>
    <w:unhideWhenUsed/>
    <w:rsid w:val="004F5952"/>
    <w:pPr>
      <w:tabs>
        <w:tab w:val="center" w:pos="4252"/>
        <w:tab w:val="right" w:pos="8504"/>
      </w:tabs>
      <w:spacing w:after="0"/>
    </w:pPr>
  </w:style>
  <w:style w:type="character" w:customStyle="1" w:styleId="FooterChar">
    <w:name w:val="Footer Char"/>
    <w:basedOn w:val="DefaultParagraphFont"/>
    <w:link w:val="Footer"/>
    <w:uiPriority w:val="99"/>
    <w:rsid w:val="004F5952"/>
    <w:rPr>
      <w:rFonts w:ascii="Times New Roman" w:eastAsia="Times New Roman" w:hAnsi="Times New Roman" w:cs="Times New Roman"/>
      <w:sz w:val="20"/>
      <w:szCs w:val="20"/>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3813392">
      <w:bodyDiv w:val="1"/>
      <w:marLeft w:val="0"/>
      <w:marRight w:val="0"/>
      <w:marTop w:val="0"/>
      <w:marBottom w:val="0"/>
      <w:divBdr>
        <w:top w:val="none" w:sz="0" w:space="0" w:color="auto"/>
        <w:left w:val="none" w:sz="0" w:space="0" w:color="auto"/>
        <w:bottom w:val="none" w:sz="0" w:space="0" w:color="auto"/>
        <w:right w:val="none" w:sz="0" w:space="0" w:color="auto"/>
      </w:divBdr>
    </w:div>
    <w:div w:id="1442070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1131</Words>
  <Characters>6453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7569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Frost, Vodafone</dc:creator>
  <cp:lastModifiedBy>Tim Frost, Vodafone</cp:lastModifiedBy>
  <cp:revision>2</cp:revision>
  <dcterms:created xsi:type="dcterms:W3CDTF">2016-02-05T20:29:00Z</dcterms:created>
  <dcterms:modified xsi:type="dcterms:W3CDTF">2016-02-05T20:29:00Z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751597876</vt:i4>
  </property>
  <property fmtid="{D5CDD505-2E9C-101B-9397-08002B2CF9AE}" pid="3" name="_NewReviewCycle">
    <vt:lpwstr/>
  </property>
  <property fmtid="{D5CDD505-2E9C-101B-9397-08002B2CF9AE}" pid="4" name="_EmailSubject">
    <vt:lpwstr>First draft of contribution to RAN1</vt:lpwstr>
  </property>
  <property fmtid="{D5CDD505-2E9C-101B-9397-08002B2CF9AE}" pid="5" name="_AuthorEmail">
    <vt:lpwstr>razieh.razavi@vodafone.com</vt:lpwstr>
  </property>
  <property fmtid="{D5CDD505-2E9C-101B-9397-08002B2CF9AE}" pid="6" name="_AuthorEmailDisplayName">
    <vt:lpwstr>Razavi, Razieh, Vodafone Group</vt:lpwstr>
  </property>
  <property fmtid="{D5CDD505-2E9C-101B-9397-08002B2CF9AE}" pid="7" name="_PreviousAdHocReviewCycleID">
    <vt:i4>523623473</vt:i4>
  </property>
</Properties>
</file>