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45740A" w:rsidRPr="00CF6834" w:rsidRDefault="0045740A" w:rsidP="0045740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 xml:space="preserve">Meeting #84 </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Pr="0081369B">
        <w:rPr>
          <w:rFonts w:cs="Arial"/>
          <w:bCs/>
          <w:sz w:val="20"/>
        </w:rPr>
        <w:t>R1-1</w:t>
      </w:r>
      <w:r>
        <w:rPr>
          <w:rFonts w:cs="Arial" w:hint="eastAsia"/>
          <w:bCs/>
          <w:sz w:val="20"/>
          <w:lang w:eastAsia="ja-JP"/>
        </w:rPr>
        <w:t>6</w:t>
      </w:r>
      <w:r w:rsidR="00EC0F1E">
        <w:rPr>
          <w:rFonts w:cs="Arial" w:hint="eastAsia"/>
          <w:bCs/>
          <w:sz w:val="20"/>
          <w:lang w:eastAsia="ja-JP"/>
        </w:rPr>
        <w:t>0807</w:t>
      </w:r>
    </w:p>
    <w:p w:rsidR="0045740A" w:rsidRPr="0093682F" w:rsidRDefault="0045740A" w:rsidP="0045740A">
      <w:pPr>
        <w:pStyle w:val="TdocHeader2"/>
        <w:jc w:val="left"/>
        <w:rPr>
          <w:rFonts w:eastAsiaTheme="minorEastAsia"/>
          <w:lang w:val="en-US"/>
        </w:rPr>
      </w:pPr>
      <w:r>
        <w:rPr>
          <w:rFonts w:eastAsia="ＭＳ 明朝" w:cs="Arial" w:hint="eastAsia"/>
          <w:bCs/>
          <w:sz w:val="20"/>
          <w:lang w:val="en-US" w:eastAsia="ja-JP"/>
        </w:rPr>
        <w:t>St Julian</w:t>
      </w:r>
      <w:r>
        <w:rPr>
          <w:rFonts w:eastAsia="ＭＳ 明朝" w:cs="Arial"/>
          <w:bCs/>
          <w:sz w:val="20"/>
          <w:lang w:val="en-US" w:eastAsia="ja-JP"/>
        </w:rPr>
        <w:t>’</w:t>
      </w:r>
      <w:r>
        <w:rPr>
          <w:rFonts w:eastAsia="ＭＳ 明朝" w:cs="Arial" w:hint="eastAsia"/>
          <w:bCs/>
          <w:sz w:val="20"/>
          <w:lang w:val="en-US" w:eastAsia="ja-JP"/>
        </w:rPr>
        <w:t>s</w:t>
      </w:r>
      <w:r w:rsidRPr="007D67B4">
        <w:rPr>
          <w:rFonts w:eastAsia="ＭＳ 明朝" w:cs="Arial"/>
          <w:bCs/>
          <w:sz w:val="20"/>
          <w:lang w:val="en-US" w:eastAsia="ja-JP"/>
        </w:rPr>
        <w:t xml:space="preserve">, </w:t>
      </w:r>
      <w:r>
        <w:rPr>
          <w:rFonts w:eastAsia="ＭＳ 明朝" w:cs="Arial" w:hint="eastAsia"/>
          <w:bCs/>
          <w:sz w:val="20"/>
          <w:lang w:val="en-US" w:eastAsia="ja-JP"/>
        </w:rPr>
        <w:t>Malta</w:t>
      </w:r>
      <w:r w:rsidRPr="007D67B4">
        <w:rPr>
          <w:rFonts w:eastAsia="ＭＳ 明朝" w:cs="Arial"/>
          <w:bCs/>
          <w:sz w:val="20"/>
          <w:lang w:val="en-US" w:eastAsia="ja-JP"/>
        </w:rPr>
        <w:t>,</w:t>
      </w:r>
      <w:r>
        <w:rPr>
          <w:rFonts w:eastAsia="ＭＳ 明朝" w:cs="Arial" w:hint="eastAsia"/>
          <w:bCs/>
          <w:sz w:val="20"/>
          <w:lang w:val="en-US" w:eastAsia="ja-JP"/>
        </w:rPr>
        <w:t xml:space="preserve"> 15</w:t>
      </w:r>
      <w:r w:rsidRPr="00B556BF">
        <w:rPr>
          <w:rFonts w:cs="Arial"/>
          <w:bCs/>
          <w:sz w:val="20"/>
          <w:lang w:val="en-US" w:eastAsia="ja-JP"/>
        </w:rPr>
        <w:t xml:space="preserve">th – </w:t>
      </w:r>
      <w:r>
        <w:rPr>
          <w:rFonts w:eastAsia="ＭＳ 明朝" w:cs="Arial" w:hint="eastAsia"/>
          <w:bCs/>
          <w:sz w:val="20"/>
          <w:lang w:val="en-US" w:eastAsia="ja-JP"/>
        </w:rPr>
        <w:t>19th</w:t>
      </w:r>
      <w:r w:rsidRPr="00B556BF">
        <w:rPr>
          <w:rFonts w:cs="Arial"/>
          <w:bCs/>
          <w:sz w:val="20"/>
          <w:lang w:val="en-US" w:eastAsia="ja-JP"/>
        </w:rPr>
        <w:t xml:space="preserve"> </w:t>
      </w:r>
      <w:r>
        <w:rPr>
          <w:rFonts w:eastAsia="ＭＳ 明朝" w:cs="Arial" w:hint="eastAsia"/>
          <w:bCs/>
          <w:sz w:val="20"/>
          <w:lang w:val="en-US" w:eastAsia="ja-JP"/>
        </w:rPr>
        <w:t>February</w:t>
      </w:r>
      <w:r w:rsidRPr="00B556BF">
        <w:rPr>
          <w:rFonts w:cs="Arial"/>
          <w:bCs/>
          <w:sz w:val="20"/>
          <w:lang w:val="en-US" w:eastAsia="ja-JP"/>
        </w:rPr>
        <w:t xml:space="preserve"> </w:t>
      </w:r>
      <w:r>
        <w:rPr>
          <w:rFonts w:eastAsiaTheme="minorEastAsia" w:cs="Arial" w:hint="eastAsia"/>
          <w:bCs/>
          <w:sz w:val="20"/>
          <w:lang w:val="en-US" w:eastAsia="ja-JP"/>
        </w:rPr>
        <w:t>2016</w:t>
      </w:r>
    </w:p>
    <w:p w:rsidR="0045740A" w:rsidRDefault="0045740A" w:rsidP="0045740A">
      <w:pPr>
        <w:pStyle w:val="a6"/>
        <w:widowControl w:val="0"/>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05544C" w:rsidRPr="0005544C">
        <w:rPr>
          <w:rFonts w:eastAsiaTheme="minorEastAsia"/>
          <w:b w:val="0"/>
          <w:sz w:val="20"/>
          <w:lang w:eastAsia="ja-JP"/>
        </w:rPr>
        <w:t>CE behaviour for normal category UEs</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Pr>
          <w:rFonts w:ascii="Arial" w:hAnsi="Arial" w:hint="eastAsia"/>
          <w:lang w:eastAsia="ja-JP"/>
        </w:rPr>
        <w:t>7.1.5</w:t>
      </w:r>
    </w:p>
    <w:p w:rsidR="0045740A" w:rsidRPr="00183562" w:rsidRDefault="0045740A" w:rsidP="0045740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45740A" w:rsidRPr="00D51468" w:rsidRDefault="0045740A" w:rsidP="0045740A">
      <w:pPr>
        <w:pStyle w:val="TdocHeader2"/>
        <w:rPr>
          <w:rFonts w:ascii="Times New Roman" w:eastAsiaTheme="minorEastAsia" w:hAnsi="Times New Roman"/>
          <w:b w:val="0"/>
          <w:sz w:val="20"/>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Discussion</w:t>
      </w:r>
    </w:p>
    <w:p w:rsidR="00ED4A22" w:rsidRDefault="00ED4A22" w:rsidP="00C0347D">
      <w:pPr>
        <w:pStyle w:val="TdocHeader2"/>
        <w:jc w:val="left"/>
        <w:rPr>
          <w:rFonts w:eastAsiaTheme="minorEastAsia"/>
          <w:lang w:eastAsia="ja-JP"/>
        </w:rPr>
      </w:pPr>
    </w:p>
    <w:p w:rsidR="0005544C" w:rsidRDefault="0005544C" w:rsidP="00F06B2D">
      <w:pPr>
        <w:rPr>
          <w:rFonts w:cs="Arial"/>
          <w:lang w:eastAsia="ja-JP"/>
        </w:rPr>
      </w:pPr>
      <w:r>
        <w:rPr>
          <w:rFonts w:cs="Arial" w:hint="eastAsia"/>
          <w:lang w:eastAsia="ja-JP"/>
        </w:rPr>
        <w:t xml:space="preserve">RAN1 made significant progress in RAN1#84 on eMTC [1][2][3]. One of not so concluded topic is the behaviour of normal category UEs. </w:t>
      </w:r>
    </w:p>
    <w:p w:rsidR="00F06B2D" w:rsidRDefault="0005544C" w:rsidP="00F06B2D">
      <w:pPr>
        <w:rPr>
          <w:rFonts w:cs="Arial"/>
          <w:lang w:eastAsia="ja-JP"/>
        </w:rPr>
      </w:pPr>
      <w:r>
        <w:rPr>
          <w:rFonts w:cs="Arial" w:hint="eastAsia"/>
          <w:lang w:eastAsia="ja-JP"/>
        </w:rPr>
        <w:t>eMTC WI describes following.</w:t>
      </w:r>
    </w:p>
    <w:tbl>
      <w:tblPr>
        <w:tblStyle w:val="af9"/>
        <w:tblW w:w="0" w:type="auto"/>
        <w:tblLook w:val="04A0" w:firstRow="1" w:lastRow="0" w:firstColumn="1" w:lastColumn="0" w:noHBand="0" w:noVBand="1"/>
      </w:tblPr>
      <w:tblGrid>
        <w:gridCol w:w="9856"/>
      </w:tblGrid>
      <w:tr w:rsidR="00440C30" w:rsidTr="00440C30">
        <w:tc>
          <w:tcPr>
            <w:tcW w:w="9856" w:type="dxa"/>
          </w:tcPr>
          <w:p w:rsidR="00440C30" w:rsidRPr="0005544C" w:rsidRDefault="0005544C" w:rsidP="0005544C">
            <w:pPr>
              <w:numPr>
                <w:ilvl w:val="1"/>
                <w:numId w:val="23"/>
              </w:numPr>
              <w:spacing w:before="120" w:after="0"/>
              <w:rPr>
                <w:lang w:eastAsia="zh-CN"/>
              </w:rPr>
            </w:pPr>
            <w:r w:rsidRPr="00365452">
              <w:rPr>
                <w:lang w:eastAsia="zh-CN"/>
              </w:rPr>
              <w:t>When defining the</w:t>
            </w:r>
            <w:r w:rsidRPr="00365452">
              <w:rPr>
                <w:rFonts w:hint="eastAsia"/>
                <w:lang w:eastAsia="zh-CN"/>
              </w:rPr>
              <w:t xml:space="preserve"> detailed solutions for </w:t>
            </w:r>
            <w:r w:rsidRPr="00365452">
              <w:rPr>
                <w:lang w:eastAsia="zh-CN"/>
              </w:rPr>
              <w:t>the</w:t>
            </w:r>
            <w:r w:rsidRPr="00365452">
              <w:rPr>
                <w:rFonts w:hint="eastAsia"/>
                <w:lang w:eastAsia="zh-CN"/>
              </w:rPr>
              <w:t xml:space="preserve"> above </w:t>
            </w:r>
            <w:r w:rsidRPr="00365452">
              <w:rPr>
                <w:lang w:eastAsia="zh-CN"/>
              </w:rPr>
              <w:t xml:space="preserve">coverage enhancement </w:t>
            </w:r>
            <w:r w:rsidRPr="00365452">
              <w:rPr>
                <w:rFonts w:hint="eastAsia"/>
                <w:lang w:eastAsia="zh-CN"/>
              </w:rPr>
              <w:t xml:space="preserve">techniques, </w:t>
            </w:r>
            <w:r w:rsidRPr="00365452">
              <w:rPr>
                <w:lang w:eastAsia="zh-CN"/>
              </w:rPr>
              <w:t>the work should strive to minimize divergence of solutions between the new UE category/type and other UEs.</w:t>
            </w:r>
            <w:r w:rsidRPr="00355387">
              <w:t xml:space="preserve"> </w:t>
            </w:r>
            <w:r>
              <w:t>Basically the coverage enhancement solutions should be the same for the new low complexity UE category/type and for other UEs, however if a divergence cannot be avoided, the specification work for the new low complexity UE category/type should be given higher priority.</w:t>
            </w:r>
            <w:r w:rsidRPr="00365452">
              <w:rPr>
                <w:lang w:eastAsia="zh-CN"/>
              </w:rPr>
              <w:t xml:space="preserve"> One possible approach is to require a ‘normal complexity UE’ configured with the coverage enhancement techniques to mimic some of the behaviours of a Rel-13 low complexity UE configured with the coverage enhancement techniques.</w:t>
            </w:r>
          </w:p>
        </w:tc>
      </w:tr>
    </w:tbl>
    <w:p w:rsidR="00F06B2D" w:rsidRDefault="00F06B2D" w:rsidP="00F06B2D">
      <w:pPr>
        <w:rPr>
          <w:rFonts w:cs="Arial"/>
          <w:lang w:eastAsia="ja-JP"/>
        </w:rPr>
      </w:pPr>
    </w:p>
    <w:p w:rsidR="0005544C" w:rsidRDefault="0005544C" w:rsidP="00F06B2D">
      <w:pPr>
        <w:rPr>
          <w:rFonts w:cs="Arial"/>
          <w:lang w:eastAsia="ja-JP"/>
        </w:rPr>
      </w:pPr>
      <w:r>
        <w:rPr>
          <w:rFonts w:cs="Arial" w:hint="eastAsia"/>
          <w:lang w:eastAsia="ja-JP"/>
        </w:rPr>
        <w:t xml:space="preserve">Our view is exactly same behaviour with CE mode B is sufficient for normal complexity </w:t>
      </w:r>
      <w:r w:rsidR="008427C8">
        <w:rPr>
          <w:rFonts w:cs="Arial" w:hint="eastAsia"/>
          <w:lang w:eastAsia="ja-JP"/>
        </w:rPr>
        <w:t xml:space="preserve">UE. This is applied </w:t>
      </w:r>
      <w:r w:rsidR="00A053F9">
        <w:rPr>
          <w:rFonts w:cs="Arial"/>
          <w:lang w:eastAsia="ja-JP"/>
        </w:rPr>
        <w:t xml:space="preserve">beyond </w:t>
      </w:r>
      <w:r w:rsidR="00A053F9" w:rsidRPr="008427C8">
        <w:rPr>
          <w:rFonts w:cs="Arial"/>
          <w:lang w:eastAsia="ja-JP"/>
        </w:rPr>
        <w:t>normal</w:t>
      </w:r>
      <w:r w:rsidR="008427C8" w:rsidRPr="008427C8">
        <w:rPr>
          <w:rFonts w:cs="Arial"/>
          <w:lang w:eastAsia="ja-JP"/>
        </w:rPr>
        <w:t xml:space="preserve"> coverage</w:t>
      </w:r>
      <w:r w:rsidR="000D65DC">
        <w:rPr>
          <w:rFonts w:cs="Arial" w:hint="eastAsia"/>
          <w:lang w:eastAsia="ja-JP"/>
        </w:rPr>
        <w:t>, where the exact definition is based on S criteria defined in TS36.304, i.e. RSRP/RSRQ value with higher layer signalled offset.</w:t>
      </w:r>
    </w:p>
    <w:p w:rsidR="005C2DA7" w:rsidRDefault="005C2DA7" w:rsidP="00F06B2D">
      <w:pPr>
        <w:rPr>
          <w:rFonts w:cs="Arial"/>
          <w:lang w:eastAsia="ja-JP"/>
        </w:rPr>
      </w:pPr>
      <w:r>
        <w:rPr>
          <w:rFonts w:cs="Arial" w:hint="eastAsia"/>
          <w:lang w:eastAsia="ja-JP"/>
        </w:rPr>
        <w:t>Then we need to discuss following aspect.</w:t>
      </w:r>
    </w:p>
    <w:p w:rsidR="008427C8" w:rsidRPr="00D51FAB" w:rsidRDefault="008427C8" w:rsidP="00F06B2D">
      <w:pPr>
        <w:rPr>
          <w:rFonts w:cs="Arial"/>
          <w:u w:val="single"/>
          <w:lang w:eastAsia="ja-JP"/>
        </w:rPr>
      </w:pPr>
      <w:r w:rsidRPr="00D51FAB">
        <w:rPr>
          <w:rFonts w:cs="Arial" w:hint="eastAsia"/>
          <w:u w:val="single"/>
          <w:lang w:eastAsia="ja-JP"/>
        </w:rPr>
        <w:t>How to switch the behaviour between normal behaviour and CE mode B behaviour?</w:t>
      </w:r>
    </w:p>
    <w:p w:rsidR="00995964" w:rsidRDefault="00D07B58" w:rsidP="00D51FAB">
      <w:pPr>
        <w:ind w:left="568"/>
        <w:rPr>
          <w:rFonts w:cs="Arial"/>
          <w:lang w:eastAsia="ja-JP"/>
        </w:rPr>
      </w:pPr>
      <w:r>
        <w:rPr>
          <w:rFonts w:cs="Arial" w:hint="eastAsia"/>
          <w:lang w:eastAsia="ja-JP"/>
        </w:rPr>
        <w:t>Basically normal UE should try to find PSS/SSS/PBCH with normal receiving mechanism i.e. PSS/SSS is not accumulated very long. PBCH reception is not based on "keep trying mechanism"</w:t>
      </w:r>
      <w:r w:rsidR="00995964">
        <w:rPr>
          <w:rFonts w:cs="Arial" w:hint="eastAsia"/>
          <w:lang w:eastAsia="ja-JP"/>
        </w:rPr>
        <w:t xml:space="preserve"> </w:t>
      </w:r>
      <w:r>
        <w:rPr>
          <w:rFonts w:cs="Arial" w:hint="eastAsia"/>
          <w:lang w:eastAsia="ja-JP"/>
        </w:rPr>
        <w:t xml:space="preserve">very long. After </w:t>
      </w:r>
      <w:r w:rsidR="00A053F9">
        <w:rPr>
          <w:rFonts w:cs="Arial"/>
          <w:lang w:eastAsia="ja-JP"/>
        </w:rPr>
        <w:t>these attempts</w:t>
      </w:r>
      <w:r>
        <w:rPr>
          <w:rFonts w:cs="Arial" w:hint="eastAsia"/>
          <w:lang w:eastAsia="ja-JP"/>
        </w:rPr>
        <w:t>, if nothing is found, UE changes to co</w:t>
      </w:r>
      <w:r w:rsidR="002B5A19">
        <w:rPr>
          <w:rFonts w:cs="Arial" w:hint="eastAsia"/>
          <w:lang w:eastAsia="ja-JP"/>
        </w:rPr>
        <w:t>verage enhanced mode reception like long accumulation of P</w:t>
      </w:r>
      <w:r w:rsidR="003A043F">
        <w:rPr>
          <w:rFonts w:cs="Arial" w:hint="eastAsia"/>
          <w:lang w:eastAsia="ja-JP"/>
        </w:rPr>
        <w:t xml:space="preserve">SS/SSS and keep trying of PBCH with the detection of </w:t>
      </w:r>
      <w:r w:rsidR="00995964">
        <w:rPr>
          <w:rFonts w:cs="Arial" w:hint="eastAsia"/>
          <w:lang w:eastAsia="ja-JP"/>
        </w:rPr>
        <w:t xml:space="preserve">additional </w:t>
      </w:r>
      <w:r w:rsidR="003A043F">
        <w:rPr>
          <w:rFonts w:cs="Arial" w:hint="eastAsia"/>
          <w:lang w:eastAsia="ja-JP"/>
        </w:rPr>
        <w:t>repetition of PBC</w:t>
      </w:r>
      <w:r w:rsidR="00995964">
        <w:rPr>
          <w:rFonts w:cs="Arial" w:hint="eastAsia"/>
          <w:lang w:eastAsia="ja-JP"/>
        </w:rPr>
        <w:t xml:space="preserve">H. </w:t>
      </w:r>
      <w:r w:rsidR="00644804">
        <w:rPr>
          <w:rFonts w:cs="Arial" w:hint="eastAsia"/>
          <w:lang w:eastAsia="ja-JP"/>
        </w:rPr>
        <w:t xml:space="preserve">Then UE </w:t>
      </w:r>
      <w:r w:rsidR="00995964">
        <w:rPr>
          <w:rFonts w:cs="Arial" w:hint="eastAsia"/>
          <w:lang w:eastAsia="ja-JP"/>
        </w:rPr>
        <w:t>receive</w:t>
      </w:r>
      <w:r w:rsidR="00644804">
        <w:rPr>
          <w:rFonts w:cs="Arial" w:hint="eastAsia"/>
          <w:lang w:eastAsia="ja-JP"/>
        </w:rPr>
        <w:t>s</w:t>
      </w:r>
      <w:r w:rsidR="00995964">
        <w:rPr>
          <w:rFonts w:cs="Arial" w:hint="eastAsia"/>
          <w:lang w:eastAsia="ja-JP"/>
        </w:rPr>
        <w:t xml:space="preserve"> MTC-SIBs (</w:t>
      </w:r>
      <w:r w:rsidR="0022014A">
        <w:rPr>
          <w:rFonts w:cs="Arial" w:hint="eastAsia"/>
          <w:lang w:eastAsia="ja-JP"/>
        </w:rPr>
        <w:t xml:space="preserve">= </w:t>
      </w:r>
      <w:proofErr w:type="spellStart"/>
      <w:r w:rsidR="00995964">
        <w:rPr>
          <w:rFonts w:cs="Arial" w:hint="eastAsia"/>
          <w:lang w:eastAsia="ja-JP"/>
        </w:rPr>
        <w:t>SIBbis</w:t>
      </w:r>
      <w:proofErr w:type="spellEnd"/>
      <w:r w:rsidR="00995964">
        <w:rPr>
          <w:rFonts w:cs="Arial" w:hint="eastAsia"/>
          <w:lang w:eastAsia="ja-JP"/>
        </w:rPr>
        <w:t>).</w:t>
      </w:r>
      <w:r w:rsidR="0022014A">
        <w:rPr>
          <w:rFonts w:cs="Arial" w:hint="eastAsia"/>
          <w:lang w:eastAsia="ja-JP"/>
        </w:rPr>
        <w:t xml:space="preserve"> </w:t>
      </w:r>
      <w:r w:rsidR="00644804">
        <w:rPr>
          <w:rFonts w:cs="Arial" w:hint="eastAsia"/>
          <w:lang w:eastAsia="ja-JP"/>
        </w:rPr>
        <w:t xml:space="preserve">Therefore, whether UE receives normal SIBs or MTC-SIBs is based on UE reception method. </w:t>
      </w:r>
      <w:r w:rsidR="00A053F9">
        <w:rPr>
          <w:rFonts w:cs="Arial"/>
          <w:lang w:eastAsia="ja-JP"/>
        </w:rPr>
        <w:t>This procedure</w:t>
      </w:r>
      <w:r w:rsidR="00644804">
        <w:rPr>
          <w:rFonts w:cs="Arial" w:hint="eastAsia"/>
          <w:lang w:eastAsia="ja-JP"/>
        </w:rPr>
        <w:t xml:space="preserve"> is described in Fig.1</w:t>
      </w:r>
    </w:p>
    <w:p w:rsidR="00812601" w:rsidRDefault="00812601" w:rsidP="00D51FAB">
      <w:pPr>
        <w:ind w:left="568"/>
        <w:rPr>
          <w:rFonts w:cs="Arial"/>
          <w:lang w:eastAsia="ja-JP"/>
        </w:rPr>
      </w:pPr>
      <w:r>
        <w:rPr>
          <w:rFonts w:cs="Arial" w:hint="eastAsia"/>
          <w:lang w:eastAsia="ja-JP"/>
        </w:rPr>
        <w:t xml:space="preserve">In Fig.1, the behaviour of the single frequency operation is described. Therefore, the failure of normal reception process leads to enhanced coverage way of PSS/SSS/PBCH reception. On the other hand, UE should try to find normal way of the reception as much as possible. Therefore, UE should check the other frequencies if UE support other frequencies. </w:t>
      </w:r>
      <w:r w:rsidR="00A053F9">
        <w:rPr>
          <w:rFonts w:cs="Arial"/>
          <w:lang w:eastAsia="ja-JP"/>
        </w:rPr>
        <w:t>This</w:t>
      </w:r>
      <w:r w:rsidR="00AA2D13">
        <w:rPr>
          <w:rFonts w:cs="Arial" w:hint="eastAsia"/>
          <w:lang w:eastAsia="ja-JP"/>
        </w:rPr>
        <w:t xml:space="preserve"> </w:t>
      </w:r>
      <w:r w:rsidR="00AA2D13">
        <w:rPr>
          <w:rFonts w:cs="Arial"/>
          <w:lang w:eastAsia="ja-JP"/>
        </w:rPr>
        <w:t>behaviour</w:t>
      </w:r>
      <w:r w:rsidR="00AA2D13">
        <w:rPr>
          <w:rFonts w:cs="Arial" w:hint="eastAsia"/>
          <w:lang w:eastAsia="ja-JP"/>
        </w:rPr>
        <w:t xml:space="preserve"> should be specified in the cell selection/reselection process in RAN2.</w:t>
      </w:r>
    </w:p>
    <w:p w:rsidR="00B071DC" w:rsidRDefault="00B071DC" w:rsidP="00D51FAB">
      <w:pPr>
        <w:ind w:left="568"/>
        <w:rPr>
          <w:rFonts w:cs="Arial"/>
          <w:lang w:eastAsia="ja-JP"/>
        </w:rPr>
      </w:pPr>
      <w:r>
        <w:rPr>
          <w:rFonts w:cs="Arial" w:hint="eastAsia"/>
          <w:lang w:eastAsia="ja-JP"/>
        </w:rPr>
        <w:t xml:space="preserve">Another area needs the discussion is </w:t>
      </w:r>
      <w:r w:rsidR="00007EE2">
        <w:rPr>
          <w:rFonts w:cs="Arial" w:hint="eastAsia"/>
          <w:lang w:eastAsia="ja-JP"/>
        </w:rPr>
        <w:t>the relation to PLMN selection, where it also related to search multiple frequen</w:t>
      </w:r>
      <w:r w:rsidR="00CE608E">
        <w:rPr>
          <w:rFonts w:cs="Arial" w:hint="eastAsia"/>
          <w:lang w:eastAsia="ja-JP"/>
        </w:rPr>
        <w:t>cies. This also needs to be disc</w:t>
      </w:r>
      <w:r w:rsidR="008707F3">
        <w:rPr>
          <w:rFonts w:cs="Arial" w:hint="eastAsia"/>
          <w:lang w:eastAsia="ja-JP"/>
        </w:rPr>
        <w:t>ussed in RAN2 on how to linkage to the Fig1 procedure.</w:t>
      </w:r>
    </w:p>
    <w:p w:rsidR="008707F3" w:rsidRDefault="008707F3" w:rsidP="00D51FAB">
      <w:pPr>
        <w:ind w:left="568"/>
        <w:rPr>
          <w:rFonts w:cs="Arial"/>
          <w:lang w:eastAsia="ja-JP"/>
        </w:rPr>
      </w:pPr>
      <w:r>
        <w:rPr>
          <w:rFonts w:cs="Arial" w:hint="eastAsia"/>
          <w:lang w:eastAsia="ja-JP"/>
        </w:rPr>
        <w:t>During CE mode B behaviour, UE reports RSRP measurement based on the event based reporting like RSRP is higher than certain threshold. Based on the reporting, the network may request UE to release RRC connection</w:t>
      </w:r>
      <w:r w:rsidR="0025631F">
        <w:rPr>
          <w:rFonts w:cs="Arial" w:hint="eastAsia"/>
          <w:lang w:eastAsia="ja-JP"/>
        </w:rPr>
        <w:t xml:space="preserve"> to obtain normal SIBs</w:t>
      </w:r>
      <w:r>
        <w:rPr>
          <w:rFonts w:cs="Arial" w:hint="eastAsia"/>
          <w:lang w:eastAsia="ja-JP"/>
        </w:rPr>
        <w:t xml:space="preserve">. </w:t>
      </w:r>
      <w:r w:rsidR="0019314A">
        <w:rPr>
          <w:rFonts w:cs="Arial" w:hint="eastAsia"/>
          <w:lang w:eastAsia="ja-JP"/>
        </w:rPr>
        <w:t xml:space="preserve">Another approach like using dedicated SIBs may be possible depending on RAN2 discussion. </w:t>
      </w:r>
      <w:r>
        <w:rPr>
          <w:rFonts w:cs="Arial" w:hint="eastAsia"/>
          <w:lang w:eastAsia="ja-JP"/>
        </w:rPr>
        <w:t>Then UE return to normal way of the reception.</w:t>
      </w:r>
    </w:p>
    <w:p w:rsidR="008707F3" w:rsidRDefault="008707F3" w:rsidP="00D51FAB">
      <w:pPr>
        <w:ind w:left="568"/>
        <w:rPr>
          <w:rFonts w:cs="Arial"/>
          <w:lang w:eastAsia="ja-JP"/>
        </w:rPr>
      </w:pPr>
    </w:p>
    <w:p w:rsidR="006D05BF" w:rsidRDefault="006D05BF" w:rsidP="00D51FAB">
      <w:pPr>
        <w:ind w:left="568"/>
        <w:rPr>
          <w:rFonts w:cs="Arial"/>
          <w:lang w:eastAsia="ja-JP"/>
        </w:rPr>
      </w:pPr>
    </w:p>
    <w:p w:rsidR="00644804" w:rsidRDefault="00644804" w:rsidP="00CE26D4">
      <w:pPr>
        <w:ind w:left="568"/>
        <w:jc w:val="center"/>
        <w:rPr>
          <w:lang w:eastAsia="ja-JP"/>
        </w:rPr>
      </w:pPr>
    </w:p>
    <w:p w:rsidR="0025631F" w:rsidRDefault="0019314A" w:rsidP="00CE26D4">
      <w:pPr>
        <w:ind w:left="568"/>
        <w:jc w:val="center"/>
        <w:rPr>
          <w:rFonts w:cs="Arial"/>
          <w:lang w:eastAsia="ja-JP"/>
        </w:rPr>
      </w:pPr>
      <w:r>
        <w:object w:dxaOrig="7786" w:dyaOrig="9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412.65pt" o:ole="">
            <v:imagedata r:id="rId10" o:title=""/>
          </v:shape>
          <o:OLEObject Type="Embed" ProgID="Visio.Drawing.15" ShapeID="_x0000_i1025" DrawAspect="Content" ObjectID="_1516206110" r:id="rId11"/>
        </w:object>
      </w:r>
    </w:p>
    <w:p w:rsidR="00D07B58" w:rsidRPr="00812601" w:rsidRDefault="003C3109" w:rsidP="00812601">
      <w:pPr>
        <w:ind w:left="568"/>
        <w:jc w:val="center"/>
        <w:rPr>
          <w:rFonts w:cs="Arial"/>
          <w:b/>
          <w:lang w:eastAsia="ja-JP"/>
        </w:rPr>
      </w:pPr>
      <w:r w:rsidRPr="006D05BF">
        <w:rPr>
          <w:rFonts w:cs="Arial" w:hint="eastAsia"/>
          <w:b/>
          <w:lang w:eastAsia="ja-JP"/>
        </w:rPr>
        <w:t xml:space="preserve">Fig 1. </w:t>
      </w:r>
      <w:r w:rsidR="000520EE" w:rsidRPr="006D05BF">
        <w:rPr>
          <w:rFonts w:cs="Arial" w:hint="eastAsia"/>
          <w:b/>
          <w:lang w:eastAsia="ja-JP"/>
        </w:rPr>
        <w:t>Normal UE reception of CE mode</w:t>
      </w:r>
    </w:p>
    <w:p w:rsidR="00D07B58" w:rsidRDefault="00D07B58" w:rsidP="00D51FAB">
      <w:pPr>
        <w:ind w:left="568"/>
        <w:rPr>
          <w:rFonts w:cs="Arial"/>
          <w:lang w:eastAsia="ja-JP"/>
        </w:rPr>
      </w:pPr>
    </w:p>
    <w:p w:rsidR="008427C8" w:rsidRPr="00D51FAB" w:rsidRDefault="008427C8" w:rsidP="00F06B2D">
      <w:pPr>
        <w:rPr>
          <w:rFonts w:cs="Arial"/>
          <w:u w:val="single"/>
          <w:lang w:eastAsia="ja-JP"/>
        </w:rPr>
      </w:pPr>
      <w:r w:rsidRPr="00D51FAB">
        <w:rPr>
          <w:rFonts w:cs="Arial" w:hint="eastAsia"/>
          <w:u w:val="single"/>
          <w:lang w:eastAsia="ja-JP"/>
        </w:rPr>
        <w:t>Whether CE mode A behaviour is required for normal UE?</w:t>
      </w:r>
    </w:p>
    <w:p w:rsidR="00375480" w:rsidRDefault="00375480" w:rsidP="008707F3">
      <w:pPr>
        <w:ind w:left="568"/>
        <w:rPr>
          <w:rFonts w:cs="Arial"/>
          <w:lang w:eastAsia="ja-JP"/>
        </w:rPr>
      </w:pPr>
      <w:r>
        <w:rPr>
          <w:rFonts w:cs="Arial" w:hint="eastAsia"/>
          <w:lang w:eastAsia="ja-JP"/>
        </w:rPr>
        <w:t xml:space="preserve">As shown in figure 1, our view is CE mode A is not required for normal UE. </w:t>
      </w:r>
      <w:r w:rsidR="00A053F9">
        <w:rPr>
          <w:rFonts w:cs="Arial" w:hint="eastAsia"/>
          <w:lang w:eastAsia="ja-JP"/>
        </w:rPr>
        <w:t xml:space="preserve">When path loss (measured by RSRP) is better than certain condition, the network </w:t>
      </w:r>
      <w:r w:rsidR="00A053F9">
        <w:rPr>
          <w:rFonts w:cs="Arial"/>
          <w:lang w:eastAsia="ja-JP"/>
        </w:rPr>
        <w:t>request</w:t>
      </w:r>
      <w:r w:rsidR="00A053F9">
        <w:rPr>
          <w:rFonts w:cs="Arial" w:hint="eastAsia"/>
          <w:lang w:eastAsia="ja-JP"/>
        </w:rPr>
        <w:t xml:space="preserve"> UE to release RRC connection and change to the normal way of the reception. </w:t>
      </w:r>
      <w:r w:rsidR="00895805">
        <w:rPr>
          <w:rFonts w:cs="Arial" w:hint="eastAsia"/>
          <w:lang w:eastAsia="ja-JP"/>
        </w:rPr>
        <w:t xml:space="preserve">Or other method described above. </w:t>
      </w:r>
      <w:r w:rsidR="00E738F8">
        <w:rPr>
          <w:rFonts w:cs="Arial" w:hint="eastAsia"/>
          <w:lang w:eastAsia="ja-JP"/>
        </w:rPr>
        <w:t>Therefore, normal UE is not required to operate in CE mode A.</w:t>
      </w:r>
    </w:p>
    <w:p w:rsidR="008427C8" w:rsidRDefault="00336266" w:rsidP="00F06B2D">
      <w:pPr>
        <w:rPr>
          <w:rFonts w:cs="Arial"/>
          <w:lang w:eastAsia="ja-JP"/>
        </w:rPr>
      </w:pPr>
      <w:r>
        <w:rPr>
          <w:rFonts w:cs="Arial" w:hint="eastAsia"/>
          <w:lang w:eastAsia="ja-JP"/>
        </w:rPr>
        <w:t>Based on the above discussion,</w:t>
      </w:r>
    </w:p>
    <w:p w:rsidR="00E409FD" w:rsidRDefault="00E409FD" w:rsidP="00E409FD">
      <w:pPr>
        <w:rPr>
          <w:rFonts w:cs="Arial"/>
          <w:b/>
          <w:lang w:eastAsia="ja-JP"/>
        </w:rPr>
      </w:pPr>
      <w:r>
        <w:rPr>
          <w:rFonts w:cs="Arial" w:hint="eastAsia"/>
          <w:b/>
          <w:lang w:eastAsia="ja-JP"/>
        </w:rPr>
        <w:t>Observation</w:t>
      </w:r>
      <w:r w:rsidRPr="00DB3349">
        <w:rPr>
          <w:rFonts w:cs="Arial" w:hint="eastAsia"/>
          <w:b/>
          <w:lang w:eastAsia="ja-JP"/>
        </w:rPr>
        <w:t xml:space="preserve">: </w:t>
      </w:r>
      <w:r>
        <w:rPr>
          <w:rFonts w:cs="Arial" w:hint="eastAsia"/>
          <w:b/>
          <w:lang w:eastAsia="ja-JP"/>
        </w:rPr>
        <w:t>Normal SIB reception or MTC SIB reception for normal UE is determined by how PSS/SSS/PBCH is received by UE.</w:t>
      </w:r>
    </w:p>
    <w:p w:rsidR="00D771D3" w:rsidRDefault="00D771D3" w:rsidP="00E409FD">
      <w:pPr>
        <w:rPr>
          <w:rFonts w:cs="Arial"/>
          <w:b/>
          <w:lang w:eastAsia="ja-JP"/>
        </w:rPr>
      </w:pPr>
      <w:r>
        <w:rPr>
          <w:rFonts w:cs="Arial" w:hint="eastAsia"/>
          <w:b/>
          <w:lang w:eastAsia="ja-JP"/>
        </w:rPr>
        <w:t>Proposal</w:t>
      </w:r>
      <w:r w:rsidR="00A053F9">
        <w:rPr>
          <w:rFonts w:cs="Arial" w:hint="eastAsia"/>
          <w:b/>
          <w:lang w:eastAsia="ja-JP"/>
        </w:rPr>
        <w:t xml:space="preserve"> 1</w:t>
      </w:r>
      <w:r w:rsidRPr="00DB3349">
        <w:rPr>
          <w:rFonts w:cs="Arial" w:hint="eastAsia"/>
          <w:b/>
          <w:lang w:eastAsia="ja-JP"/>
        </w:rPr>
        <w:t xml:space="preserve">: </w:t>
      </w:r>
      <w:r>
        <w:rPr>
          <w:rFonts w:cs="Arial" w:hint="eastAsia"/>
          <w:b/>
          <w:lang w:eastAsia="ja-JP"/>
        </w:rPr>
        <w:t>Normal UE is not required to support CE mode A.</w:t>
      </w:r>
    </w:p>
    <w:p w:rsidR="00D771D3" w:rsidRDefault="00D771D3" w:rsidP="00F06B2D">
      <w:pPr>
        <w:rPr>
          <w:rFonts w:cs="Arial"/>
          <w:b/>
          <w:lang w:eastAsia="ja-JP"/>
        </w:rPr>
      </w:pPr>
      <w:r>
        <w:rPr>
          <w:rFonts w:cs="Arial" w:hint="eastAsia"/>
          <w:b/>
          <w:lang w:eastAsia="ja-JP"/>
        </w:rPr>
        <w:t>Proposal</w:t>
      </w:r>
      <w:r w:rsidR="00A053F9">
        <w:rPr>
          <w:rFonts w:cs="Arial" w:hint="eastAsia"/>
          <w:b/>
          <w:lang w:eastAsia="ja-JP"/>
        </w:rPr>
        <w:t xml:space="preserve"> 2</w:t>
      </w:r>
      <w:r w:rsidRPr="00DB3349">
        <w:rPr>
          <w:rFonts w:cs="Arial" w:hint="eastAsia"/>
          <w:b/>
          <w:lang w:eastAsia="ja-JP"/>
        </w:rPr>
        <w:t xml:space="preserve">: </w:t>
      </w:r>
      <w:r>
        <w:rPr>
          <w:rFonts w:cs="Arial" w:hint="eastAsia"/>
          <w:b/>
          <w:lang w:eastAsia="ja-JP"/>
        </w:rPr>
        <w:t>Normal UE is allowed to be optionally support CE mode B.</w:t>
      </w:r>
    </w:p>
    <w:p w:rsidR="005E5837" w:rsidRDefault="005E5837" w:rsidP="005E5837">
      <w:pPr>
        <w:rPr>
          <w:rFonts w:cs="Arial"/>
          <w:b/>
          <w:lang w:eastAsia="ja-JP"/>
        </w:rPr>
      </w:pPr>
      <w:r>
        <w:rPr>
          <w:rFonts w:cs="Arial" w:hint="eastAsia"/>
          <w:b/>
          <w:lang w:eastAsia="ja-JP"/>
        </w:rPr>
        <w:t>Proposal</w:t>
      </w:r>
      <w:r w:rsidR="00A053F9">
        <w:rPr>
          <w:rFonts w:cs="Arial" w:hint="eastAsia"/>
          <w:b/>
          <w:lang w:eastAsia="ja-JP"/>
        </w:rPr>
        <w:t xml:space="preserve"> 3</w:t>
      </w:r>
      <w:r w:rsidRPr="00DB3349">
        <w:rPr>
          <w:rFonts w:cs="Arial" w:hint="eastAsia"/>
          <w:b/>
          <w:lang w:eastAsia="ja-JP"/>
        </w:rPr>
        <w:t xml:space="preserve">: </w:t>
      </w:r>
      <w:r>
        <w:rPr>
          <w:rFonts w:cs="Arial" w:hint="eastAsia"/>
          <w:b/>
          <w:lang w:eastAsia="ja-JP"/>
        </w:rPr>
        <w:t>Inter frequency aspect and PLMN selection aspect should be further discussed in RAN2.</w:t>
      </w:r>
    </w:p>
    <w:p w:rsidR="005E5837" w:rsidRDefault="005E5837" w:rsidP="00F06B2D">
      <w:pPr>
        <w:rPr>
          <w:rFonts w:cs="Arial"/>
          <w:lang w:eastAsia="ja-JP"/>
        </w:rPr>
      </w:pPr>
    </w:p>
    <w:p w:rsidR="008427C8" w:rsidRDefault="008427C8" w:rsidP="00F06B2D">
      <w:pPr>
        <w:rPr>
          <w:rFonts w:cs="Arial"/>
          <w:lang w:eastAsia="ja-JP"/>
        </w:rPr>
      </w:pPr>
      <w:r>
        <w:rPr>
          <w:rFonts w:cs="Arial" w:hint="eastAsia"/>
          <w:lang w:eastAsia="ja-JP"/>
        </w:rPr>
        <w:t xml:space="preserve">Related to LC UEs, our view is CE mode A behaviour is mandatory to satisfy the same coverage with normal UE. </w:t>
      </w:r>
      <w:r w:rsidR="00A053F9">
        <w:rPr>
          <w:rFonts w:cs="Arial"/>
          <w:lang w:eastAsia="ja-JP"/>
        </w:rPr>
        <w:t>This avoids</w:t>
      </w:r>
      <w:r>
        <w:rPr>
          <w:rFonts w:cs="Arial" w:hint="eastAsia"/>
          <w:lang w:eastAsia="ja-JP"/>
        </w:rPr>
        <w:t xml:space="preserve"> new cell planning only for LC UEs and to allow smooth introduction of LC UEs in current LTE network.</w:t>
      </w:r>
    </w:p>
    <w:p w:rsidR="005F570E" w:rsidRDefault="00A053F9" w:rsidP="005F570E">
      <w:pPr>
        <w:rPr>
          <w:rFonts w:cs="Arial"/>
          <w:b/>
          <w:lang w:eastAsia="ja-JP"/>
        </w:rPr>
      </w:pPr>
      <w:r w:rsidRPr="00DB3349">
        <w:rPr>
          <w:rFonts w:cs="Arial"/>
          <w:b/>
          <w:lang w:eastAsia="ja-JP"/>
        </w:rPr>
        <w:lastRenderedPageBreak/>
        <w:t>Proposal</w:t>
      </w:r>
      <w:r>
        <w:rPr>
          <w:rFonts w:cs="Arial" w:hint="eastAsia"/>
          <w:b/>
          <w:lang w:eastAsia="ja-JP"/>
        </w:rPr>
        <w:t xml:space="preserve"> 4</w:t>
      </w:r>
      <w:r w:rsidRPr="00DB3349">
        <w:rPr>
          <w:rFonts w:cs="Arial"/>
          <w:b/>
          <w:lang w:eastAsia="ja-JP"/>
        </w:rPr>
        <w:t>:</w:t>
      </w:r>
      <w:r w:rsidR="005F570E" w:rsidRPr="00DB3349">
        <w:rPr>
          <w:rFonts w:cs="Arial" w:hint="eastAsia"/>
          <w:b/>
          <w:lang w:eastAsia="ja-JP"/>
        </w:rPr>
        <w:t xml:space="preserve"> </w:t>
      </w:r>
      <w:r w:rsidR="005F570E">
        <w:rPr>
          <w:rFonts w:cs="Arial" w:hint="eastAsia"/>
          <w:b/>
          <w:lang w:eastAsia="ja-JP"/>
        </w:rPr>
        <w:t>CE mode A is mandatory for LC UEs.</w:t>
      </w:r>
    </w:p>
    <w:p w:rsidR="00336266" w:rsidRDefault="00336266" w:rsidP="005F570E">
      <w:pPr>
        <w:rPr>
          <w:rFonts w:cs="Arial"/>
          <w:b/>
          <w:lang w:eastAsia="ja-JP"/>
        </w:rPr>
      </w:pPr>
    </w:p>
    <w:p w:rsidR="000A2457" w:rsidRDefault="000A2457" w:rsidP="000206CA">
      <w:pPr>
        <w:pStyle w:val="TdocHeader2"/>
        <w:jc w:val="left"/>
        <w:rPr>
          <w:rFonts w:eastAsiaTheme="minorEastAsia"/>
          <w:sz w:val="24"/>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184315" w:rsidRDefault="00184315" w:rsidP="00184315">
      <w:pPr>
        <w:tabs>
          <w:tab w:val="left" w:pos="567"/>
        </w:tabs>
        <w:snapToGrid w:val="0"/>
        <w:rPr>
          <w:lang w:eastAsia="ja-JP"/>
        </w:rPr>
      </w:pPr>
      <w:r>
        <w:rPr>
          <w:rFonts w:hint="eastAsia"/>
          <w:lang w:eastAsia="ja-JP"/>
        </w:rPr>
        <w:t>[1]</w:t>
      </w:r>
      <w:r>
        <w:rPr>
          <w:rFonts w:hint="eastAsia"/>
          <w:lang w:eastAsia="ja-JP"/>
        </w:rPr>
        <w:tab/>
      </w:r>
      <w:r w:rsidRPr="00184315">
        <w:rPr>
          <w:lang w:eastAsia="ja-JP"/>
        </w:rPr>
        <w:t>R1-157918</w:t>
      </w:r>
      <w:r>
        <w:rPr>
          <w:rFonts w:hint="eastAsia"/>
          <w:lang w:eastAsia="ja-JP"/>
        </w:rPr>
        <w:t xml:space="preserve">, </w:t>
      </w:r>
      <w:r>
        <w:rPr>
          <w:rFonts w:hint="eastAsia"/>
          <w:lang w:eastAsia="ja-JP"/>
        </w:rPr>
        <w:tab/>
      </w:r>
      <w:r>
        <w:rPr>
          <w:lang w:eastAsia="ja-JP"/>
        </w:rPr>
        <w:t>CR to TS36.21</w:t>
      </w:r>
      <w:r>
        <w:rPr>
          <w:rFonts w:hint="eastAsia"/>
          <w:lang w:eastAsia="ja-JP"/>
        </w:rPr>
        <w:t>1</w:t>
      </w:r>
    </w:p>
    <w:p w:rsidR="00184315" w:rsidRDefault="00184315" w:rsidP="00184315">
      <w:pPr>
        <w:tabs>
          <w:tab w:val="left" w:pos="567"/>
        </w:tabs>
        <w:snapToGrid w:val="0"/>
        <w:rPr>
          <w:lang w:eastAsia="ja-JP"/>
        </w:rPr>
      </w:pPr>
      <w:r>
        <w:rPr>
          <w:rFonts w:hint="eastAsia"/>
          <w:lang w:eastAsia="ja-JP"/>
        </w:rPr>
        <w:t>[2]</w:t>
      </w:r>
      <w:r>
        <w:rPr>
          <w:rFonts w:hint="eastAsia"/>
          <w:lang w:eastAsia="ja-JP"/>
        </w:rPr>
        <w:tab/>
        <w:t xml:space="preserve">R1-157916, </w:t>
      </w:r>
      <w:r>
        <w:rPr>
          <w:rFonts w:hint="eastAsia"/>
          <w:lang w:eastAsia="ja-JP"/>
        </w:rPr>
        <w:tab/>
      </w:r>
      <w:r>
        <w:rPr>
          <w:lang w:eastAsia="ja-JP"/>
        </w:rPr>
        <w:t>CR to TS36.21</w:t>
      </w:r>
      <w:r>
        <w:rPr>
          <w:rFonts w:hint="eastAsia"/>
          <w:lang w:eastAsia="ja-JP"/>
        </w:rPr>
        <w:t>2</w:t>
      </w:r>
    </w:p>
    <w:p w:rsidR="00184315" w:rsidRDefault="00184315" w:rsidP="00184315">
      <w:pPr>
        <w:tabs>
          <w:tab w:val="left" w:pos="567"/>
        </w:tabs>
        <w:snapToGrid w:val="0"/>
        <w:rPr>
          <w:lang w:eastAsia="ja-JP"/>
        </w:rPr>
      </w:pPr>
      <w:r>
        <w:rPr>
          <w:rFonts w:hint="eastAsia"/>
          <w:lang w:eastAsia="ja-JP"/>
        </w:rPr>
        <w:t>[3]</w:t>
      </w:r>
      <w:r>
        <w:rPr>
          <w:rFonts w:hint="eastAsia"/>
          <w:lang w:eastAsia="ja-JP"/>
        </w:rPr>
        <w:tab/>
        <w:t xml:space="preserve">R1-157926, </w:t>
      </w:r>
      <w:r>
        <w:rPr>
          <w:rFonts w:hint="eastAsia"/>
          <w:lang w:eastAsia="ja-JP"/>
        </w:rPr>
        <w:tab/>
      </w:r>
      <w:r>
        <w:rPr>
          <w:lang w:eastAsia="ja-JP"/>
        </w:rPr>
        <w:t>CR to TS36.213</w:t>
      </w:r>
    </w:p>
    <w:p w:rsidR="0005544C" w:rsidRDefault="0005544C" w:rsidP="00184315">
      <w:pPr>
        <w:tabs>
          <w:tab w:val="left" w:pos="567"/>
        </w:tabs>
        <w:snapToGrid w:val="0"/>
        <w:rPr>
          <w:lang w:eastAsia="ja-JP"/>
        </w:rPr>
      </w:pPr>
      <w:r>
        <w:rPr>
          <w:rFonts w:hint="eastAsia"/>
          <w:lang w:eastAsia="ja-JP"/>
        </w:rPr>
        <w:t>[4]</w:t>
      </w:r>
      <w:r>
        <w:rPr>
          <w:rFonts w:hint="eastAsia"/>
          <w:lang w:eastAsia="ja-JP"/>
        </w:rPr>
        <w:tab/>
      </w:r>
      <w:r w:rsidRPr="0005544C">
        <w:rPr>
          <w:lang w:eastAsia="ja-JP"/>
        </w:rPr>
        <w:t>RP-150492</w:t>
      </w:r>
      <w:r w:rsidR="008427C8">
        <w:rPr>
          <w:rFonts w:hint="eastAsia"/>
          <w:lang w:eastAsia="ja-JP"/>
        </w:rPr>
        <w:t xml:space="preserve">, </w:t>
      </w:r>
      <w:r w:rsidR="008427C8">
        <w:rPr>
          <w:rFonts w:hint="eastAsia"/>
          <w:lang w:eastAsia="ja-JP"/>
        </w:rPr>
        <w:tab/>
      </w:r>
      <w:r w:rsidR="008427C8" w:rsidRPr="008427C8">
        <w:rPr>
          <w:lang w:eastAsia="ja-JP"/>
        </w:rPr>
        <w:t>Revised WI: Further LTE Physical Layer Enhancements for MTC</w:t>
      </w:r>
      <w:r w:rsidR="008427C8">
        <w:rPr>
          <w:rFonts w:hint="eastAsia"/>
          <w:lang w:eastAsia="ja-JP"/>
        </w:rPr>
        <w:t xml:space="preserve">, </w:t>
      </w:r>
      <w:r w:rsidR="008427C8" w:rsidRPr="008427C8">
        <w:rPr>
          <w:lang w:eastAsia="ja-JP"/>
        </w:rPr>
        <w:t>Ericsson</w:t>
      </w:r>
    </w:p>
    <w:p w:rsidR="008427C8" w:rsidRDefault="008427C8" w:rsidP="00184315">
      <w:pPr>
        <w:tabs>
          <w:tab w:val="left" w:pos="567"/>
        </w:tabs>
        <w:snapToGrid w:val="0"/>
        <w:rPr>
          <w:lang w:eastAsia="ja-JP"/>
        </w:rPr>
      </w:pPr>
      <w:r>
        <w:rPr>
          <w:rFonts w:hint="eastAsia"/>
          <w:lang w:eastAsia="ja-JP"/>
        </w:rPr>
        <w:t>[5]</w:t>
      </w:r>
      <w:r>
        <w:rPr>
          <w:rFonts w:hint="eastAsia"/>
          <w:lang w:eastAsia="ja-JP"/>
        </w:rPr>
        <w:tab/>
      </w:r>
      <w:r w:rsidRPr="008427C8">
        <w:rPr>
          <w:lang w:eastAsia="ja-JP"/>
        </w:rPr>
        <w:t>R1-154017</w:t>
      </w:r>
      <w:r>
        <w:rPr>
          <w:rFonts w:hint="eastAsia"/>
          <w:lang w:eastAsia="ja-JP"/>
        </w:rPr>
        <w:t>,</w:t>
      </w:r>
      <w:r>
        <w:rPr>
          <w:rFonts w:hint="eastAsia"/>
          <w:lang w:eastAsia="ja-JP"/>
        </w:rPr>
        <w:tab/>
      </w:r>
      <w:r w:rsidRPr="008427C8">
        <w:rPr>
          <w:lang w:eastAsia="ja-JP"/>
        </w:rPr>
        <w:t>MTC terminology on normal coverage</w:t>
      </w:r>
      <w:r>
        <w:rPr>
          <w:rFonts w:hint="eastAsia"/>
          <w:lang w:eastAsia="ja-JP"/>
        </w:rPr>
        <w:t>, Panasonic</w:t>
      </w:r>
    </w:p>
    <w:p w:rsidR="005C23EF" w:rsidRDefault="005C23EF" w:rsidP="0045740A">
      <w:pPr>
        <w:tabs>
          <w:tab w:val="left" w:pos="567"/>
        </w:tabs>
        <w:snapToGrid w:val="0"/>
        <w:rPr>
          <w:noProof/>
          <w:lang w:eastAsia="ja-JP"/>
        </w:rPr>
      </w:pPr>
    </w:p>
    <w:p w:rsidR="004A79C5" w:rsidRDefault="004A79C5" w:rsidP="0045740A">
      <w:pPr>
        <w:tabs>
          <w:tab w:val="left" w:pos="567"/>
        </w:tabs>
        <w:snapToGrid w:val="0"/>
        <w:rPr>
          <w:noProof/>
          <w:lang w:eastAsia="ja-JP"/>
        </w:rPr>
      </w:pPr>
    </w:p>
    <w:p w:rsidR="0045740A" w:rsidRDefault="0045740A" w:rsidP="000206CA">
      <w:pPr>
        <w:pStyle w:val="TdocHeader2"/>
        <w:jc w:val="left"/>
        <w:rPr>
          <w:rFonts w:eastAsiaTheme="minorEastAsia"/>
          <w:sz w:val="24"/>
          <w:lang w:eastAsia="ja-JP"/>
        </w:rPr>
      </w:pPr>
    </w:p>
    <w:sectPr w:rsidR="0045740A">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B13" w:rsidRDefault="001C0B13">
      <w:r>
        <w:separator/>
      </w:r>
    </w:p>
  </w:endnote>
  <w:endnote w:type="continuationSeparator" w:id="0">
    <w:p w:rsidR="001C0B13" w:rsidRDefault="001C0B13">
      <w:r>
        <w:continuationSeparator/>
      </w:r>
    </w:p>
  </w:endnote>
  <w:endnote w:type="continuationNotice" w:id="1">
    <w:p w:rsidR="001C0B13" w:rsidRDefault="001C0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74FCF">
      <w:rPr>
        <w:rStyle w:val="af5"/>
      </w:rPr>
      <w:t>3</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B13" w:rsidRDefault="001C0B13">
      <w:r>
        <w:separator/>
      </w:r>
    </w:p>
  </w:footnote>
  <w:footnote w:type="continuationSeparator" w:id="0">
    <w:p w:rsidR="001C0B13" w:rsidRDefault="001C0B13">
      <w:r>
        <w:continuationSeparator/>
      </w:r>
    </w:p>
  </w:footnote>
  <w:footnote w:type="continuationNotice" w:id="1">
    <w:p w:rsidR="001C0B13" w:rsidRDefault="001C0B1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3">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1">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17">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17"/>
  </w:num>
  <w:num w:numId="2">
    <w:abstractNumId w:val="19"/>
  </w:num>
  <w:num w:numId="3">
    <w:abstractNumId w:val="4"/>
  </w:num>
  <w:num w:numId="4">
    <w:abstractNumId w:val="14"/>
  </w:num>
  <w:num w:numId="5">
    <w:abstractNumId w:val="7"/>
  </w:num>
  <w:num w:numId="6">
    <w:abstractNumId w:val="8"/>
  </w:num>
  <w:num w:numId="7">
    <w:abstractNumId w:val="6"/>
  </w:num>
  <w:num w:numId="8">
    <w:abstractNumId w:val="18"/>
  </w:num>
  <w:num w:numId="9">
    <w:abstractNumId w:val="1"/>
  </w:num>
  <w:num w:numId="10">
    <w:abstractNumId w:val="3"/>
  </w:num>
  <w:num w:numId="11">
    <w:abstractNumId w:val="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9"/>
  </w:num>
  <w:num w:numId="16">
    <w:abstractNumId w:val="10"/>
  </w:num>
  <w:num w:numId="17">
    <w:abstractNumId w:val="16"/>
  </w:num>
  <w:num w:numId="18">
    <w:abstractNumId w:val="13"/>
  </w:num>
  <w:num w:numId="19">
    <w:abstractNumId w:val="20"/>
  </w:num>
  <w:num w:numId="20">
    <w:abstractNumId w:val="11"/>
  </w:num>
  <w:num w:numId="21">
    <w:abstractNumId w:val="2"/>
  </w:num>
  <w:num w:numId="22">
    <w:abstractNumId w:val="0"/>
  </w:num>
  <w:num w:numId="2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AD9"/>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C50"/>
    <w:rsid w:val="0005544C"/>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6002"/>
    <w:rsid w:val="0009639E"/>
    <w:rsid w:val="00096543"/>
    <w:rsid w:val="00097555"/>
    <w:rsid w:val="00097918"/>
    <w:rsid w:val="00097ED4"/>
    <w:rsid w:val="000A1408"/>
    <w:rsid w:val="000A2457"/>
    <w:rsid w:val="000A2F81"/>
    <w:rsid w:val="000A3132"/>
    <w:rsid w:val="000A3512"/>
    <w:rsid w:val="000A3A30"/>
    <w:rsid w:val="000A3C0F"/>
    <w:rsid w:val="000A42F7"/>
    <w:rsid w:val="000A5BD3"/>
    <w:rsid w:val="000A65C8"/>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D4E"/>
    <w:rsid w:val="000C0E68"/>
    <w:rsid w:val="000C0F2B"/>
    <w:rsid w:val="000C2EB3"/>
    <w:rsid w:val="000C3BF8"/>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982"/>
    <w:rsid w:val="00101A9B"/>
    <w:rsid w:val="0010201D"/>
    <w:rsid w:val="00102B08"/>
    <w:rsid w:val="00102D91"/>
    <w:rsid w:val="00103674"/>
    <w:rsid w:val="00103B2C"/>
    <w:rsid w:val="00103BED"/>
    <w:rsid w:val="0010554C"/>
    <w:rsid w:val="00106F60"/>
    <w:rsid w:val="00107D5D"/>
    <w:rsid w:val="00107F2F"/>
    <w:rsid w:val="00110451"/>
    <w:rsid w:val="00110753"/>
    <w:rsid w:val="00111ECE"/>
    <w:rsid w:val="00113D82"/>
    <w:rsid w:val="00114B5E"/>
    <w:rsid w:val="0011542C"/>
    <w:rsid w:val="00115963"/>
    <w:rsid w:val="0011602B"/>
    <w:rsid w:val="001168DF"/>
    <w:rsid w:val="00116C10"/>
    <w:rsid w:val="00117194"/>
    <w:rsid w:val="00117F83"/>
    <w:rsid w:val="00120603"/>
    <w:rsid w:val="001224FE"/>
    <w:rsid w:val="001227F0"/>
    <w:rsid w:val="0012287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6A8F"/>
    <w:rsid w:val="00150870"/>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60041"/>
    <w:rsid w:val="0016034C"/>
    <w:rsid w:val="001603FD"/>
    <w:rsid w:val="001618B6"/>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F56"/>
    <w:rsid w:val="00180010"/>
    <w:rsid w:val="0018034C"/>
    <w:rsid w:val="00181E2B"/>
    <w:rsid w:val="0018259F"/>
    <w:rsid w:val="001827CC"/>
    <w:rsid w:val="00182F10"/>
    <w:rsid w:val="00183562"/>
    <w:rsid w:val="00184315"/>
    <w:rsid w:val="00184CFE"/>
    <w:rsid w:val="0018574D"/>
    <w:rsid w:val="00185992"/>
    <w:rsid w:val="00186179"/>
    <w:rsid w:val="001863E3"/>
    <w:rsid w:val="001866E9"/>
    <w:rsid w:val="00187151"/>
    <w:rsid w:val="00187695"/>
    <w:rsid w:val="00190C74"/>
    <w:rsid w:val="00191C14"/>
    <w:rsid w:val="001926EC"/>
    <w:rsid w:val="0019314A"/>
    <w:rsid w:val="00193AA8"/>
    <w:rsid w:val="00195181"/>
    <w:rsid w:val="00195842"/>
    <w:rsid w:val="00197E18"/>
    <w:rsid w:val="001A0C7D"/>
    <w:rsid w:val="001A1581"/>
    <w:rsid w:val="001A21CC"/>
    <w:rsid w:val="001A3319"/>
    <w:rsid w:val="001A4693"/>
    <w:rsid w:val="001A4B69"/>
    <w:rsid w:val="001A548D"/>
    <w:rsid w:val="001A6366"/>
    <w:rsid w:val="001A66F8"/>
    <w:rsid w:val="001A6799"/>
    <w:rsid w:val="001A7288"/>
    <w:rsid w:val="001A73D0"/>
    <w:rsid w:val="001A7A72"/>
    <w:rsid w:val="001B05DC"/>
    <w:rsid w:val="001B05EC"/>
    <w:rsid w:val="001B0CF9"/>
    <w:rsid w:val="001B1300"/>
    <w:rsid w:val="001B223C"/>
    <w:rsid w:val="001B43B1"/>
    <w:rsid w:val="001B4583"/>
    <w:rsid w:val="001B48B1"/>
    <w:rsid w:val="001B4C69"/>
    <w:rsid w:val="001B4F38"/>
    <w:rsid w:val="001B4F90"/>
    <w:rsid w:val="001B7243"/>
    <w:rsid w:val="001B7952"/>
    <w:rsid w:val="001B7A83"/>
    <w:rsid w:val="001B7E74"/>
    <w:rsid w:val="001C0B13"/>
    <w:rsid w:val="001C0F66"/>
    <w:rsid w:val="001C148B"/>
    <w:rsid w:val="001C1999"/>
    <w:rsid w:val="001C3363"/>
    <w:rsid w:val="001C3850"/>
    <w:rsid w:val="001C4FC0"/>
    <w:rsid w:val="001C5CA7"/>
    <w:rsid w:val="001D0C92"/>
    <w:rsid w:val="001D0EC7"/>
    <w:rsid w:val="001D1CBC"/>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2D25"/>
    <w:rsid w:val="00213CA5"/>
    <w:rsid w:val="00214A85"/>
    <w:rsid w:val="00214EAF"/>
    <w:rsid w:val="00215A3B"/>
    <w:rsid w:val="002160D0"/>
    <w:rsid w:val="00217133"/>
    <w:rsid w:val="0021799B"/>
    <w:rsid w:val="002200AE"/>
    <w:rsid w:val="0022014A"/>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6958"/>
    <w:rsid w:val="0024790A"/>
    <w:rsid w:val="00247C3A"/>
    <w:rsid w:val="00251467"/>
    <w:rsid w:val="002515B9"/>
    <w:rsid w:val="002519E5"/>
    <w:rsid w:val="00251B56"/>
    <w:rsid w:val="00252069"/>
    <w:rsid w:val="0025258A"/>
    <w:rsid w:val="00252C20"/>
    <w:rsid w:val="002534B1"/>
    <w:rsid w:val="002536ED"/>
    <w:rsid w:val="00253B10"/>
    <w:rsid w:val="002541CB"/>
    <w:rsid w:val="002553FE"/>
    <w:rsid w:val="00255F10"/>
    <w:rsid w:val="0025623D"/>
    <w:rsid w:val="0025631F"/>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CEC"/>
    <w:rsid w:val="00273EF4"/>
    <w:rsid w:val="00274C57"/>
    <w:rsid w:val="00274FCF"/>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A6D"/>
    <w:rsid w:val="002A1562"/>
    <w:rsid w:val="002A25D0"/>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266"/>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0E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7064E"/>
    <w:rsid w:val="00370E67"/>
    <w:rsid w:val="00371AC7"/>
    <w:rsid w:val="00372277"/>
    <w:rsid w:val="0037242B"/>
    <w:rsid w:val="00372E30"/>
    <w:rsid w:val="00373B03"/>
    <w:rsid w:val="00374322"/>
    <w:rsid w:val="00374655"/>
    <w:rsid w:val="0037528F"/>
    <w:rsid w:val="00375480"/>
    <w:rsid w:val="003756F7"/>
    <w:rsid w:val="00376092"/>
    <w:rsid w:val="00376319"/>
    <w:rsid w:val="0037637F"/>
    <w:rsid w:val="00381AF4"/>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CA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0C30"/>
    <w:rsid w:val="0044178B"/>
    <w:rsid w:val="00442DD2"/>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5740A"/>
    <w:rsid w:val="004605D1"/>
    <w:rsid w:val="004605FA"/>
    <w:rsid w:val="0046068A"/>
    <w:rsid w:val="00460C3F"/>
    <w:rsid w:val="00461569"/>
    <w:rsid w:val="0046173B"/>
    <w:rsid w:val="004618FE"/>
    <w:rsid w:val="0046210B"/>
    <w:rsid w:val="00463D73"/>
    <w:rsid w:val="004640AF"/>
    <w:rsid w:val="004646A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4B5B"/>
    <w:rsid w:val="00494F3E"/>
    <w:rsid w:val="00496384"/>
    <w:rsid w:val="004965D7"/>
    <w:rsid w:val="0049661C"/>
    <w:rsid w:val="00496AC2"/>
    <w:rsid w:val="0049741E"/>
    <w:rsid w:val="00497849"/>
    <w:rsid w:val="004A1190"/>
    <w:rsid w:val="004A1697"/>
    <w:rsid w:val="004A1A12"/>
    <w:rsid w:val="004A1BA0"/>
    <w:rsid w:val="004A20E7"/>
    <w:rsid w:val="004A4B9C"/>
    <w:rsid w:val="004A548F"/>
    <w:rsid w:val="004A625D"/>
    <w:rsid w:val="004A6ACE"/>
    <w:rsid w:val="004A6DF9"/>
    <w:rsid w:val="004A770D"/>
    <w:rsid w:val="004A79C5"/>
    <w:rsid w:val="004B0877"/>
    <w:rsid w:val="004B0CA2"/>
    <w:rsid w:val="004B154F"/>
    <w:rsid w:val="004B2915"/>
    <w:rsid w:val="004B2F20"/>
    <w:rsid w:val="004B3BDE"/>
    <w:rsid w:val="004B47A0"/>
    <w:rsid w:val="004B6974"/>
    <w:rsid w:val="004B6F2F"/>
    <w:rsid w:val="004B707E"/>
    <w:rsid w:val="004B76CA"/>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E006C"/>
    <w:rsid w:val="004E07C4"/>
    <w:rsid w:val="004E0B4E"/>
    <w:rsid w:val="004E0B6B"/>
    <w:rsid w:val="004E1C12"/>
    <w:rsid w:val="004E223B"/>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C47"/>
    <w:rsid w:val="004F782D"/>
    <w:rsid w:val="0050011B"/>
    <w:rsid w:val="0050041B"/>
    <w:rsid w:val="00500623"/>
    <w:rsid w:val="00500B97"/>
    <w:rsid w:val="005011B7"/>
    <w:rsid w:val="00501639"/>
    <w:rsid w:val="00501F6E"/>
    <w:rsid w:val="005031A3"/>
    <w:rsid w:val="005032C8"/>
    <w:rsid w:val="005056A6"/>
    <w:rsid w:val="005060DB"/>
    <w:rsid w:val="00506B3B"/>
    <w:rsid w:val="00506B82"/>
    <w:rsid w:val="00506DF8"/>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AFD"/>
    <w:rsid w:val="0052403A"/>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864"/>
    <w:rsid w:val="0056453F"/>
    <w:rsid w:val="00565D97"/>
    <w:rsid w:val="0056611B"/>
    <w:rsid w:val="0056698A"/>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8EA"/>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3EF"/>
    <w:rsid w:val="005C2665"/>
    <w:rsid w:val="005C2DA7"/>
    <w:rsid w:val="005C306B"/>
    <w:rsid w:val="005C3384"/>
    <w:rsid w:val="005C396B"/>
    <w:rsid w:val="005C3B9B"/>
    <w:rsid w:val="005C3F12"/>
    <w:rsid w:val="005C4414"/>
    <w:rsid w:val="005C462D"/>
    <w:rsid w:val="005C5EA8"/>
    <w:rsid w:val="005C613B"/>
    <w:rsid w:val="005C6176"/>
    <w:rsid w:val="005C6ABE"/>
    <w:rsid w:val="005C6C28"/>
    <w:rsid w:val="005C7D72"/>
    <w:rsid w:val="005D00BB"/>
    <w:rsid w:val="005D0F3D"/>
    <w:rsid w:val="005D1E5B"/>
    <w:rsid w:val="005D260C"/>
    <w:rsid w:val="005D35C0"/>
    <w:rsid w:val="005D432A"/>
    <w:rsid w:val="005D4BE0"/>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4DC"/>
    <w:rsid w:val="00600972"/>
    <w:rsid w:val="00602601"/>
    <w:rsid w:val="006031C0"/>
    <w:rsid w:val="006031D7"/>
    <w:rsid w:val="00603FCE"/>
    <w:rsid w:val="0060438C"/>
    <w:rsid w:val="006048FB"/>
    <w:rsid w:val="00606AD7"/>
    <w:rsid w:val="00606B17"/>
    <w:rsid w:val="006073A6"/>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28B"/>
    <w:rsid w:val="0064276F"/>
    <w:rsid w:val="00643DC8"/>
    <w:rsid w:val="00644804"/>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1FAA"/>
    <w:rsid w:val="006E2B54"/>
    <w:rsid w:val="006E3453"/>
    <w:rsid w:val="006E4312"/>
    <w:rsid w:val="006E5219"/>
    <w:rsid w:val="006E5D3C"/>
    <w:rsid w:val="006E64D5"/>
    <w:rsid w:val="006E6C55"/>
    <w:rsid w:val="006E7617"/>
    <w:rsid w:val="006E779C"/>
    <w:rsid w:val="006E7DDA"/>
    <w:rsid w:val="006F0829"/>
    <w:rsid w:val="006F0F1C"/>
    <w:rsid w:val="006F3B59"/>
    <w:rsid w:val="006F4963"/>
    <w:rsid w:val="006F51AA"/>
    <w:rsid w:val="006F60E8"/>
    <w:rsid w:val="006F65B6"/>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1DE"/>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58F4"/>
    <w:rsid w:val="00737495"/>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ACC"/>
    <w:rsid w:val="00746A20"/>
    <w:rsid w:val="00746D91"/>
    <w:rsid w:val="00747F73"/>
    <w:rsid w:val="00750A8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839"/>
    <w:rsid w:val="007641A2"/>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5E4A"/>
    <w:rsid w:val="007C61E1"/>
    <w:rsid w:val="007C6228"/>
    <w:rsid w:val="007C6B7C"/>
    <w:rsid w:val="007C7F30"/>
    <w:rsid w:val="007D13A5"/>
    <w:rsid w:val="007D1A18"/>
    <w:rsid w:val="007D2045"/>
    <w:rsid w:val="007D2157"/>
    <w:rsid w:val="007D23FE"/>
    <w:rsid w:val="007D26FC"/>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20966"/>
    <w:rsid w:val="00820B86"/>
    <w:rsid w:val="0082121C"/>
    <w:rsid w:val="0082228A"/>
    <w:rsid w:val="00822AB9"/>
    <w:rsid w:val="00822B7B"/>
    <w:rsid w:val="00822C35"/>
    <w:rsid w:val="0082376A"/>
    <w:rsid w:val="00824922"/>
    <w:rsid w:val="00825265"/>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7C8"/>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805"/>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23CE"/>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E85"/>
    <w:rsid w:val="00994EC4"/>
    <w:rsid w:val="0099551D"/>
    <w:rsid w:val="009955AF"/>
    <w:rsid w:val="00995964"/>
    <w:rsid w:val="00995A2C"/>
    <w:rsid w:val="00995A37"/>
    <w:rsid w:val="009973B1"/>
    <w:rsid w:val="009978D9"/>
    <w:rsid w:val="00997D96"/>
    <w:rsid w:val="00997DEF"/>
    <w:rsid w:val="009A1966"/>
    <w:rsid w:val="009A1B17"/>
    <w:rsid w:val="009A31EB"/>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3F9"/>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1404"/>
    <w:rsid w:val="00A22C84"/>
    <w:rsid w:val="00A2375D"/>
    <w:rsid w:val="00A237EB"/>
    <w:rsid w:val="00A237F3"/>
    <w:rsid w:val="00A2523C"/>
    <w:rsid w:val="00A25653"/>
    <w:rsid w:val="00A25981"/>
    <w:rsid w:val="00A27DE7"/>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5121"/>
    <w:rsid w:val="00A55C8A"/>
    <w:rsid w:val="00A56CB5"/>
    <w:rsid w:val="00A575DF"/>
    <w:rsid w:val="00A57F2B"/>
    <w:rsid w:val="00A6012E"/>
    <w:rsid w:val="00A6093B"/>
    <w:rsid w:val="00A614F0"/>
    <w:rsid w:val="00A6166C"/>
    <w:rsid w:val="00A62CF6"/>
    <w:rsid w:val="00A6430C"/>
    <w:rsid w:val="00A64537"/>
    <w:rsid w:val="00A64A43"/>
    <w:rsid w:val="00A64B50"/>
    <w:rsid w:val="00A66146"/>
    <w:rsid w:val="00A662F3"/>
    <w:rsid w:val="00A66C39"/>
    <w:rsid w:val="00A7047E"/>
    <w:rsid w:val="00A7061F"/>
    <w:rsid w:val="00A70DF9"/>
    <w:rsid w:val="00A71177"/>
    <w:rsid w:val="00A712D3"/>
    <w:rsid w:val="00A72369"/>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F0202"/>
    <w:rsid w:val="00AF13AA"/>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E9A"/>
    <w:rsid w:val="00B14B8E"/>
    <w:rsid w:val="00B14FB1"/>
    <w:rsid w:val="00B155F7"/>
    <w:rsid w:val="00B16988"/>
    <w:rsid w:val="00B1755C"/>
    <w:rsid w:val="00B17815"/>
    <w:rsid w:val="00B17EF2"/>
    <w:rsid w:val="00B2028B"/>
    <w:rsid w:val="00B211A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545D"/>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6803"/>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6C88"/>
    <w:rsid w:val="00B909F5"/>
    <w:rsid w:val="00B92176"/>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C0A41"/>
    <w:rsid w:val="00BC133D"/>
    <w:rsid w:val="00BC1357"/>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5D19"/>
    <w:rsid w:val="00BD640B"/>
    <w:rsid w:val="00BD6523"/>
    <w:rsid w:val="00BD6A15"/>
    <w:rsid w:val="00BD77BC"/>
    <w:rsid w:val="00BD7E45"/>
    <w:rsid w:val="00BE0239"/>
    <w:rsid w:val="00BE30AC"/>
    <w:rsid w:val="00BE3255"/>
    <w:rsid w:val="00BE37DE"/>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6C4"/>
    <w:rsid w:val="00C61087"/>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A9C"/>
    <w:rsid w:val="00C92EFF"/>
    <w:rsid w:val="00C9338F"/>
    <w:rsid w:val="00C93DB7"/>
    <w:rsid w:val="00C941E0"/>
    <w:rsid w:val="00C95087"/>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E52"/>
    <w:rsid w:val="00D67274"/>
    <w:rsid w:val="00D6773A"/>
    <w:rsid w:val="00D70A7D"/>
    <w:rsid w:val="00D70D88"/>
    <w:rsid w:val="00D711A7"/>
    <w:rsid w:val="00D71464"/>
    <w:rsid w:val="00D714CA"/>
    <w:rsid w:val="00D71733"/>
    <w:rsid w:val="00D72A83"/>
    <w:rsid w:val="00D7300D"/>
    <w:rsid w:val="00D73F82"/>
    <w:rsid w:val="00D75C5E"/>
    <w:rsid w:val="00D76C13"/>
    <w:rsid w:val="00D771D3"/>
    <w:rsid w:val="00D7783D"/>
    <w:rsid w:val="00D77F58"/>
    <w:rsid w:val="00D8017E"/>
    <w:rsid w:val="00D803DF"/>
    <w:rsid w:val="00D809F3"/>
    <w:rsid w:val="00D80A8D"/>
    <w:rsid w:val="00D82243"/>
    <w:rsid w:val="00D83AC4"/>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FA8"/>
    <w:rsid w:val="00DB65F2"/>
    <w:rsid w:val="00DB6F7F"/>
    <w:rsid w:val="00DB7583"/>
    <w:rsid w:val="00DB7608"/>
    <w:rsid w:val="00DB7A44"/>
    <w:rsid w:val="00DB7D16"/>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5F4"/>
    <w:rsid w:val="00DD29E5"/>
    <w:rsid w:val="00DD2B70"/>
    <w:rsid w:val="00DD4903"/>
    <w:rsid w:val="00DD6CFA"/>
    <w:rsid w:val="00DD74A3"/>
    <w:rsid w:val="00DD7D8B"/>
    <w:rsid w:val="00DE1289"/>
    <w:rsid w:val="00DE2753"/>
    <w:rsid w:val="00DE3A56"/>
    <w:rsid w:val="00DE3B5C"/>
    <w:rsid w:val="00DE4008"/>
    <w:rsid w:val="00DE4F6A"/>
    <w:rsid w:val="00DE596D"/>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32"/>
    <w:rsid w:val="00E13B8B"/>
    <w:rsid w:val="00E13FAD"/>
    <w:rsid w:val="00E149EC"/>
    <w:rsid w:val="00E14E82"/>
    <w:rsid w:val="00E174BB"/>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0F1E"/>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E0C00"/>
    <w:rsid w:val="00EE10B8"/>
    <w:rsid w:val="00EE162D"/>
    <w:rsid w:val="00EE1794"/>
    <w:rsid w:val="00EE2B2E"/>
    <w:rsid w:val="00EE2C40"/>
    <w:rsid w:val="00EE370A"/>
    <w:rsid w:val="00EE3EDC"/>
    <w:rsid w:val="00EE4101"/>
    <w:rsid w:val="00EE4887"/>
    <w:rsid w:val="00EE4B61"/>
    <w:rsid w:val="00EE4C15"/>
    <w:rsid w:val="00EE537D"/>
    <w:rsid w:val="00EE539C"/>
    <w:rsid w:val="00EE5FA4"/>
    <w:rsid w:val="00EE64BA"/>
    <w:rsid w:val="00EE6BD6"/>
    <w:rsid w:val="00EE7BBB"/>
    <w:rsid w:val="00EF354D"/>
    <w:rsid w:val="00EF4076"/>
    <w:rsid w:val="00EF47E9"/>
    <w:rsid w:val="00EF5D8E"/>
    <w:rsid w:val="00EF5F2B"/>
    <w:rsid w:val="00EF6A8F"/>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6B2D"/>
    <w:rsid w:val="00F07420"/>
    <w:rsid w:val="00F079C3"/>
    <w:rsid w:val="00F10BC9"/>
    <w:rsid w:val="00F10CC9"/>
    <w:rsid w:val="00F10DDF"/>
    <w:rsid w:val="00F110EB"/>
    <w:rsid w:val="00F11C8F"/>
    <w:rsid w:val="00F124C1"/>
    <w:rsid w:val="00F12A02"/>
    <w:rsid w:val="00F13A3F"/>
    <w:rsid w:val="00F14C76"/>
    <w:rsid w:val="00F15A1B"/>
    <w:rsid w:val="00F16296"/>
    <w:rsid w:val="00F17711"/>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905"/>
    <w:rsid w:val="00F27CD5"/>
    <w:rsid w:val="00F27EFE"/>
    <w:rsid w:val="00F30209"/>
    <w:rsid w:val="00F316B6"/>
    <w:rsid w:val="00F31CA4"/>
    <w:rsid w:val="00F326D7"/>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1567"/>
    <w:rsid w:val="00F52FB8"/>
    <w:rsid w:val="00F53DF2"/>
    <w:rsid w:val="00F547E6"/>
    <w:rsid w:val="00F54C22"/>
    <w:rsid w:val="00F55A45"/>
    <w:rsid w:val="00F567FE"/>
    <w:rsid w:val="00F568CD"/>
    <w:rsid w:val="00F571F4"/>
    <w:rsid w:val="00F57580"/>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1A23"/>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3B9"/>
    <w:rsid w:val="00FD77A8"/>
    <w:rsid w:val="00FD7A4E"/>
    <w:rsid w:val="00FE0561"/>
    <w:rsid w:val="00FE0D8B"/>
    <w:rsid w:val="00FE19A3"/>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F6C39-F8B4-4F0F-B2D0-E49B1DAC7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693</Words>
  <Characters>3953</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 Suzuki 06</dc:creator>
  <cp:keywords>3GPP</cp:keywords>
  <cp:lastModifiedBy>Hidetoshi Suzuki 06</cp:lastModifiedBy>
  <cp:revision>2</cp:revision>
  <cp:lastPrinted>2010-04-02T09:58:00Z</cp:lastPrinted>
  <dcterms:created xsi:type="dcterms:W3CDTF">2016-02-05T10:35:00Z</dcterms:created>
  <dcterms:modified xsi:type="dcterms:W3CDTF">2016-02-05T10:35:00Z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