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32325" w14:textId="12CF720F" w:rsidR="0034111C" w:rsidRPr="00FF5E15" w:rsidRDefault="00BC628B" w:rsidP="004732AA">
      <w:pPr>
        <w:pStyle w:val="Header"/>
        <w:tabs>
          <w:tab w:val="right" w:pos="9639"/>
        </w:tabs>
        <w:rPr>
          <w:rFonts w:cs="Arial"/>
          <w:bCs/>
          <w:i/>
          <w:noProof w:val="0"/>
          <w:sz w:val="32"/>
          <w:lang w:eastAsia="zh-CN"/>
        </w:rPr>
      </w:pPr>
      <w:r w:rsidRPr="00FF5E15">
        <w:rPr>
          <w:rFonts w:cs="Arial"/>
          <w:bCs/>
          <w:noProof w:val="0"/>
          <w:sz w:val="24"/>
        </w:rPr>
        <w:t>3GPP TSG-RAN WG1 Meeting #</w:t>
      </w:r>
      <w:bookmarkStart w:id="0" w:name="_Ref452454252"/>
      <w:bookmarkEnd w:id="0"/>
      <w:r w:rsidR="00BC35C9" w:rsidRPr="00FF5E15">
        <w:rPr>
          <w:rFonts w:cs="Arial"/>
          <w:bCs/>
          <w:noProof w:val="0"/>
          <w:sz w:val="24"/>
        </w:rPr>
        <w:t>84</w:t>
      </w:r>
      <w:r w:rsidR="007823EA" w:rsidRPr="00FF5E15">
        <w:rPr>
          <w:rFonts w:cs="Arial"/>
          <w:bCs/>
          <w:noProof w:val="0"/>
          <w:sz w:val="24"/>
        </w:rPr>
        <w:tab/>
      </w:r>
      <w:r w:rsidR="00C96EDB" w:rsidRPr="00FF5E15">
        <w:rPr>
          <w:rFonts w:cs="Arial"/>
          <w:bCs/>
          <w:noProof w:val="0"/>
          <w:sz w:val="24"/>
          <w:lang w:eastAsia="ja-JP"/>
        </w:rPr>
        <w:t>R1-1</w:t>
      </w:r>
      <w:r w:rsidR="00016555" w:rsidRPr="00FF5E15">
        <w:rPr>
          <w:rFonts w:cs="Arial"/>
          <w:bCs/>
          <w:noProof w:val="0"/>
          <w:sz w:val="24"/>
          <w:lang w:eastAsia="ja-JP"/>
        </w:rPr>
        <w:t>6</w:t>
      </w:r>
      <w:r w:rsidR="0018684D" w:rsidRPr="00FF5E15">
        <w:rPr>
          <w:rFonts w:cs="Arial"/>
          <w:bCs/>
          <w:noProof w:val="0"/>
          <w:sz w:val="24"/>
          <w:lang w:eastAsia="ja-JP"/>
        </w:rPr>
        <w:t>0786</w:t>
      </w:r>
    </w:p>
    <w:p w14:paraId="7A88209F" w14:textId="493841B4" w:rsidR="00BC628B" w:rsidRPr="00FF5E15" w:rsidRDefault="00016555" w:rsidP="007823EA">
      <w:pPr>
        <w:pStyle w:val="Header"/>
        <w:tabs>
          <w:tab w:val="right" w:pos="9639"/>
        </w:tabs>
        <w:rPr>
          <w:rFonts w:cs="Arial"/>
          <w:bCs/>
          <w:noProof w:val="0"/>
          <w:sz w:val="24"/>
          <w:lang w:eastAsia="zh-CN"/>
        </w:rPr>
      </w:pPr>
      <w:r w:rsidRPr="00FF5E15">
        <w:rPr>
          <w:rFonts w:cs="Arial"/>
          <w:bCs/>
          <w:noProof w:val="0"/>
          <w:sz w:val="24"/>
          <w:lang w:eastAsia="zh-CN"/>
        </w:rPr>
        <w:t xml:space="preserve">St. Julian’s, </w:t>
      </w:r>
      <w:r w:rsidR="006E3BFC" w:rsidRPr="00FF5E15">
        <w:rPr>
          <w:rFonts w:cs="Arial"/>
          <w:bCs/>
          <w:noProof w:val="0"/>
          <w:sz w:val="24"/>
          <w:lang w:eastAsia="zh-CN"/>
        </w:rPr>
        <w:t>Malta</w:t>
      </w:r>
      <w:r w:rsidR="00EE7F7F" w:rsidRPr="00FF5E15">
        <w:rPr>
          <w:rFonts w:cs="Arial"/>
          <w:bCs/>
          <w:noProof w:val="0"/>
          <w:sz w:val="24"/>
          <w:lang w:eastAsia="zh-CN"/>
        </w:rPr>
        <w:t>,</w:t>
      </w:r>
      <w:r w:rsidR="00D226DD" w:rsidRPr="00FF5E15">
        <w:rPr>
          <w:rFonts w:cs="Arial"/>
          <w:bCs/>
          <w:noProof w:val="0"/>
          <w:sz w:val="24"/>
          <w:lang w:eastAsia="zh-CN"/>
        </w:rPr>
        <w:t xml:space="preserve"> </w:t>
      </w:r>
      <w:r w:rsidR="00F245AE" w:rsidRPr="00FF5E15">
        <w:rPr>
          <w:rFonts w:cs="Arial"/>
          <w:bCs/>
          <w:noProof w:val="0"/>
          <w:sz w:val="24"/>
        </w:rPr>
        <w:t>15</w:t>
      </w:r>
      <w:r w:rsidR="00F245AE" w:rsidRPr="00FF5E15">
        <w:rPr>
          <w:rFonts w:cs="Arial"/>
          <w:bCs/>
          <w:noProof w:val="0"/>
          <w:sz w:val="24"/>
          <w:vertAlign w:val="superscript"/>
        </w:rPr>
        <w:t>th</w:t>
      </w:r>
      <w:r w:rsidR="00F245AE" w:rsidRPr="00FF5E15">
        <w:rPr>
          <w:rFonts w:cs="Arial"/>
          <w:bCs/>
          <w:noProof w:val="0"/>
          <w:sz w:val="24"/>
        </w:rPr>
        <w:t xml:space="preserve"> </w:t>
      </w:r>
      <w:r w:rsidR="00D226DD" w:rsidRPr="00FF5E15">
        <w:rPr>
          <w:rFonts w:cs="Arial"/>
          <w:bCs/>
          <w:noProof w:val="0"/>
          <w:sz w:val="24"/>
        </w:rPr>
        <w:t xml:space="preserve">– </w:t>
      </w:r>
      <w:r w:rsidR="006E3BFC" w:rsidRPr="00FF5E15">
        <w:rPr>
          <w:rFonts w:cs="Arial"/>
          <w:bCs/>
          <w:noProof w:val="0"/>
          <w:sz w:val="24"/>
        </w:rPr>
        <w:t>19</w:t>
      </w:r>
      <w:r w:rsidR="006E3BFC" w:rsidRPr="00FF5E15">
        <w:rPr>
          <w:rFonts w:cs="Arial"/>
          <w:bCs/>
          <w:noProof w:val="0"/>
          <w:sz w:val="24"/>
          <w:vertAlign w:val="superscript"/>
        </w:rPr>
        <w:t xml:space="preserve">th </w:t>
      </w:r>
      <w:r w:rsidR="006E3BFC" w:rsidRPr="00FF5E15">
        <w:rPr>
          <w:rFonts w:cs="Arial"/>
          <w:bCs/>
          <w:noProof w:val="0"/>
          <w:sz w:val="24"/>
        </w:rPr>
        <w:t>February</w:t>
      </w:r>
      <w:r w:rsidR="00BC35C9" w:rsidRPr="00FF5E15">
        <w:rPr>
          <w:rFonts w:cs="Arial"/>
          <w:bCs/>
          <w:noProof w:val="0"/>
          <w:sz w:val="24"/>
        </w:rPr>
        <w:t xml:space="preserve"> 2016</w:t>
      </w:r>
      <w:r w:rsidR="007823EA" w:rsidRPr="00FF5E15">
        <w:rPr>
          <w:rFonts w:cs="Arial"/>
          <w:bCs/>
          <w:noProof w:val="0"/>
          <w:sz w:val="24"/>
        </w:rPr>
        <w:tab/>
      </w:r>
    </w:p>
    <w:p w14:paraId="53588054" w14:textId="77777777" w:rsidR="0034111C" w:rsidRPr="00FF5E15" w:rsidRDefault="0034111C">
      <w:pPr>
        <w:pStyle w:val="Header"/>
        <w:rPr>
          <w:rFonts w:cs="Arial"/>
          <w:bCs/>
          <w:noProof w:val="0"/>
          <w:sz w:val="24"/>
        </w:rPr>
      </w:pPr>
    </w:p>
    <w:p w14:paraId="053FE711" w14:textId="77777777" w:rsidR="0034111C" w:rsidRPr="00FF5E15" w:rsidRDefault="0034111C">
      <w:pPr>
        <w:pStyle w:val="Header"/>
        <w:rPr>
          <w:rFonts w:cs="Arial"/>
          <w:bCs/>
          <w:noProof w:val="0"/>
          <w:sz w:val="24"/>
          <w:lang w:eastAsia="ja-JP"/>
        </w:rPr>
      </w:pPr>
    </w:p>
    <w:p w14:paraId="7F9034C3" w14:textId="261B0017" w:rsidR="0034111C" w:rsidRPr="00FF5E15" w:rsidRDefault="0034111C" w:rsidP="0057103B">
      <w:pPr>
        <w:pStyle w:val="CRCoverPage"/>
        <w:rPr>
          <w:rFonts w:eastAsia="SimSun" w:cs="Arial"/>
          <w:b/>
          <w:bCs/>
          <w:sz w:val="24"/>
          <w:lang w:val="en-US" w:eastAsia="zh-CN"/>
        </w:rPr>
      </w:pPr>
      <w:r w:rsidRPr="00FF5E15">
        <w:rPr>
          <w:rFonts w:cs="Arial"/>
          <w:b/>
          <w:bCs/>
          <w:sz w:val="24"/>
          <w:lang w:val="en-US"/>
        </w:rPr>
        <w:t>Agenda item:</w:t>
      </w:r>
      <w:r w:rsidRPr="00FF5E15">
        <w:rPr>
          <w:rFonts w:cs="Arial"/>
          <w:b/>
          <w:bCs/>
          <w:sz w:val="24"/>
          <w:lang w:val="en-US"/>
        </w:rPr>
        <w:tab/>
      </w:r>
      <w:r w:rsidRPr="00FF5E15">
        <w:rPr>
          <w:rFonts w:cs="Arial"/>
          <w:b/>
          <w:bCs/>
          <w:sz w:val="24"/>
          <w:lang w:val="en-US"/>
        </w:rPr>
        <w:tab/>
      </w:r>
      <w:r w:rsidR="00F3258A" w:rsidRPr="00FF5E15">
        <w:rPr>
          <w:rFonts w:cs="Arial"/>
          <w:b/>
          <w:bCs/>
          <w:sz w:val="24"/>
          <w:lang w:val="en-US"/>
        </w:rPr>
        <w:t>7.3.4.2</w:t>
      </w:r>
    </w:p>
    <w:p w14:paraId="5A4528E1" w14:textId="0E3D655E" w:rsidR="0034111C" w:rsidRPr="00FF5E15" w:rsidRDefault="0034111C">
      <w:pPr>
        <w:tabs>
          <w:tab w:val="left" w:pos="1985"/>
        </w:tabs>
        <w:rPr>
          <w:rFonts w:ascii="Arial" w:hAnsi="Arial" w:cs="Arial"/>
          <w:b/>
          <w:bCs/>
          <w:sz w:val="24"/>
          <w:lang w:eastAsia="zh-CN"/>
        </w:rPr>
      </w:pPr>
      <w:r w:rsidRPr="00FF5E15">
        <w:rPr>
          <w:rFonts w:ascii="Arial" w:hAnsi="Arial" w:cs="Arial"/>
          <w:b/>
          <w:bCs/>
          <w:sz w:val="24"/>
        </w:rPr>
        <w:t>Source:</w:t>
      </w:r>
      <w:r w:rsidRPr="00FF5E15">
        <w:rPr>
          <w:rFonts w:ascii="Arial" w:hAnsi="Arial" w:cs="Arial"/>
          <w:b/>
          <w:bCs/>
          <w:sz w:val="24"/>
        </w:rPr>
        <w:tab/>
      </w:r>
      <w:r w:rsidR="00D226DD" w:rsidRPr="00FF5E15">
        <w:rPr>
          <w:rFonts w:ascii="Arial" w:hAnsi="Arial" w:cs="Arial"/>
          <w:b/>
          <w:bCs/>
          <w:sz w:val="24"/>
        </w:rPr>
        <w:t>Nokia</w:t>
      </w:r>
      <w:r w:rsidR="00EF62D0" w:rsidRPr="00FF5E15">
        <w:rPr>
          <w:rFonts w:ascii="Arial" w:hAnsi="Arial" w:cs="Arial"/>
          <w:b/>
          <w:bCs/>
          <w:sz w:val="24"/>
        </w:rPr>
        <w:t xml:space="preserve"> Networks</w:t>
      </w:r>
      <w:r w:rsidR="00016555" w:rsidRPr="00FF5E15">
        <w:rPr>
          <w:rFonts w:ascii="Arial" w:hAnsi="Arial" w:cs="Arial"/>
          <w:b/>
          <w:bCs/>
          <w:sz w:val="24"/>
        </w:rPr>
        <w:t>, Alcatel-Lucent, Alcatel-Lucent Shanghai Bell</w:t>
      </w:r>
    </w:p>
    <w:p w14:paraId="2A3E2C50" w14:textId="3B57555C" w:rsidR="0034111C" w:rsidRPr="00FF5E15" w:rsidRDefault="008D6E5F" w:rsidP="00D744C4">
      <w:pPr>
        <w:ind w:left="1985" w:hanging="1985"/>
        <w:rPr>
          <w:rFonts w:ascii="Arial" w:hAnsi="Arial" w:cs="Arial"/>
          <w:b/>
          <w:bCs/>
          <w:sz w:val="24"/>
        </w:rPr>
      </w:pPr>
      <w:r w:rsidRPr="00FF5E15">
        <w:rPr>
          <w:rFonts w:ascii="Arial" w:hAnsi="Arial" w:cs="Arial"/>
          <w:b/>
          <w:bCs/>
          <w:sz w:val="24"/>
        </w:rPr>
        <w:t>Title:</w:t>
      </w:r>
      <w:r w:rsidRPr="00FF5E15">
        <w:rPr>
          <w:rFonts w:ascii="Arial" w:hAnsi="Arial" w:cs="Arial"/>
          <w:b/>
          <w:bCs/>
          <w:sz w:val="24"/>
        </w:rPr>
        <w:tab/>
      </w:r>
      <w:r w:rsidR="00EF62D0" w:rsidRPr="00FF5E15">
        <w:rPr>
          <w:rFonts w:ascii="Arial" w:hAnsi="Arial" w:cs="Arial"/>
          <w:b/>
          <w:bCs/>
          <w:sz w:val="24"/>
        </w:rPr>
        <w:t>Considerations on</w:t>
      </w:r>
      <w:r w:rsidR="00BD5B76" w:rsidRPr="00FF5E15">
        <w:rPr>
          <w:rFonts w:ascii="Arial" w:hAnsi="Arial" w:cs="Arial"/>
          <w:b/>
          <w:bCs/>
          <w:sz w:val="24"/>
        </w:rPr>
        <w:t xml:space="preserve"> </w:t>
      </w:r>
      <w:r w:rsidR="007A0326" w:rsidRPr="00FF5E15">
        <w:rPr>
          <w:rFonts w:ascii="Arial" w:hAnsi="Arial" w:cs="Arial"/>
          <w:b/>
          <w:bCs/>
          <w:sz w:val="24"/>
        </w:rPr>
        <w:t xml:space="preserve">required </w:t>
      </w:r>
      <w:r w:rsidR="0018684D" w:rsidRPr="00FF5E15">
        <w:rPr>
          <w:rFonts w:ascii="Arial" w:hAnsi="Arial" w:cs="Arial"/>
          <w:b/>
          <w:bCs/>
          <w:sz w:val="24"/>
        </w:rPr>
        <w:t>d</w:t>
      </w:r>
      <w:r w:rsidR="00016555" w:rsidRPr="00FF5E15">
        <w:rPr>
          <w:rFonts w:ascii="Arial" w:hAnsi="Arial" w:cs="Arial"/>
          <w:b/>
          <w:bCs/>
          <w:sz w:val="24"/>
        </w:rPr>
        <w:t xml:space="preserve">ownlink </w:t>
      </w:r>
      <w:r w:rsidR="00F912B5" w:rsidRPr="00FF5E15">
        <w:rPr>
          <w:rFonts w:ascii="Arial" w:hAnsi="Arial" w:cs="Arial"/>
          <w:b/>
          <w:bCs/>
          <w:sz w:val="24"/>
        </w:rPr>
        <w:t xml:space="preserve">physical </w:t>
      </w:r>
      <w:r w:rsidR="007A0326" w:rsidRPr="00FF5E15">
        <w:rPr>
          <w:rFonts w:ascii="Arial" w:hAnsi="Arial" w:cs="Arial"/>
          <w:b/>
          <w:bCs/>
          <w:sz w:val="24"/>
        </w:rPr>
        <w:t xml:space="preserve">layer </w:t>
      </w:r>
      <w:r w:rsidR="00EF62D0" w:rsidRPr="00FF5E15">
        <w:rPr>
          <w:rFonts w:ascii="Arial" w:hAnsi="Arial" w:cs="Arial"/>
          <w:b/>
          <w:bCs/>
          <w:sz w:val="24"/>
        </w:rPr>
        <w:t>enhancements for</w:t>
      </w:r>
      <w:r w:rsidR="00BD5B76" w:rsidRPr="00FF5E15">
        <w:rPr>
          <w:rFonts w:ascii="Arial" w:hAnsi="Arial" w:cs="Arial"/>
          <w:b/>
          <w:bCs/>
          <w:sz w:val="24"/>
        </w:rPr>
        <w:t xml:space="preserve"> shorter TTI</w:t>
      </w:r>
    </w:p>
    <w:p w14:paraId="2E36B41B" w14:textId="77777777" w:rsidR="0034111C" w:rsidRPr="00FF5E15" w:rsidRDefault="0034111C">
      <w:pPr>
        <w:rPr>
          <w:rFonts w:ascii="Arial" w:hAnsi="Arial" w:cs="Arial"/>
          <w:b/>
          <w:bCs/>
          <w:sz w:val="24"/>
        </w:rPr>
      </w:pPr>
      <w:r w:rsidRPr="00FF5E15">
        <w:rPr>
          <w:rFonts w:ascii="Arial" w:hAnsi="Arial" w:cs="Arial"/>
          <w:b/>
          <w:bCs/>
          <w:sz w:val="24"/>
        </w:rPr>
        <w:t>Docume</w:t>
      </w:r>
      <w:r w:rsidR="00F023D7" w:rsidRPr="00FF5E15">
        <w:rPr>
          <w:rFonts w:ascii="Arial" w:hAnsi="Arial" w:cs="Arial"/>
          <w:b/>
          <w:bCs/>
          <w:sz w:val="24"/>
        </w:rPr>
        <w:t>nt for:</w:t>
      </w:r>
      <w:r w:rsidR="00F023D7" w:rsidRPr="00FF5E15">
        <w:rPr>
          <w:rFonts w:ascii="Arial" w:hAnsi="Arial" w:cs="Arial"/>
          <w:b/>
          <w:bCs/>
          <w:sz w:val="24"/>
        </w:rPr>
        <w:tab/>
      </w:r>
      <w:r w:rsidR="00F023D7" w:rsidRPr="00FF5E15">
        <w:rPr>
          <w:rFonts w:ascii="Arial" w:hAnsi="Arial" w:cs="Arial"/>
          <w:b/>
          <w:bCs/>
          <w:sz w:val="24"/>
        </w:rPr>
        <w:tab/>
        <w:t>Discussion</w:t>
      </w:r>
      <w:r w:rsidR="00CE089D" w:rsidRPr="00FF5E15">
        <w:rPr>
          <w:rFonts w:ascii="Arial" w:hAnsi="Arial" w:cs="Arial"/>
          <w:b/>
          <w:bCs/>
          <w:sz w:val="24"/>
        </w:rPr>
        <w:t xml:space="preserve"> and Decision</w:t>
      </w:r>
    </w:p>
    <w:p w14:paraId="03A84EBF" w14:textId="77777777" w:rsidR="0034111C" w:rsidRPr="00FF5E15" w:rsidRDefault="0034111C" w:rsidP="00FD0F4A">
      <w:pPr>
        <w:pStyle w:val="Heading1"/>
        <w:rPr>
          <w:rFonts w:cs="Arial"/>
          <w:lang w:val="en-US" w:eastAsia="zh-CN"/>
        </w:rPr>
      </w:pPr>
      <w:r w:rsidRPr="00FF5E15">
        <w:rPr>
          <w:rFonts w:cs="Arial"/>
          <w:lang w:val="en-US"/>
        </w:rPr>
        <w:t>1</w:t>
      </w:r>
      <w:r w:rsidR="00FD0F4A" w:rsidRPr="00FF5E15">
        <w:rPr>
          <w:rFonts w:cs="Arial"/>
          <w:lang w:val="en-US"/>
        </w:rPr>
        <w:t>.</w:t>
      </w:r>
      <w:r w:rsidR="00B4163E" w:rsidRPr="00FF5E15">
        <w:rPr>
          <w:rFonts w:cs="Arial"/>
          <w:lang w:val="en-US" w:eastAsia="zh-CN"/>
        </w:rPr>
        <w:t xml:space="preserve"> </w:t>
      </w:r>
      <w:r w:rsidR="00B4163E" w:rsidRPr="00FF5E15">
        <w:rPr>
          <w:rFonts w:cs="Arial"/>
          <w:lang w:val="en-US"/>
        </w:rPr>
        <w:t>Introduction</w:t>
      </w:r>
    </w:p>
    <w:p w14:paraId="6AE1AE2E" w14:textId="77777777" w:rsidR="007E5CC0" w:rsidRPr="00FF5E15" w:rsidRDefault="00F63D2F" w:rsidP="001046C6">
      <w:pPr>
        <w:jc w:val="both"/>
        <w:rPr>
          <w:sz w:val="22"/>
          <w:szCs w:val="22"/>
          <w:lang w:eastAsia="zh-CN"/>
        </w:rPr>
      </w:pPr>
      <w:r w:rsidRPr="00FF5E15">
        <w:rPr>
          <w:sz w:val="22"/>
          <w:szCs w:val="22"/>
          <w:lang w:eastAsia="zh-CN"/>
        </w:rPr>
        <w:t>Based on</w:t>
      </w:r>
      <w:r w:rsidR="007E5CC0" w:rsidRPr="00FF5E15">
        <w:rPr>
          <w:sz w:val="22"/>
          <w:szCs w:val="22"/>
          <w:lang w:eastAsia="zh-CN"/>
        </w:rPr>
        <w:t xml:space="preserve"> the outcome of </w:t>
      </w:r>
      <w:r w:rsidR="00D135EF" w:rsidRPr="00FF5E15">
        <w:rPr>
          <w:sz w:val="22"/>
          <w:szCs w:val="22"/>
          <w:lang w:eastAsia="zh-CN"/>
        </w:rPr>
        <w:t>RAN</w:t>
      </w:r>
      <w:r w:rsidRPr="00FF5E15">
        <w:rPr>
          <w:sz w:val="22"/>
          <w:szCs w:val="22"/>
          <w:lang w:eastAsia="zh-CN"/>
        </w:rPr>
        <w:t>#67 and captured in</w:t>
      </w:r>
      <w:r w:rsidR="002626AC" w:rsidRPr="00FF5E15">
        <w:rPr>
          <w:sz w:val="22"/>
          <w:szCs w:val="22"/>
          <w:lang w:eastAsia="zh-CN"/>
        </w:rPr>
        <w:t xml:space="preserve"> the SI description in</w:t>
      </w:r>
      <w:r w:rsidRPr="00FF5E15">
        <w:rPr>
          <w:sz w:val="22"/>
          <w:szCs w:val="22"/>
          <w:lang w:eastAsia="zh-CN"/>
        </w:rPr>
        <w:t xml:space="preserve"> </w:t>
      </w:r>
      <w:r w:rsidR="001158A3" w:rsidRPr="00FF5E15">
        <w:rPr>
          <w:sz w:val="22"/>
          <w:szCs w:val="22"/>
          <w:lang w:eastAsia="zh-CN"/>
        </w:rPr>
        <w:t>[1]</w:t>
      </w:r>
      <w:r w:rsidR="005F7842" w:rsidRPr="00FF5E15">
        <w:rPr>
          <w:sz w:val="22"/>
          <w:szCs w:val="22"/>
          <w:lang w:eastAsia="zh-CN"/>
        </w:rPr>
        <w:t xml:space="preserve">, </w:t>
      </w:r>
      <w:r w:rsidR="007E5CC0" w:rsidRPr="00FF5E15">
        <w:rPr>
          <w:sz w:val="22"/>
          <w:szCs w:val="22"/>
          <w:lang w:eastAsia="zh-CN"/>
        </w:rPr>
        <w:t>the following item</w:t>
      </w:r>
      <w:r w:rsidR="006F5ADD" w:rsidRPr="00FF5E15">
        <w:rPr>
          <w:sz w:val="22"/>
          <w:szCs w:val="22"/>
          <w:lang w:eastAsia="zh-CN"/>
        </w:rPr>
        <w:t>s have been discussed and documented specifically for RAN1 studies regarding TTI shortening and reduced processing times</w:t>
      </w:r>
      <w:r w:rsidR="007E5CC0" w:rsidRPr="00FF5E15">
        <w:rPr>
          <w:sz w:val="22"/>
          <w:szCs w:val="22"/>
          <w:lang w:eastAsia="zh-CN"/>
        </w:rPr>
        <w:t>:</w:t>
      </w:r>
    </w:p>
    <w:p w14:paraId="6EE40EC6" w14:textId="77777777" w:rsidR="00E356D7" w:rsidRPr="00FF5E15" w:rsidRDefault="00E356D7" w:rsidP="00E356D7">
      <w:pPr>
        <w:pStyle w:val="BodyText"/>
        <w:widowControl w:val="0"/>
        <w:numPr>
          <w:ilvl w:val="0"/>
          <w:numId w:val="34"/>
        </w:numPr>
        <w:jc w:val="both"/>
        <w:textAlignment w:val="auto"/>
        <w:rPr>
          <w:rFonts w:eastAsia="SimSun"/>
          <w:sz w:val="22"/>
          <w:szCs w:val="22"/>
          <w:lang w:val="en-US" w:eastAsia="zh-CN"/>
        </w:rPr>
      </w:pPr>
      <w:r w:rsidRPr="00FF5E15">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14:paraId="3E17A9B5" w14:textId="77777777" w:rsidR="00E356D7" w:rsidRPr="00FF5E15" w:rsidRDefault="00E356D7" w:rsidP="00E356D7">
      <w:pPr>
        <w:pStyle w:val="BodyText"/>
        <w:widowControl w:val="0"/>
        <w:numPr>
          <w:ilvl w:val="0"/>
          <w:numId w:val="34"/>
        </w:numPr>
        <w:jc w:val="both"/>
        <w:textAlignment w:val="auto"/>
        <w:rPr>
          <w:rFonts w:eastAsia="SimSun"/>
          <w:sz w:val="22"/>
          <w:szCs w:val="22"/>
          <w:lang w:val="en-US" w:eastAsia="zh-CN"/>
        </w:rPr>
      </w:pPr>
      <w:r w:rsidRPr="00FF5E15">
        <w:rPr>
          <w:rFonts w:eastAsia="SimSun"/>
          <w:sz w:val="22"/>
          <w:szCs w:val="22"/>
          <w:lang w:val="en-US" w:eastAsia="zh-CN"/>
        </w:rPr>
        <w:t>Backwards compatibility shall be preserved (thus allowing normal operation of pre-Rel 13 UEs on the same carrier);</w:t>
      </w:r>
    </w:p>
    <w:p w14:paraId="2CD64E43" w14:textId="198E980C" w:rsidR="004B1D8E" w:rsidRPr="00FF5E15" w:rsidRDefault="008379F3" w:rsidP="00D109CE">
      <w:pPr>
        <w:jc w:val="both"/>
        <w:rPr>
          <w:sz w:val="22"/>
          <w:szCs w:val="22"/>
          <w:lang w:eastAsia="zh-CN"/>
        </w:rPr>
      </w:pPr>
      <w:r w:rsidRPr="00FF5E15">
        <w:rPr>
          <w:sz w:val="22"/>
          <w:szCs w:val="22"/>
          <w:lang w:eastAsia="zh-CN"/>
        </w:rPr>
        <w:t>I</w:t>
      </w:r>
      <w:r w:rsidR="00F02926" w:rsidRPr="00FF5E15">
        <w:rPr>
          <w:sz w:val="22"/>
          <w:szCs w:val="22"/>
          <w:lang w:eastAsia="zh-CN"/>
        </w:rPr>
        <w:t xml:space="preserve">n this contribution, </w:t>
      </w:r>
      <w:r w:rsidR="004C4553" w:rsidRPr="00FF5E15">
        <w:rPr>
          <w:sz w:val="22"/>
          <w:szCs w:val="22"/>
          <w:lang w:eastAsia="zh-CN"/>
        </w:rPr>
        <w:t xml:space="preserve">we present our </w:t>
      </w:r>
      <w:r w:rsidR="004E790B" w:rsidRPr="00FF5E15">
        <w:rPr>
          <w:sz w:val="22"/>
          <w:szCs w:val="22"/>
          <w:lang w:eastAsia="zh-CN"/>
        </w:rPr>
        <w:t xml:space="preserve">view regarding </w:t>
      </w:r>
      <w:r w:rsidR="007A0326" w:rsidRPr="00FF5E15">
        <w:rPr>
          <w:sz w:val="22"/>
          <w:szCs w:val="22"/>
          <w:lang w:eastAsia="zh-CN"/>
        </w:rPr>
        <w:t xml:space="preserve">the required physical layer enhancements </w:t>
      </w:r>
      <w:r w:rsidR="00D34E71" w:rsidRPr="00FF5E15">
        <w:rPr>
          <w:sz w:val="22"/>
          <w:szCs w:val="22"/>
          <w:lang w:eastAsia="zh-CN"/>
        </w:rPr>
        <w:t xml:space="preserve">of downlink </w:t>
      </w:r>
      <w:r w:rsidR="000C3B65" w:rsidRPr="00FF5E15">
        <w:rPr>
          <w:sz w:val="22"/>
          <w:szCs w:val="22"/>
          <w:lang w:eastAsia="zh-CN"/>
        </w:rPr>
        <w:t>due to TTI shortening</w:t>
      </w:r>
      <w:r w:rsidR="008437E8" w:rsidRPr="00FF5E15">
        <w:rPr>
          <w:sz w:val="22"/>
          <w:szCs w:val="22"/>
          <w:lang w:eastAsia="zh-CN"/>
        </w:rPr>
        <w:t>.</w:t>
      </w:r>
      <w:r w:rsidR="003901BF" w:rsidRPr="00FF5E15">
        <w:rPr>
          <w:sz w:val="22"/>
          <w:szCs w:val="22"/>
          <w:lang w:eastAsia="zh-CN"/>
        </w:rPr>
        <w:t xml:space="preserve"> Section 2</w:t>
      </w:r>
      <w:r w:rsidR="00B201BC" w:rsidRPr="00FF5E15">
        <w:rPr>
          <w:sz w:val="22"/>
          <w:szCs w:val="22"/>
          <w:lang w:eastAsia="zh-CN"/>
        </w:rPr>
        <w:t xml:space="preserve"> highlights </w:t>
      </w:r>
      <w:r w:rsidR="0049471D" w:rsidRPr="00FF5E15">
        <w:rPr>
          <w:sz w:val="22"/>
          <w:szCs w:val="22"/>
          <w:lang w:eastAsia="zh-CN"/>
        </w:rPr>
        <w:t xml:space="preserve">downlink </w:t>
      </w:r>
      <w:r w:rsidR="00B201BC" w:rsidRPr="00FF5E15">
        <w:rPr>
          <w:sz w:val="22"/>
          <w:szCs w:val="22"/>
          <w:lang w:eastAsia="zh-CN"/>
        </w:rPr>
        <w:t>channels</w:t>
      </w:r>
      <w:r w:rsidR="003901BF" w:rsidRPr="00FF5E15">
        <w:rPr>
          <w:sz w:val="22"/>
          <w:szCs w:val="22"/>
          <w:lang w:eastAsia="zh-CN"/>
        </w:rPr>
        <w:t xml:space="preserve"> </w:t>
      </w:r>
      <w:r w:rsidR="00247D68" w:rsidRPr="00FF5E15">
        <w:rPr>
          <w:sz w:val="22"/>
          <w:szCs w:val="22"/>
          <w:lang w:eastAsia="zh-CN"/>
        </w:rPr>
        <w:t>and RS</w:t>
      </w:r>
      <w:r w:rsidR="00B201BC" w:rsidRPr="00FF5E15">
        <w:rPr>
          <w:sz w:val="22"/>
          <w:szCs w:val="22"/>
          <w:lang w:eastAsia="zh-CN"/>
        </w:rPr>
        <w:t xml:space="preserve"> that</w:t>
      </w:r>
      <w:r w:rsidR="003901BF" w:rsidRPr="00FF5E15">
        <w:rPr>
          <w:sz w:val="22"/>
          <w:szCs w:val="22"/>
          <w:lang w:eastAsia="zh-CN"/>
        </w:rPr>
        <w:t xml:space="preserve"> </w:t>
      </w:r>
      <w:r w:rsidR="0049471D" w:rsidRPr="00FF5E15">
        <w:rPr>
          <w:sz w:val="22"/>
          <w:szCs w:val="22"/>
          <w:lang w:eastAsia="zh-CN"/>
        </w:rPr>
        <w:t xml:space="preserve">require </w:t>
      </w:r>
      <w:r w:rsidR="00EF62D0" w:rsidRPr="00FF5E15">
        <w:rPr>
          <w:sz w:val="22"/>
          <w:szCs w:val="22"/>
          <w:lang w:eastAsia="zh-CN"/>
        </w:rPr>
        <w:t>enhance</w:t>
      </w:r>
      <w:r w:rsidR="0049471D" w:rsidRPr="00FF5E15">
        <w:rPr>
          <w:sz w:val="22"/>
          <w:szCs w:val="22"/>
          <w:lang w:eastAsia="zh-CN"/>
        </w:rPr>
        <w:t xml:space="preserve">ments, </w:t>
      </w:r>
      <w:r w:rsidR="003901BF" w:rsidRPr="00FF5E15">
        <w:rPr>
          <w:sz w:val="22"/>
          <w:szCs w:val="22"/>
          <w:lang w:eastAsia="zh-CN"/>
        </w:rPr>
        <w:t>Section</w:t>
      </w:r>
      <w:r w:rsidR="00985718" w:rsidRPr="00FF5E15">
        <w:rPr>
          <w:sz w:val="22"/>
          <w:szCs w:val="22"/>
          <w:lang w:eastAsia="zh-CN"/>
        </w:rPr>
        <w:t>s</w:t>
      </w:r>
      <w:r w:rsidR="003901BF" w:rsidRPr="00FF5E15">
        <w:rPr>
          <w:sz w:val="22"/>
          <w:szCs w:val="22"/>
          <w:lang w:eastAsia="zh-CN"/>
        </w:rPr>
        <w:t xml:space="preserve"> 3</w:t>
      </w:r>
      <w:r w:rsidR="00985718" w:rsidRPr="00FF5E15">
        <w:rPr>
          <w:sz w:val="22"/>
          <w:szCs w:val="22"/>
          <w:lang w:eastAsia="zh-CN"/>
        </w:rPr>
        <w:t xml:space="preserve"> and 4</w:t>
      </w:r>
      <w:r w:rsidR="003901BF" w:rsidRPr="00FF5E15">
        <w:rPr>
          <w:sz w:val="22"/>
          <w:szCs w:val="22"/>
          <w:lang w:eastAsia="zh-CN"/>
        </w:rPr>
        <w:t xml:space="preserve"> discuss </w:t>
      </w:r>
      <w:r w:rsidR="0049471D" w:rsidRPr="00FF5E15">
        <w:rPr>
          <w:sz w:val="22"/>
          <w:szCs w:val="22"/>
          <w:lang w:eastAsia="zh-CN"/>
        </w:rPr>
        <w:t xml:space="preserve">these </w:t>
      </w:r>
      <w:r w:rsidR="003901BF" w:rsidRPr="00FF5E15">
        <w:rPr>
          <w:sz w:val="22"/>
          <w:szCs w:val="22"/>
          <w:lang w:eastAsia="zh-CN"/>
        </w:rPr>
        <w:t>necessary enhancements</w:t>
      </w:r>
      <w:r w:rsidR="0049471D" w:rsidRPr="00FF5E15">
        <w:rPr>
          <w:sz w:val="22"/>
          <w:szCs w:val="22"/>
          <w:lang w:eastAsia="zh-CN"/>
        </w:rPr>
        <w:t xml:space="preserve"> in more detail</w:t>
      </w:r>
      <w:r w:rsidR="003901BF" w:rsidRPr="00FF5E15">
        <w:rPr>
          <w:sz w:val="22"/>
          <w:szCs w:val="22"/>
          <w:lang w:eastAsia="zh-CN"/>
        </w:rPr>
        <w:t xml:space="preserve">. </w:t>
      </w:r>
      <w:r w:rsidR="00F14084" w:rsidRPr="00FF5E15">
        <w:rPr>
          <w:sz w:val="22"/>
          <w:szCs w:val="22"/>
          <w:lang w:eastAsia="zh-CN"/>
        </w:rPr>
        <w:t xml:space="preserve">Our considerations with respect to the general design issues for shorter TTI, </w:t>
      </w:r>
      <w:r w:rsidR="003A5A79" w:rsidRPr="00FF5E15">
        <w:rPr>
          <w:sz w:val="22"/>
          <w:szCs w:val="22"/>
          <w:lang w:eastAsia="zh-CN"/>
        </w:rPr>
        <w:t xml:space="preserve">DL and UL </w:t>
      </w:r>
      <w:r w:rsidR="00F14084" w:rsidRPr="00FF5E15">
        <w:rPr>
          <w:sz w:val="22"/>
          <w:szCs w:val="22"/>
          <w:lang w:eastAsia="zh-CN"/>
        </w:rPr>
        <w:t>HARQ enhancements,</w:t>
      </w:r>
      <w:r w:rsidR="003A5A79" w:rsidRPr="00FF5E15">
        <w:rPr>
          <w:sz w:val="22"/>
          <w:szCs w:val="22"/>
          <w:lang w:eastAsia="zh-CN"/>
        </w:rPr>
        <w:t xml:space="preserve"> UL physical layer enhancements, </w:t>
      </w:r>
      <w:r w:rsidR="00F14084" w:rsidRPr="00FF5E15">
        <w:rPr>
          <w:sz w:val="22"/>
          <w:szCs w:val="22"/>
          <w:lang w:eastAsia="zh-CN"/>
        </w:rPr>
        <w:t xml:space="preserve">TDD enhancements, and system-level evaluation of TTI shortening are part of the companion contributions </w:t>
      </w:r>
      <w:r w:rsidR="00C01233" w:rsidRPr="00FF5E15">
        <w:rPr>
          <w:sz w:val="22"/>
          <w:szCs w:val="22"/>
          <w:lang w:eastAsia="zh-CN"/>
        </w:rPr>
        <w:t>[2]</w:t>
      </w:r>
      <w:r w:rsidR="00F14084" w:rsidRPr="00FF5E15">
        <w:rPr>
          <w:sz w:val="22"/>
          <w:szCs w:val="22"/>
          <w:lang w:eastAsia="zh-CN"/>
        </w:rPr>
        <w:t>[3]</w:t>
      </w:r>
      <w:r w:rsidR="00F14084" w:rsidRPr="00FF5E15">
        <w:rPr>
          <w:sz w:val="22"/>
          <w:szCs w:val="22"/>
          <w:lang w:eastAsia="zh-CN"/>
        </w:rPr>
        <w:fldChar w:fldCharType="begin"/>
      </w:r>
      <w:r w:rsidR="00F14084" w:rsidRPr="00FF5E15">
        <w:rPr>
          <w:sz w:val="22"/>
          <w:szCs w:val="22"/>
          <w:lang w:eastAsia="zh-CN"/>
        </w:rPr>
        <w:instrText xml:space="preserve"> REF _Ref441751908 \r \h </w:instrText>
      </w:r>
      <w:r w:rsidR="00F14084" w:rsidRPr="00FF5E15">
        <w:rPr>
          <w:sz w:val="22"/>
          <w:szCs w:val="22"/>
          <w:lang w:eastAsia="zh-CN"/>
        </w:rPr>
      </w:r>
      <w:r w:rsidR="00F14084" w:rsidRPr="00FF5E15">
        <w:rPr>
          <w:sz w:val="22"/>
          <w:szCs w:val="22"/>
          <w:lang w:eastAsia="zh-CN"/>
        </w:rPr>
        <w:fldChar w:fldCharType="separate"/>
      </w:r>
      <w:r w:rsidR="00F14084" w:rsidRPr="00FF5E15">
        <w:rPr>
          <w:sz w:val="22"/>
          <w:szCs w:val="22"/>
          <w:lang w:eastAsia="zh-CN"/>
        </w:rPr>
        <w:t>[4]</w:t>
      </w:r>
      <w:r w:rsidR="00F14084" w:rsidRPr="00FF5E15">
        <w:rPr>
          <w:sz w:val="22"/>
          <w:szCs w:val="22"/>
          <w:lang w:eastAsia="zh-CN"/>
        </w:rPr>
        <w:fldChar w:fldCharType="end"/>
      </w:r>
      <w:r w:rsidR="00F14084" w:rsidRPr="00FF5E15">
        <w:rPr>
          <w:sz w:val="22"/>
          <w:szCs w:val="22"/>
          <w:lang w:eastAsia="zh-CN"/>
        </w:rPr>
        <w:fldChar w:fldCharType="begin"/>
      </w:r>
      <w:r w:rsidR="00F14084" w:rsidRPr="00FF5E15">
        <w:rPr>
          <w:sz w:val="22"/>
          <w:szCs w:val="22"/>
          <w:lang w:eastAsia="zh-CN"/>
        </w:rPr>
        <w:instrText xml:space="preserve"> REF _Ref441751911 \r \h </w:instrText>
      </w:r>
      <w:r w:rsidR="00F14084" w:rsidRPr="00FF5E15">
        <w:rPr>
          <w:sz w:val="22"/>
          <w:szCs w:val="22"/>
          <w:lang w:eastAsia="zh-CN"/>
        </w:rPr>
      </w:r>
      <w:r w:rsidR="00F14084" w:rsidRPr="00FF5E15">
        <w:rPr>
          <w:sz w:val="22"/>
          <w:szCs w:val="22"/>
          <w:lang w:eastAsia="zh-CN"/>
        </w:rPr>
        <w:fldChar w:fldCharType="separate"/>
      </w:r>
      <w:r w:rsidR="00F14084" w:rsidRPr="00FF5E15">
        <w:rPr>
          <w:sz w:val="22"/>
          <w:szCs w:val="22"/>
          <w:lang w:eastAsia="zh-CN"/>
        </w:rPr>
        <w:t>[5]</w:t>
      </w:r>
      <w:r w:rsidR="00F14084" w:rsidRPr="00FF5E15">
        <w:rPr>
          <w:sz w:val="22"/>
          <w:szCs w:val="22"/>
          <w:lang w:eastAsia="zh-CN"/>
        </w:rPr>
        <w:fldChar w:fldCharType="end"/>
      </w:r>
      <w:r w:rsidR="00F14084" w:rsidRPr="00FF5E15">
        <w:rPr>
          <w:sz w:val="22"/>
          <w:szCs w:val="22"/>
          <w:lang w:eastAsia="zh-CN"/>
        </w:rPr>
        <w:fldChar w:fldCharType="begin"/>
      </w:r>
      <w:r w:rsidR="00F14084" w:rsidRPr="00FF5E15">
        <w:rPr>
          <w:sz w:val="22"/>
          <w:szCs w:val="22"/>
          <w:lang w:eastAsia="zh-CN"/>
        </w:rPr>
        <w:instrText xml:space="preserve"> REF _Ref441751912 \r \h </w:instrText>
      </w:r>
      <w:r w:rsidR="00F14084" w:rsidRPr="00FF5E15">
        <w:rPr>
          <w:sz w:val="22"/>
          <w:szCs w:val="22"/>
          <w:lang w:eastAsia="zh-CN"/>
        </w:rPr>
      </w:r>
      <w:r w:rsidR="00F14084" w:rsidRPr="00FF5E15">
        <w:rPr>
          <w:sz w:val="22"/>
          <w:szCs w:val="22"/>
          <w:lang w:eastAsia="zh-CN"/>
        </w:rPr>
        <w:fldChar w:fldCharType="separate"/>
      </w:r>
      <w:r w:rsidR="00F14084" w:rsidRPr="00FF5E15">
        <w:rPr>
          <w:sz w:val="22"/>
          <w:szCs w:val="22"/>
          <w:lang w:eastAsia="zh-CN"/>
        </w:rPr>
        <w:t>[6]</w:t>
      </w:r>
      <w:r w:rsidR="00F14084" w:rsidRPr="00FF5E15">
        <w:rPr>
          <w:sz w:val="22"/>
          <w:szCs w:val="22"/>
          <w:lang w:eastAsia="zh-CN"/>
        </w:rPr>
        <w:fldChar w:fldCharType="end"/>
      </w:r>
      <w:r w:rsidR="003A5A79" w:rsidRPr="00FF5E15">
        <w:rPr>
          <w:sz w:val="22"/>
          <w:szCs w:val="22"/>
          <w:lang w:eastAsia="zh-CN"/>
        </w:rPr>
        <w:t xml:space="preserve"> and </w:t>
      </w:r>
      <w:r w:rsidR="00C01233" w:rsidRPr="00FF5E15">
        <w:rPr>
          <w:sz w:val="22"/>
          <w:szCs w:val="22"/>
          <w:lang w:eastAsia="zh-CN"/>
        </w:rPr>
        <w:t>[7]</w:t>
      </w:r>
      <w:r w:rsidR="003A5A79" w:rsidRPr="00FF5E15">
        <w:rPr>
          <w:sz w:val="22"/>
          <w:szCs w:val="22"/>
          <w:lang w:eastAsia="zh-CN"/>
        </w:rPr>
        <w:t>.</w:t>
      </w:r>
    </w:p>
    <w:p w14:paraId="34851B16" w14:textId="073BA566" w:rsidR="003901BF" w:rsidRPr="00FF5E15" w:rsidRDefault="00105197" w:rsidP="004C6DA3">
      <w:pPr>
        <w:pStyle w:val="Heading1"/>
        <w:rPr>
          <w:rFonts w:cs="Arial"/>
          <w:lang w:val="en-US" w:eastAsia="zh-CN"/>
        </w:rPr>
      </w:pPr>
      <w:r w:rsidRPr="00FF5E15">
        <w:rPr>
          <w:rFonts w:cs="Arial"/>
          <w:lang w:val="en-US" w:eastAsia="zh-CN"/>
        </w:rPr>
        <w:t>2</w:t>
      </w:r>
      <w:r w:rsidR="00FD0F4A" w:rsidRPr="00FF5E15">
        <w:rPr>
          <w:rFonts w:cs="Arial"/>
          <w:lang w:val="en-US" w:eastAsia="zh-CN"/>
        </w:rPr>
        <w:t xml:space="preserve">. </w:t>
      </w:r>
      <w:r w:rsidR="00F912B5" w:rsidRPr="00FF5E15">
        <w:rPr>
          <w:rFonts w:cs="Arial"/>
          <w:lang w:val="en-US" w:eastAsia="zh-CN"/>
        </w:rPr>
        <w:t xml:space="preserve">Identification of </w:t>
      </w:r>
      <w:r w:rsidR="007A0326" w:rsidRPr="00FF5E15">
        <w:rPr>
          <w:rFonts w:cs="Arial"/>
          <w:lang w:val="en-US" w:eastAsia="zh-CN"/>
        </w:rPr>
        <w:t xml:space="preserve">required </w:t>
      </w:r>
      <w:r w:rsidR="00016555" w:rsidRPr="00FF5E15">
        <w:rPr>
          <w:rFonts w:cs="Arial"/>
          <w:lang w:val="en-US" w:eastAsia="zh-CN"/>
        </w:rPr>
        <w:t xml:space="preserve">DL </w:t>
      </w:r>
      <w:r w:rsidR="007A0326" w:rsidRPr="00FF5E15">
        <w:rPr>
          <w:rFonts w:cs="Arial"/>
          <w:lang w:val="en-US" w:eastAsia="zh-CN"/>
        </w:rPr>
        <w:t>enhanc</w:t>
      </w:r>
      <w:r w:rsidR="00B62DC0" w:rsidRPr="00FF5E15">
        <w:rPr>
          <w:rFonts w:cs="Arial"/>
          <w:lang w:val="en-US" w:eastAsia="zh-CN"/>
        </w:rPr>
        <w:t>e</w:t>
      </w:r>
      <w:r w:rsidR="007A0326" w:rsidRPr="00FF5E15">
        <w:rPr>
          <w:rFonts w:cs="Arial"/>
          <w:lang w:val="en-US" w:eastAsia="zh-CN"/>
        </w:rPr>
        <w:t xml:space="preserve">ments </w:t>
      </w:r>
    </w:p>
    <w:p w14:paraId="716CDE0D" w14:textId="7B95AB9C" w:rsidR="00B231D0" w:rsidRPr="00FF5E15" w:rsidRDefault="00493F38" w:rsidP="00AF000D">
      <w:pPr>
        <w:jc w:val="both"/>
        <w:rPr>
          <w:sz w:val="22"/>
          <w:szCs w:val="22"/>
        </w:rPr>
      </w:pPr>
      <w:r w:rsidRPr="00FF5E15">
        <w:rPr>
          <w:sz w:val="22"/>
          <w:szCs w:val="22"/>
        </w:rPr>
        <w:t xml:space="preserve">It can be generally understood that sTTI capable UE always enters RRC Connected state in legacy TTI mode, following legacy procedures. Hence, there is no need to </w:t>
      </w:r>
      <w:r w:rsidR="009E2A77" w:rsidRPr="00FF5E15">
        <w:rPr>
          <w:sz w:val="22"/>
          <w:szCs w:val="22"/>
        </w:rPr>
        <w:t xml:space="preserve">specify </w:t>
      </w:r>
      <w:r w:rsidRPr="00FF5E15">
        <w:rPr>
          <w:sz w:val="22"/>
          <w:szCs w:val="22"/>
        </w:rPr>
        <w:t xml:space="preserve">sTTI enhancements for </w:t>
      </w:r>
      <w:r w:rsidR="00195400" w:rsidRPr="00FF5E15">
        <w:rPr>
          <w:sz w:val="22"/>
          <w:szCs w:val="22"/>
        </w:rPr>
        <w:t>attachment related legacy control channels and procedures</w:t>
      </w:r>
      <w:r w:rsidR="009E2A77" w:rsidRPr="00FF5E15">
        <w:rPr>
          <w:sz w:val="22"/>
          <w:szCs w:val="22"/>
        </w:rPr>
        <w:t xml:space="preserve">. </w:t>
      </w:r>
      <w:r w:rsidR="00520534" w:rsidRPr="00FF5E15">
        <w:rPr>
          <w:sz w:val="22"/>
          <w:szCs w:val="22"/>
        </w:rPr>
        <w:t>Moreover</w:t>
      </w:r>
      <w:r w:rsidR="00195400" w:rsidRPr="00FF5E15">
        <w:rPr>
          <w:sz w:val="22"/>
          <w:szCs w:val="22"/>
        </w:rPr>
        <w:t>,</w:t>
      </w:r>
      <w:r w:rsidR="00B231D0" w:rsidRPr="00FF5E15">
        <w:rPr>
          <w:sz w:val="22"/>
          <w:szCs w:val="22"/>
        </w:rPr>
        <w:t xml:space="preserve"> legacy </w:t>
      </w:r>
      <w:r w:rsidR="007A01AA" w:rsidRPr="00FF5E15">
        <w:rPr>
          <w:sz w:val="22"/>
          <w:szCs w:val="22"/>
        </w:rPr>
        <w:t xml:space="preserve">PBCH </w:t>
      </w:r>
      <w:r w:rsidR="00B231D0" w:rsidRPr="00FF5E15">
        <w:rPr>
          <w:sz w:val="22"/>
          <w:szCs w:val="22"/>
        </w:rPr>
        <w:t>c</w:t>
      </w:r>
      <w:r w:rsidR="001360A5" w:rsidRPr="00FF5E15">
        <w:rPr>
          <w:sz w:val="22"/>
          <w:szCs w:val="22"/>
        </w:rPr>
        <w:t>an be re-used for sTTI</w:t>
      </w:r>
      <w:r w:rsidR="00932643" w:rsidRPr="00FF5E15">
        <w:rPr>
          <w:sz w:val="22"/>
          <w:szCs w:val="22"/>
        </w:rPr>
        <w:t xml:space="preserve"> capable UE</w:t>
      </w:r>
      <w:r w:rsidR="00B231D0" w:rsidRPr="00FF5E15">
        <w:rPr>
          <w:sz w:val="22"/>
          <w:szCs w:val="22"/>
        </w:rPr>
        <w:t>.</w:t>
      </w:r>
    </w:p>
    <w:p w14:paraId="788F885D" w14:textId="450D5A7A" w:rsidR="00493F38" w:rsidRPr="00FF5E15" w:rsidRDefault="00493F38" w:rsidP="00AF000D">
      <w:pPr>
        <w:jc w:val="both"/>
        <w:rPr>
          <w:b/>
          <w:i/>
          <w:sz w:val="22"/>
          <w:szCs w:val="22"/>
        </w:rPr>
      </w:pPr>
      <w:r w:rsidRPr="00FF5E15">
        <w:rPr>
          <w:b/>
          <w:i/>
          <w:sz w:val="22"/>
          <w:szCs w:val="22"/>
        </w:rPr>
        <w:t>Proposal-</w:t>
      </w:r>
      <w:r w:rsidR="002A75A5" w:rsidRPr="00FF5E15">
        <w:rPr>
          <w:b/>
          <w:i/>
          <w:sz w:val="22"/>
          <w:szCs w:val="22"/>
        </w:rPr>
        <w:t>1</w:t>
      </w:r>
      <w:r w:rsidRPr="00FF5E15">
        <w:rPr>
          <w:b/>
          <w:i/>
          <w:sz w:val="22"/>
          <w:szCs w:val="22"/>
        </w:rPr>
        <w:t>: No need to study sTTI enhanc</w:t>
      </w:r>
      <w:r w:rsidR="00F912B5" w:rsidRPr="00FF5E15">
        <w:rPr>
          <w:b/>
          <w:i/>
          <w:sz w:val="22"/>
          <w:szCs w:val="22"/>
        </w:rPr>
        <w:t>e</w:t>
      </w:r>
      <w:r w:rsidRPr="00FF5E15">
        <w:rPr>
          <w:b/>
          <w:i/>
          <w:sz w:val="22"/>
          <w:szCs w:val="22"/>
        </w:rPr>
        <w:t xml:space="preserve">ments for PBCH </w:t>
      </w:r>
      <w:r w:rsidR="002951A5" w:rsidRPr="00FF5E15">
        <w:rPr>
          <w:b/>
          <w:i/>
          <w:sz w:val="22"/>
          <w:szCs w:val="22"/>
        </w:rPr>
        <w:t>as</w:t>
      </w:r>
      <w:r w:rsidR="00222989" w:rsidRPr="00FF5E15">
        <w:rPr>
          <w:b/>
          <w:i/>
          <w:sz w:val="22"/>
          <w:szCs w:val="22"/>
        </w:rPr>
        <w:t xml:space="preserve"> </w:t>
      </w:r>
      <w:r w:rsidR="00795F34" w:rsidRPr="00FF5E15">
        <w:rPr>
          <w:b/>
          <w:i/>
          <w:sz w:val="22"/>
          <w:szCs w:val="22"/>
        </w:rPr>
        <w:t>legacy PBCH can be reused also for sTTI capable UEs</w:t>
      </w:r>
      <w:r w:rsidRPr="00FF5E15">
        <w:rPr>
          <w:b/>
          <w:i/>
          <w:sz w:val="22"/>
          <w:szCs w:val="22"/>
        </w:rPr>
        <w:t>.</w:t>
      </w:r>
    </w:p>
    <w:p w14:paraId="54768372" w14:textId="79CF299D" w:rsidR="00247D68" w:rsidRPr="00FF5E15" w:rsidRDefault="00247D68" w:rsidP="00F912B5">
      <w:pPr>
        <w:jc w:val="both"/>
        <w:rPr>
          <w:sz w:val="22"/>
          <w:szCs w:val="22"/>
        </w:rPr>
      </w:pPr>
      <w:r w:rsidRPr="00FF5E15">
        <w:rPr>
          <w:sz w:val="22"/>
          <w:szCs w:val="22"/>
        </w:rPr>
        <w:t xml:space="preserve">LTE </w:t>
      </w:r>
      <w:r w:rsidR="0049471D" w:rsidRPr="00FF5E15">
        <w:rPr>
          <w:sz w:val="22"/>
          <w:szCs w:val="22"/>
        </w:rPr>
        <w:t xml:space="preserve">legacy </w:t>
      </w:r>
      <w:r w:rsidR="00F912B5" w:rsidRPr="00FF5E15">
        <w:rPr>
          <w:sz w:val="22"/>
          <w:szCs w:val="22"/>
        </w:rPr>
        <w:t>downlink</w:t>
      </w:r>
      <w:r w:rsidR="00CB6C73" w:rsidRPr="00FF5E15">
        <w:rPr>
          <w:sz w:val="22"/>
          <w:szCs w:val="22"/>
        </w:rPr>
        <w:t xml:space="preserve"> subframe may</w:t>
      </w:r>
      <w:r w:rsidR="00F912B5" w:rsidRPr="00FF5E15">
        <w:rPr>
          <w:sz w:val="22"/>
          <w:szCs w:val="22"/>
        </w:rPr>
        <w:t xml:space="preserve"> contain</w:t>
      </w:r>
      <w:r w:rsidRPr="00FF5E15">
        <w:rPr>
          <w:sz w:val="22"/>
          <w:szCs w:val="22"/>
        </w:rPr>
        <w:t xml:space="preserve"> following reference signals</w:t>
      </w:r>
      <w:r w:rsidR="00D80C77" w:rsidRPr="00FF5E15">
        <w:rPr>
          <w:sz w:val="22"/>
          <w:szCs w:val="22"/>
        </w:rPr>
        <w:t xml:space="preserve"> (RS)</w:t>
      </w:r>
      <w:r w:rsidRPr="00FF5E15">
        <w:rPr>
          <w:sz w:val="22"/>
          <w:szCs w:val="22"/>
        </w:rPr>
        <w:t>:</w:t>
      </w:r>
    </w:p>
    <w:p w14:paraId="42335529" w14:textId="390DF689" w:rsidR="00247D68"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Cell-specific reference signals (CRS, full-band)</w:t>
      </w:r>
      <w:r w:rsidR="008B728D" w:rsidRPr="00FF5E15">
        <w:rPr>
          <w:rFonts w:ascii="Times New Roman" w:hAnsi="Times New Roman" w:cs="Times New Roman"/>
          <w:lang w:val="en-US"/>
        </w:rPr>
        <w:t>,</w:t>
      </w:r>
      <w:r w:rsidR="00F912B5" w:rsidRPr="00FF5E15">
        <w:rPr>
          <w:rFonts w:ascii="Times New Roman" w:hAnsi="Times New Roman" w:cs="Times New Roman"/>
          <w:lang w:val="en-US"/>
        </w:rPr>
        <w:t xml:space="preserve"> </w:t>
      </w:r>
    </w:p>
    <w:p w14:paraId="742B39EB" w14:textId="38D75CC0" w:rsidR="00333B7D"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Discovery reference signals (DRS, full band)</w:t>
      </w:r>
      <w:r w:rsidR="008B728D" w:rsidRPr="00FF5E15">
        <w:rPr>
          <w:rFonts w:ascii="Times New Roman" w:hAnsi="Times New Roman" w:cs="Times New Roman"/>
          <w:lang w:val="en-US"/>
        </w:rPr>
        <w:t>,</w:t>
      </w:r>
    </w:p>
    <w:p w14:paraId="0D1AF1DB" w14:textId="62003E6B" w:rsidR="00247D68"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Synchronization signals (</w:t>
      </w:r>
      <w:r w:rsidR="00F912B5" w:rsidRPr="00FF5E15">
        <w:rPr>
          <w:rFonts w:ascii="Times New Roman" w:hAnsi="Times New Roman" w:cs="Times New Roman"/>
          <w:lang w:val="en-US"/>
        </w:rPr>
        <w:t>PSS/SSS</w:t>
      </w:r>
      <w:r w:rsidRPr="00FF5E15">
        <w:rPr>
          <w:rFonts w:ascii="Times New Roman" w:hAnsi="Times New Roman" w:cs="Times New Roman"/>
          <w:lang w:val="en-US"/>
        </w:rPr>
        <w:t>, center 6 PRBs)</w:t>
      </w:r>
      <w:r w:rsidR="008B728D" w:rsidRPr="00FF5E15">
        <w:rPr>
          <w:rFonts w:ascii="Times New Roman" w:hAnsi="Times New Roman" w:cs="Times New Roman"/>
          <w:lang w:val="en-US"/>
        </w:rPr>
        <w:t>,</w:t>
      </w:r>
    </w:p>
    <w:p w14:paraId="717EBB8F" w14:textId="1FB720AF" w:rsidR="00CB6C73"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Positioning reference signals (PRS, full-band)</w:t>
      </w:r>
      <w:r w:rsidR="008B728D" w:rsidRPr="00FF5E15">
        <w:rPr>
          <w:rFonts w:ascii="Times New Roman" w:hAnsi="Times New Roman" w:cs="Times New Roman"/>
          <w:lang w:val="en-US"/>
        </w:rPr>
        <w:t>,</w:t>
      </w:r>
    </w:p>
    <w:p w14:paraId="3E5262E2" w14:textId="37E5875E" w:rsidR="00CB6C73"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U</w:t>
      </w:r>
      <w:r w:rsidR="00CB6C73" w:rsidRPr="00FF5E15">
        <w:rPr>
          <w:rFonts w:ascii="Times New Roman" w:hAnsi="Times New Roman" w:cs="Times New Roman"/>
          <w:lang w:val="en-US"/>
        </w:rPr>
        <w:t xml:space="preserve">ser-specific demodulation </w:t>
      </w:r>
      <w:r w:rsidRPr="00FF5E15">
        <w:rPr>
          <w:rFonts w:ascii="Times New Roman" w:hAnsi="Times New Roman" w:cs="Times New Roman"/>
          <w:lang w:val="en-US"/>
        </w:rPr>
        <w:t xml:space="preserve">reference signals (DM-RS, for </w:t>
      </w:r>
      <w:r w:rsidR="00FB1459" w:rsidRPr="00FF5E15">
        <w:rPr>
          <w:rFonts w:ascii="Times New Roman" w:hAnsi="Times New Roman" w:cs="Times New Roman"/>
          <w:lang w:val="en-US"/>
        </w:rPr>
        <w:t>Transmission Mode 8</w:t>
      </w:r>
      <w:r w:rsidRPr="00FF5E15">
        <w:rPr>
          <w:rFonts w:ascii="Times New Roman" w:hAnsi="Times New Roman" w:cs="Times New Roman"/>
          <w:lang w:val="en-US"/>
        </w:rPr>
        <w:t>-10, present only within the allocation)</w:t>
      </w:r>
      <w:r w:rsidR="003F2407" w:rsidRPr="00FF5E15">
        <w:rPr>
          <w:rFonts w:ascii="Times New Roman" w:hAnsi="Times New Roman" w:cs="Times New Roman"/>
          <w:lang w:val="en-US"/>
        </w:rPr>
        <w:t>,</w:t>
      </w:r>
    </w:p>
    <w:p w14:paraId="356F4A80" w14:textId="3FCD5058" w:rsidR="00F912B5" w:rsidRPr="00FF5E15" w:rsidRDefault="007222F2" w:rsidP="003C75E2">
      <w:pPr>
        <w:pStyle w:val="ListParagraph"/>
        <w:numPr>
          <w:ilvl w:val="0"/>
          <w:numId w:val="40"/>
        </w:numPr>
        <w:jc w:val="both"/>
        <w:rPr>
          <w:rFonts w:ascii="Times New Roman" w:hAnsi="Times New Roman" w:cs="Times New Roman"/>
          <w:lang w:val="en-US"/>
        </w:rPr>
      </w:pPr>
      <w:r w:rsidRPr="00FF5E15">
        <w:rPr>
          <w:rFonts w:ascii="Times New Roman" w:hAnsi="Times New Roman" w:cs="Times New Roman"/>
          <w:lang w:val="en-US"/>
        </w:rPr>
        <w:t xml:space="preserve">CSI reference signals including </w:t>
      </w:r>
      <w:r w:rsidR="00CB6C73" w:rsidRPr="00FF5E15">
        <w:rPr>
          <w:rFonts w:ascii="Times New Roman" w:hAnsi="Times New Roman" w:cs="Times New Roman"/>
          <w:lang w:val="en-US"/>
        </w:rPr>
        <w:t xml:space="preserve">ZP CSI-RS and NZP CSI-RS/CSI-IM </w:t>
      </w:r>
      <w:r w:rsidRPr="00FF5E15">
        <w:rPr>
          <w:rFonts w:ascii="Times New Roman" w:hAnsi="Times New Roman" w:cs="Times New Roman"/>
          <w:lang w:val="en-US"/>
        </w:rPr>
        <w:t>(</w:t>
      </w:r>
      <w:r w:rsidR="003F2407" w:rsidRPr="00FF5E15">
        <w:rPr>
          <w:rFonts w:ascii="Times New Roman" w:hAnsi="Times New Roman" w:cs="Times New Roman"/>
          <w:lang w:val="en-US"/>
        </w:rPr>
        <w:t>full-band</w:t>
      </w:r>
      <w:r w:rsidRPr="00FF5E15">
        <w:rPr>
          <w:rFonts w:ascii="Times New Roman" w:hAnsi="Times New Roman" w:cs="Times New Roman"/>
          <w:lang w:val="en-US"/>
        </w:rPr>
        <w:t>)</w:t>
      </w:r>
      <w:r w:rsidR="003F2407" w:rsidRPr="00FF5E15">
        <w:rPr>
          <w:rFonts w:ascii="Times New Roman" w:hAnsi="Times New Roman" w:cs="Times New Roman"/>
          <w:lang w:val="en-US"/>
        </w:rPr>
        <w:t>.</w:t>
      </w:r>
    </w:p>
    <w:p w14:paraId="0989EDF0" w14:textId="612323BA" w:rsidR="00F912B5" w:rsidRPr="00FF5E15" w:rsidRDefault="001E7576" w:rsidP="00F912B5">
      <w:pPr>
        <w:jc w:val="both"/>
        <w:rPr>
          <w:sz w:val="22"/>
          <w:szCs w:val="22"/>
        </w:rPr>
      </w:pPr>
      <w:r w:rsidRPr="00FF5E15">
        <w:rPr>
          <w:sz w:val="22"/>
          <w:szCs w:val="22"/>
        </w:rPr>
        <w:t xml:space="preserve">With the shorter TTI, backward compatibility is the key requirement as stated in the SID in </w:t>
      </w:r>
      <w:r w:rsidRPr="00FF5E15">
        <w:rPr>
          <w:sz w:val="22"/>
          <w:szCs w:val="22"/>
          <w:lang w:eastAsia="zh-CN"/>
        </w:rPr>
        <w:t>RP-150465 [1]. To avoid the performance impact to the legacy UE, it is expected that the legacy reference signals such as PSS/SSS, CRS, PRS, DRS and ZP and NZP CSI-RS still need to be present. As these signal</w:t>
      </w:r>
      <w:r w:rsidR="0049471D" w:rsidRPr="00FF5E15">
        <w:rPr>
          <w:sz w:val="22"/>
          <w:szCs w:val="22"/>
          <w:lang w:eastAsia="zh-CN"/>
        </w:rPr>
        <w:t>s</w:t>
      </w:r>
      <w:r w:rsidRPr="00FF5E15">
        <w:rPr>
          <w:sz w:val="22"/>
          <w:szCs w:val="22"/>
          <w:lang w:eastAsia="zh-CN"/>
        </w:rPr>
        <w:t xml:space="preserve"> need to be anyhow present for legacy UEs as well as UEs not configured for sTTI operation, these signals can be directly </w:t>
      </w:r>
      <w:r w:rsidRPr="00FF5E15">
        <w:rPr>
          <w:sz w:val="22"/>
          <w:szCs w:val="22"/>
          <w:lang w:eastAsia="zh-CN"/>
        </w:rPr>
        <w:lastRenderedPageBreak/>
        <w:t>reused for the relevant purposes such as cell-search, RRM measurements, positioning operation as well as CSI measurements by the UE.</w:t>
      </w:r>
      <w:r w:rsidR="001A54D4" w:rsidRPr="00FF5E15">
        <w:rPr>
          <w:sz w:val="22"/>
          <w:szCs w:val="22"/>
          <w:lang w:eastAsia="zh-CN"/>
        </w:rPr>
        <w:t xml:space="preserve"> </w:t>
      </w:r>
    </w:p>
    <w:p w14:paraId="0B79D713" w14:textId="141FEAA6" w:rsidR="00F912B5" w:rsidRPr="00FF5E15" w:rsidRDefault="00F912B5" w:rsidP="00F912B5">
      <w:pPr>
        <w:jc w:val="both"/>
        <w:rPr>
          <w:b/>
          <w:i/>
          <w:sz w:val="22"/>
          <w:szCs w:val="22"/>
        </w:rPr>
      </w:pPr>
      <w:r w:rsidRPr="00FF5E15">
        <w:rPr>
          <w:b/>
          <w:i/>
          <w:sz w:val="22"/>
          <w:szCs w:val="22"/>
        </w:rPr>
        <w:t>Proposal-</w:t>
      </w:r>
      <w:r w:rsidR="00795F34" w:rsidRPr="00FF5E15">
        <w:rPr>
          <w:b/>
          <w:i/>
          <w:sz w:val="22"/>
          <w:szCs w:val="22"/>
        </w:rPr>
        <w:t>2</w:t>
      </w:r>
      <w:r w:rsidRPr="00FF5E15">
        <w:rPr>
          <w:b/>
          <w:i/>
          <w:sz w:val="22"/>
          <w:szCs w:val="22"/>
        </w:rPr>
        <w:t>: No need to study enhancements for CRS, PSS/SSS, PRS, DRS and ZP and NZP CSI-RS for sTTI operation. Cell-search, RRM measurements, positioning operation as well as CSI measurements are to be based on legacy RS and legacy operation.</w:t>
      </w:r>
    </w:p>
    <w:p w14:paraId="5C3CA0EF" w14:textId="42ACA6DB" w:rsidR="005612BE" w:rsidRPr="00FF5E15" w:rsidRDefault="00E52A3D" w:rsidP="00AF000D">
      <w:pPr>
        <w:jc w:val="both"/>
        <w:rPr>
          <w:sz w:val="22"/>
          <w:szCs w:val="22"/>
        </w:rPr>
      </w:pPr>
      <w:r w:rsidRPr="00FF5E15">
        <w:rPr>
          <w:sz w:val="22"/>
          <w:szCs w:val="22"/>
        </w:rPr>
        <w:t xml:space="preserve">Generally, the purpose of shorter TTI is </w:t>
      </w:r>
      <w:r w:rsidR="009A258A" w:rsidRPr="00FF5E15">
        <w:rPr>
          <w:sz w:val="22"/>
          <w:szCs w:val="22"/>
        </w:rPr>
        <w:t xml:space="preserve">to provide </w:t>
      </w:r>
      <w:r w:rsidRPr="00FF5E15">
        <w:rPr>
          <w:sz w:val="22"/>
          <w:szCs w:val="22"/>
        </w:rPr>
        <w:t>latency reduction. In order to reach the design target of significantly reduc</w:t>
      </w:r>
      <w:r w:rsidR="009A258A" w:rsidRPr="00FF5E15">
        <w:rPr>
          <w:sz w:val="22"/>
          <w:szCs w:val="22"/>
        </w:rPr>
        <w:t>ing</w:t>
      </w:r>
      <w:r w:rsidRPr="00FF5E15">
        <w:rPr>
          <w:sz w:val="22"/>
          <w:szCs w:val="22"/>
        </w:rPr>
        <w:t xml:space="preserve"> the packet data latency over the LTE air interface</w:t>
      </w:r>
      <w:r w:rsidR="00FF213B" w:rsidRPr="00FF5E15">
        <w:rPr>
          <w:sz w:val="22"/>
          <w:szCs w:val="22"/>
        </w:rPr>
        <w:t xml:space="preserve"> as captured in the SID in </w:t>
      </w:r>
      <w:r w:rsidR="00FF213B" w:rsidRPr="00FF5E15">
        <w:rPr>
          <w:sz w:val="22"/>
          <w:szCs w:val="22"/>
          <w:lang w:eastAsia="zh-CN"/>
        </w:rPr>
        <w:t>[1]</w:t>
      </w:r>
      <w:r w:rsidRPr="00FF5E15">
        <w:rPr>
          <w:sz w:val="22"/>
          <w:szCs w:val="22"/>
        </w:rPr>
        <w:t xml:space="preserve">, enhancements </w:t>
      </w:r>
      <w:r w:rsidR="001158A3" w:rsidRPr="00FF5E15">
        <w:rPr>
          <w:sz w:val="22"/>
          <w:szCs w:val="22"/>
        </w:rPr>
        <w:t xml:space="preserve">to at least the </w:t>
      </w:r>
      <w:r w:rsidR="009E2A77" w:rsidRPr="00FF5E15">
        <w:rPr>
          <w:sz w:val="22"/>
          <w:szCs w:val="22"/>
        </w:rPr>
        <w:t xml:space="preserve">downlink </w:t>
      </w:r>
      <w:r w:rsidR="001158A3" w:rsidRPr="00FF5E15">
        <w:rPr>
          <w:sz w:val="22"/>
          <w:szCs w:val="22"/>
        </w:rPr>
        <w:t>data channels (</w:t>
      </w:r>
      <w:r w:rsidR="005612BE" w:rsidRPr="00FF5E15">
        <w:rPr>
          <w:sz w:val="22"/>
          <w:szCs w:val="22"/>
        </w:rPr>
        <w:t>PDSCH)</w:t>
      </w:r>
      <w:r w:rsidRPr="00FF5E15">
        <w:rPr>
          <w:sz w:val="22"/>
          <w:szCs w:val="22"/>
        </w:rPr>
        <w:t xml:space="preserve"> </w:t>
      </w:r>
      <w:r w:rsidR="001158A3" w:rsidRPr="00FF5E15">
        <w:rPr>
          <w:sz w:val="22"/>
          <w:szCs w:val="22"/>
        </w:rPr>
        <w:t xml:space="preserve">as well as the related applicable </w:t>
      </w:r>
      <w:r w:rsidRPr="00FF5E15">
        <w:rPr>
          <w:sz w:val="22"/>
          <w:szCs w:val="22"/>
        </w:rPr>
        <w:t>physical control channel</w:t>
      </w:r>
      <w:r w:rsidR="00F912B5" w:rsidRPr="00FF5E15">
        <w:rPr>
          <w:sz w:val="22"/>
          <w:szCs w:val="22"/>
        </w:rPr>
        <w:t>s</w:t>
      </w:r>
      <w:r w:rsidR="005612BE" w:rsidRPr="00FF5E15">
        <w:rPr>
          <w:sz w:val="22"/>
          <w:szCs w:val="22"/>
        </w:rPr>
        <w:t xml:space="preserve"> (</w:t>
      </w:r>
      <w:r w:rsidR="00C3437D" w:rsidRPr="00FF5E15">
        <w:rPr>
          <w:sz w:val="22"/>
          <w:szCs w:val="22"/>
        </w:rPr>
        <w:t>(</w:t>
      </w:r>
      <w:r w:rsidR="001158A3" w:rsidRPr="00FF5E15">
        <w:rPr>
          <w:sz w:val="22"/>
          <w:szCs w:val="22"/>
        </w:rPr>
        <w:t>E</w:t>
      </w:r>
      <w:r w:rsidR="00C3437D" w:rsidRPr="00FF5E15">
        <w:rPr>
          <w:sz w:val="22"/>
          <w:szCs w:val="22"/>
        </w:rPr>
        <w:t>)</w:t>
      </w:r>
      <w:r w:rsidR="005612BE" w:rsidRPr="00FF5E15">
        <w:rPr>
          <w:sz w:val="22"/>
          <w:szCs w:val="22"/>
        </w:rPr>
        <w:t>PDCCH)</w:t>
      </w:r>
      <w:r w:rsidR="001158A3" w:rsidRPr="00FF5E15">
        <w:rPr>
          <w:sz w:val="22"/>
          <w:szCs w:val="22"/>
        </w:rPr>
        <w:t xml:space="preserve"> are needed</w:t>
      </w:r>
      <w:r w:rsidRPr="00FF5E15">
        <w:rPr>
          <w:sz w:val="22"/>
          <w:szCs w:val="22"/>
        </w:rPr>
        <w:t>,</w:t>
      </w:r>
      <w:r w:rsidR="000C3B65" w:rsidRPr="00FF5E15">
        <w:rPr>
          <w:sz w:val="22"/>
          <w:szCs w:val="22"/>
        </w:rPr>
        <w:t xml:space="preserve"> which are directly involved in packet transmission for active RRC Connected U</w:t>
      </w:r>
      <w:r w:rsidR="00042AF5" w:rsidRPr="00FF5E15">
        <w:rPr>
          <w:sz w:val="22"/>
          <w:szCs w:val="22"/>
        </w:rPr>
        <w:t>E</w:t>
      </w:r>
      <w:r w:rsidR="000C3B65" w:rsidRPr="00FF5E15">
        <w:rPr>
          <w:sz w:val="22"/>
          <w:szCs w:val="22"/>
        </w:rPr>
        <w:t>. We see that</w:t>
      </w:r>
      <w:r w:rsidRPr="00FF5E15">
        <w:rPr>
          <w:sz w:val="22"/>
          <w:szCs w:val="22"/>
        </w:rPr>
        <w:t xml:space="preserve"> the enhancements on these channels should be the central part of sTTI </w:t>
      </w:r>
      <w:r w:rsidR="001158A3" w:rsidRPr="00FF5E15">
        <w:rPr>
          <w:sz w:val="22"/>
          <w:szCs w:val="22"/>
        </w:rPr>
        <w:t>studies</w:t>
      </w:r>
      <w:r w:rsidR="009E2A77" w:rsidRPr="00FF5E15">
        <w:rPr>
          <w:sz w:val="22"/>
          <w:szCs w:val="22"/>
        </w:rPr>
        <w:t xml:space="preserve"> in </w:t>
      </w:r>
      <w:r w:rsidR="009A258A" w:rsidRPr="00FF5E15">
        <w:rPr>
          <w:sz w:val="22"/>
          <w:szCs w:val="22"/>
        </w:rPr>
        <w:t xml:space="preserve">the </w:t>
      </w:r>
      <w:r w:rsidR="009E2A77" w:rsidRPr="00FF5E15">
        <w:rPr>
          <w:sz w:val="22"/>
          <w:szCs w:val="22"/>
        </w:rPr>
        <w:t>DL direction</w:t>
      </w:r>
      <w:r w:rsidRPr="00FF5E15">
        <w:rPr>
          <w:sz w:val="22"/>
          <w:szCs w:val="22"/>
        </w:rPr>
        <w:t>.</w:t>
      </w:r>
      <w:r w:rsidR="00CF21BB" w:rsidRPr="00FF5E15">
        <w:rPr>
          <w:sz w:val="22"/>
          <w:szCs w:val="22"/>
        </w:rPr>
        <w:t xml:space="preserve"> Furthermore, by considering the backward compatibility and minimiz</w:t>
      </w:r>
      <w:r w:rsidR="000C3B65" w:rsidRPr="00FF5E15">
        <w:rPr>
          <w:sz w:val="22"/>
          <w:szCs w:val="22"/>
        </w:rPr>
        <w:t>ing</w:t>
      </w:r>
      <w:r w:rsidR="00CF21BB" w:rsidRPr="00FF5E15">
        <w:rPr>
          <w:sz w:val="22"/>
          <w:szCs w:val="22"/>
        </w:rPr>
        <w:t xml:space="preserve"> the impact to</w:t>
      </w:r>
      <w:r w:rsidR="00042AF5" w:rsidRPr="00FF5E15">
        <w:rPr>
          <w:sz w:val="22"/>
          <w:szCs w:val="22"/>
        </w:rPr>
        <w:t xml:space="preserve"> the</w:t>
      </w:r>
      <w:r w:rsidR="00CF21BB" w:rsidRPr="00FF5E15">
        <w:rPr>
          <w:sz w:val="22"/>
          <w:szCs w:val="22"/>
        </w:rPr>
        <w:t xml:space="preserve"> legacy UE, no chang</w:t>
      </w:r>
      <w:r w:rsidR="000C3B65" w:rsidRPr="00FF5E15">
        <w:rPr>
          <w:sz w:val="22"/>
          <w:szCs w:val="22"/>
        </w:rPr>
        <w:t>es</w:t>
      </w:r>
      <w:r w:rsidR="00CF21BB" w:rsidRPr="00FF5E15">
        <w:rPr>
          <w:sz w:val="22"/>
          <w:szCs w:val="22"/>
        </w:rPr>
        <w:t xml:space="preserve"> </w:t>
      </w:r>
      <w:r w:rsidR="000C3B65" w:rsidRPr="00FF5E15">
        <w:rPr>
          <w:sz w:val="22"/>
          <w:szCs w:val="22"/>
        </w:rPr>
        <w:t>are</w:t>
      </w:r>
      <w:r w:rsidR="00CF21BB" w:rsidRPr="00FF5E15">
        <w:rPr>
          <w:sz w:val="22"/>
          <w:szCs w:val="22"/>
        </w:rPr>
        <w:t xml:space="preserve"> expected </w:t>
      </w:r>
      <w:r w:rsidR="000C3B65" w:rsidRPr="00FF5E15">
        <w:rPr>
          <w:sz w:val="22"/>
          <w:szCs w:val="22"/>
        </w:rPr>
        <w:t>to</w:t>
      </w:r>
      <w:r w:rsidR="00CF21BB" w:rsidRPr="00FF5E15">
        <w:rPr>
          <w:sz w:val="22"/>
          <w:szCs w:val="22"/>
        </w:rPr>
        <w:t xml:space="preserve"> legacy </w:t>
      </w:r>
      <w:r w:rsidR="009A258A" w:rsidRPr="00FF5E15">
        <w:rPr>
          <w:sz w:val="22"/>
          <w:szCs w:val="22"/>
        </w:rPr>
        <w:t>(E)</w:t>
      </w:r>
      <w:r w:rsidR="00CF21BB" w:rsidRPr="00FF5E15">
        <w:rPr>
          <w:sz w:val="22"/>
          <w:szCs w:val="22"/>
        </w:rPr>
        <w:t>PDCCH</w:t>
      </w:r>
      <w:r w:rsidR="000C3B65" w:rsidRPr="00FF5E15">
        <w:rPr>
          <w:sz w:val="22"/>
          <w:szCs w:val="22"/>
        </w:rPr>
        <w:t xml:space="preserve"> structure</w:t>
      </w:r>
      <w:r w:rsidR="00CF21BB" w:rsidRPr="00FF5E15">
        <w:rPr>
          <w:sz w:val="22"/>
          <w:szCs w:val="22"/>
        </w:rPr>
        <w:t>.</w:t>
      </w:r>
      <w:r w:rsidR="001158A3" w:rsidRPr="00FF5E15">
        <w:rPr>
          <w:sz w:val="22"/>
          <w:szCs w:val="22"/>
        </w:rPr>
        <w:t xml:space="preserve"> Moreover, mechanisms as cell search, initial access etc. should be based on the legacy TTI operation</w:t>
      </w:r>
      <w:r w:rsidR="002A75A5" w:rsidRPr="00FF5E15">
        <w:rPr>
          <w:sz w:val="22"/>
          <w:szCs w:val="22"/>
        </w:rPr>
        <w:t xml:space="preserve"> as stated above</w:t>
      </w:r>
      <w:r w:rsidR="001158A3" w:rsidRPr="00FF5E15">
        <w:rPr>
          <w:sz w:val="22"/>
          <w:szCs w:val="22"/>
        </w:rPr>
        <w:t xml:space="preserve">. As a consequence, we propose the RAN1 </w:t>
      </w:r>
      <w:r w:rsidR="00042AF5" w:rsidRPr="00FF5E15">
        <w:rPr>
          <w:sz w:val="22"/>
          <w:szCs w:val="22"/>
        </w:rPr>
        <w:t xml:space="preserve">to focus on studies related to PDSCH and </w:t>
      </w:r>
      <w:r w:rsidR="009A258A" w:rsidRPr="00FF5E15">
        <w:rPr>
          <w:sz w:val="22"/>
          <w:szCs w:val="22"/>
        </w:rPr>
        <w:t>(</w:t>
      </w:r>
      <w:r w:rsidR="00042AF5" w:rsidRPr="00FF5E15">
        <w:rPr>
          <w:sz w:val="22"/>
          <w:szCs w:val="22"/>
        </w:rPr>
        <w:t>E</w:t>
      </w:r>
      <w:r w:rsidR="009A258A" w:rsidRPr="00FF5E15">
        <w:rPr>
          <w:sz w:val="22"/>
          <w:szCs w:val="22"/>
        </w:rPr>
        <w:t>)</w:t>
      </w:r>
      <w:r w:rsidR="00042AF5" w:rsidRPr="00FF5E15">
        <w:rPr>
          <w:sz w:val="22"/>
          <w:szCs w:val="22"/>
        </w:rPr>
        <w:t>PDCCH</w:t>
      </w:r>
      <w:r w:rsidR="009A258A" w:rsidRPr="00FF5E15">
        <w:rPr>
          <w:sz w:val="22"/>
          <w:szCs w:val="22"/>
        </w:rPr>
        <w:t xml:space="preserve"> for shorter TTIs</w:t>
      </w:r>
      <w:r w:rsidR="001158A3" w:rsidRPr="00FF5E15">
        <w:rPr>
          <w:sz w:val="22"/>
          <w:szCs w:val="22"/>
        </w:rPr>
        <w:t xml:space="preserve">: </w:t>
      </w:r>
    </w:p>
    <w:p w14:paraId="1CF6D109" w14:textId="060431E6" w:rsidR="005612BE" w:rsidRPr="00FF5E15" w:rsidRDefault="005612BE" w:rsidP="00AF000D">
      <w:pPr>
        <w:jc w:val="both"/>
        <w:rPr>
          <w:b/>
          <w:i/>
          <w:sz w:val="22"/>
          <w:szCs w:val="22"/>
        </w:rPr>
      </w:pPr>
      <w:r w:rsidRPr="00FF5E15">
        <w:rPr>
          <w:b/>
          <w:i/>
          <w:sz w:val="22"/>
          <w:szCs w:val="22"/>
        </w:rPr>
        <w:t>Proposal-</w:t>
      </w:r>
      <w:r w:rsidR="00795F34" w:rsidRPr="00FF5E15">
        <w:rPr>
          <w:b/>
          <w:i/>
          <w:sz w:val="22"/>
          <w:szCs w:val="22"/>
        </w:rPr>
        <w:t>3</w:t>
      </w:r>
      <w:r w:rsidRPr="00FF5E15">
        <w:rPr>
          <w:b/>
          <w:i/>
          <w:sz w:val="22"/>
          <w:szCs w:val="22"/>
        </w:rPr>
        <w:t xml:space="preserve">: </w:t>
      </w:r>
      <w:r w:rsidR="001158A3" w:rsidRPr="00FF5E15">
        <w:rPr>
          <w:b/>
          <w:i/>
          <w:sz w:val="22"/>
          <w:szCs w:val="22"/>
        </w:rPr>
        <w:t>T</w:t>
      </w:r>
      <w:r w:rsidRPr="00FF5E15">
        <w:rPr>
          <w:b/>
          <w:i/>
          <w:sz w:val="22"/>
          <w:szCs w:val="22"/>
        </w:rPr>
        <w:t>he</w:t>
      </w:r>
      <w:r w:rsidR="009711AD" w:rsidRPr="00FF5E15">
        <w:rPr>
          <w:b/>
          <w:i/>
          <w:sz w:val="22"/>
          <w:szCs w:val="22"/>
        </w:rPr>
        <w:t xml:space="preserve"> </w:t>
      </w:r>
      <w:r w:rsidR="001158A3" w:rsidRPr="00FF5E15">
        <w:rPr>
          <w:b/>
          <w:i/>
          <w:sz w:val="22"/>
          <w:szCs w:val="22"/>
        </w:rPr>
        <w:t xml:space="preserve">shortened TTI </w:t>
      </w:r>
      <w:r w:rsidR="003D0A8B" w:rsidRPr="00FF5E15">
        <w:rPr>
          <w:b/>
          <w:i/>
          <w:sz w:val="22"/>
          <w:szCs w:val="22"/>
        </w:rPr>
        <w:t xml:space="preserve">downlink </w:t>
      </w:r>
      <w:r w:rsidRPr="00FF5E15">
        <w:rPr>
          <w:b/>
          <w:i/>
          <w:sz w:val="22"/>
          <w:szCs w:val="22"/>
        </w:rPr>
        <w:t xml:space="preserve">studies </w:t>
      </w:r>
      <w:r w:rsidR="001158A3" w:rsidRPr="00FF5E15">
        <w:rPr>
          <w:b/>
          <w:i/>
          <w:sz w:val="22"/>
          <w:szCs w:val="22"/>
        </w:rPr>
        <w:t xml:space="preserve">should focus </w:t>
      </w:r>
      <w:r w:rsidRPr="00FF5E15">
        <w:rPr>
          <w:b/>
          <w:i/>
          <w:sz w:val="22"/>
          <w:szCs w:val="22"/>
        </w:rPr>
        <w:t xml:space="preserve">on the </w:t>
      </w:r>
      <w:r w:rsidR="001158A3" w:rsidRPr="00FF5E15">
        <w:rPr>
          <w:b/>
          <w:i/>
          <w:sz w:val="22"/>
          <w:szCs w:val="22"/>
        </w:rPr>
        <w:t xml:space="preserve">required enhancements to </w:t>
      </w:r>
      <w:r w:rsidRPr="00FF5E15">
        <w:rPr>
          <w:b/>
          <w:i/>
          <w:sz w:val="22"/>
          <w:szCs w:val="22"/>
        </w:rPr>
        <w:t>PDSCH</w:t>
      </w:r>
      <w:r w:rsidR="003D0A8B" w:rsidRPr="00FF5E15">
        <w:rPr>
          <w:b/>
          <w:i/>
          <w:sz w:val="22"/>
          <w:szCs w:val="22"/>
        </w:rPr>
        <w:t xml:space="preserve"> and</w:t>
      </w:r>
      <w:r w:rsidRPr="00FF5E15">
        <w:rPr>
          <w:b/>
          <w:i/>
          <w:sz w:val="22"/>
          <w:szCs w:val="22"/>
        </w:rPr>
        <w:t xml:space="preserve"> </w:t>
      </w:r>
      <w:r w:rsidR="00C3437D" w:rsidRPr="00FF5E15">
        <w:rPr>
          <w:b/>
          <w:i/>
          <w:sz w:val="22"/>
          <w:szCs w:val="22"/>
        </w:rPr>
        <w:t>(</w:t>
      </w:r>
      <w:r w:rsidR="00955242" w:rsidRPr="00FF5E15">
        <w:rPr>
          <w:b/>
          <w:i/>
          <w:sz w:val="22"/>
          <w:szCs w:val="22"/>
        </w:rPr>
        <w:t>E</w:t>
      </w:r>
      <w:r w:rsidR="00C3437D" w:rsidRPr="00FF5E15">
        <w:rPr>
          <w:b/>
          <w:i/>
          <w:sz w:val="22"/>
          <w:szCs w:val="22"/>
        </w:rPr>
        <w:t>)</w:t>
      </w:r>
      <w:r w:rsidRPr="00FF5E15">
        <w:rPr>
          <w:b/>
          <w:i/>
          <w:sz w:val="22"/>
          <w:szCs w:val="22"/>
        </w:rPr>
        <w:t>PDCCH.</w:t>
      </w:r>
    </w:p>
    <w:p w14:paraId="413A7244" w14:textId="75E1A688" w:rsidR="00565E70" w:rsidRPr="00FF5E15" w:rsidRDefault="00F912B5" w:rsidP="00F912B5">
      <w:pPr>
        <w:jc w:val="both"/>
        <w:rPr>
          <w:sz w:val="22"/>
          <w:szCs w:val="22"/>
        </w:rPr>
      </w:pPr>
      <w:r w:rsidRPr="00FF5E15">
        <w:rPr>
          <w:sz w:val="22"/>
          <w:szCs w:val="22"/>
        </w:rPr>
        <w:t xml:space="preserve">In legacy, PHICH </w:t>
      </w:r>
      <w:r w:rsidR="00C01233" w:rsidRPr="00FF5E15">
        <w:rPr>
          <w:sz w:val="22"/>
          <w:szCs w:val="22"/>
        </w:rPr>
        <w:t xml:space="preserve">with fixed HARQ timing (n+4) </w:t>
      </w:r>
      <w:r w:rsidRPr="00FF5E15">
        <w:rPr>
          <w:sz w:val="22"/>
          <w:szCs w:val="22"/>
        </w:rPr>
        <w:t xml:space="preserve">is present in the </w:t>
      </w:r>
      <w:r w:rsidR="00C3437D" w:rsidRPr="00FF5E15">
        <w:rPr>
          <w:sz w:val="22"/>
          <w:szCs w:val="22"/>
        </w:rPr>
        <w:t xml:space="preserve">PDCCH downlink </w:t>
      </w:r>
      <w:r w:rsidRPr="00FF5E15">
        <w:rPr>
          <w:sz w:val="22"/>
          <w:szCs w:val="22"/>
        </w:rPr>
        <w:t xml:space="preserve">control region of each legacy TTI. But with sTTI, </w:t>
      </w:r>
      <w:r w:rsidR="00C3437D" w:rsidRPr="00FF5E15">
        <w:rPr>
          <w:sz w:val="22"/>
          <w:szCs w:val="22"/>
        </w:rPr>
        <w:t xml:space="preserve">the traditional PDCCH </w:t>
      </w:r>
      <w:r w:rsidR="009E2A77" w:rsidRPr="00FF5E15">
        <w:rPr>
          <w:sz w:val="22"/>
          <w:szCs w:val="22"/>
        </w:rPr>
        <w:t xml:space="preserve">region </w:t>
      </w:r>
      <w:r w:rsidRPr="00FF5E15">
        <w:rPr>
          <w:sz w:val="22"/>
          <w:szCs w:val="22"/>
        </w:rPr>
        <w:t>will not be available for each sTTI</w:t>
      </w:r>
      <w:r w:rsidR="00C3437D" w:rsidRPr="00FF5E15">
        <w:rPr>
          <w:sz w:val="22"/>
          <w:szCs w:val="22"/>
        </w:rPr>
        <w:t xml:space="preserve"> and so the </w:t>
      </w:r>
      <w:r w:rsidR="009A258A" w:rsidRPr="00FF5E15">
        <w:rPr>
          <w:sz w:val="22"/>
          <w:szCs w:val="22"/>
        </w:rPr>
        <w:t xml:space="preserve">legacy </w:t>
      </w:r>
      <w:r w:rsidR="00C3437D" w:rsidRPr="00FF5E15">
        <w:rPr>
          <w:sz w:val="22"/>
          <w:szCs w:val="22"/>
        </w:rPr>
        <w:t>PHICH</w:t>
      </w:r>
      <w:r w:rsidRPr="00FF5E15">
        <w:rPr>
          <w:sz w:val="22"/>
          <w:szCs w:val="22"/>
        </w:rPr>
        <w:t xml:space="preserve">. Therefore, PHICH </w:t>
      </w:r>
      <w:r w:rsidR="00C01233" w:rsidRPr="00FF5E15">
        <w:rPr>
          <w:sz w:val="22"/>
          <w:szCs w:val="22"/>
        </w:rPr>
        <w:t>would</w:t>
      </w:r>
      <w:r w:rsidR="009B7EA9" w:rsidRPr="00FF5E15">
        <w:rPr>
          <w:sz w:val="22"/>
          <w:szCs w:val="22"/>
        </w:rPr>
        <w:t xml:space="preserve"> </w:t>
      </w:r>
      <w:r w:rsidRPr="00FF5E15">
        <w:rPr>
          <w:sz w:val="22"/>
          <w:szCs w:val="22"/>
        </w:rPr>
        <w:t xml:space="preserve">need to be enhanced to support </w:t>
      </w:r>
      <w:r w:rsidR="00C01233" w:rsidRPr="00FF5E15">
        <w:rPr>
          <w:sz w:val="22"/>
          <w:szCs w:val="22"/>
        </w:rPr>
        <w:t xml:space="preserve">non-adaptive </w:t>
      </w:r>
      <w:r w:rsidRPr="00FF5E15">
        <w:rPr>
          <w:sz w:val="22"/>
          <w:szCs w:val="22"/>
        </w:rPr>
        <w:t>sTTI</w:t>
      </w:r>
      <w:r w:rsidR="00C3437D" w:rsidRPr="00FF5E15">
        <w:rPr>
          <w:sz w:val="22"/>
          <w:szCs w:val="22"/>
        </w:rPr>
        <w:t xml:space="preserve"> </w:t>
      </w:r>
      <w:r w:rsidR="00C01233" w:rsidRPr="00FF5E15">
        <w:rPr>
          <w:sz w:val="22"/>
          <w:szCs w:val="22"/>
        </w:rPr>
        <w:t xml:space="preserve">UL HARQ </w:t>
      </w:r>
      <w:r w:rsidR="00C3437D" w:rsidRPr="00FF5E15">
        <w:rPr>
          <w:sz w:val="22"/>
          <w:szCs w:val="22"/>
        </w:rPr>
        <w:t>operation</w:t>
      </w:r>
      <w:r w:rsidRPr="00FF5E15">
        <w:rPr>
          <w:sz w:val="22"/>
          <w:szCs w:val="22"/>
        </w:rPr>
        <w:t xml:space="preserve">. </w:t>
      </w:r>
    </w:p>
    <w:p w14:paraId="43BE0270" w14:textId="7C0F319B" w:rsidR="00F912B5" w:rsidRPr="00FF5E15" w:rsidRDefault="000B75EC" w:rsidP="00F912B5">
      <w:pPr>
        <w:jc w:val="both"/>
        <w:rPr>
          <w:sz w:val="22"/>
          <w:szCs w:val="22"/>
        </w:rPr>
      </w:pPr>
      <w:r w:rsidRPr="00FF5E15">
        <w:rPr>
          <w:sz w:val="22"/>
          <w:szCs w:val="22"/>
        </w:rPr>
        <w:t>On the other hand, asynchronous HARQ UL operation discussed in the LAA context</w:t>
      </w:r>
      <w:r w:rsidR="00222FE5" w:rsidRPr="00FF5E15">
        <w:rPr>
          <w:sz w:val="22"/>
          <w:szCs w:val="22"/>
        </w:rPr>
        <w:t xml:space="preserve">, as well as </w:t>
      </w:r>
      <w:r w:rsidR="00565E70" w:rsidRPr="00FF5E15">
        <w:rPr>
          <w:sz w:val="22"/>
          <w:szCs w:val="22"/>
        </w:rPr>
        <w:t>adopted already</w:t>
      </w:r>
      <w:r w:rsidR="00222FE5" w:rsidRPr="00FF5E15">
        <w:rPr>
          <w:sz w:val="22"/>
          <w:szCs w:val="22"/>
        </w:rPr>
        <w:t xml:space="preserve"> </w:t>
      </w:r>
      <w:r w:rsidR="00565E70" w:rsidRPr="00FF5E15">
        <w:rPr>
          <w:sz w:val="22"/>
          <w:szCs w:val="22"/>
        </w:rPr>
        <w:t>for</w:t>
      </w:r>
      <w:r w:rsidR="00222FE5" w:rsidRPr="00FF5E15">
        <w:rPr>
          <w:sz w:val="22"/>
          <w:szCs w:val="22"/>
        </w:rPr>
        <w:t xml:space="preserve"> eMTC</w:t>
      </w:r>
      <w:r w:rsidR="00565E70" w:rsidRPr="00FF5E15">
        <w:rPr>
          <w:sz w:val="22"/>
          <w:szCs w:val="22"/>
        </w:rPr>
        <w:t>,</w:t>
      </w:r>
      <w:r w:rsidRPr="00FF5E15">
        <w:rPr>
          <w:sz w:val="22"/>
          <w:szCs w:val="22"/>
        </w:rPr>
        <w:t xml:space="preserve"> could be utilized. Additionally, asynchronous </w:t>
      </w:r>
      <w:r w:rsidR="00565E70" w:rsidRPr="00FF5E15">
        <w:rPr>
          <w:sz w:val="22"/>
          <w:szCs w:val="22"/>
        </w:rPr>
        <w:t xml:space="preserve">UL </w:t>
      </w:r>
      <w:r w:rsidRPr="00FF5E15">
        <w:rPr>
          <w:sz w:val="22"/>
          <w:szCs w:val="22"/>
        </w:rPr>
        <w:t>HARQ operation could simplify the potentially dynamic transitions between legacy TTI and shortened TTI transmissions.</w:t>
      </w:r>
      <w:r w:rsidR="00222FE5" w:rsidRPr="00FF5E15">
        <w:rPr>
          <w:sz w:val="22"/>
          <w:szCs w:val="22"/>
        </w:rPr>
        <w:t xml:space="preserve"> Furthermore, </w:t>
      </w:r>
      <w:r w:rsidR="00565E70" w:rsidRPr="00FF5E15">
        <w:rPr>
          <w:sz w:val="22"/>
          <w:szCs w:val="22"/>
        </w:rPr>
        <w:t>asynchronous UL HARQ</w:t>
      </w:r>
      <w:r w:rsidR="00222FE5" w:rsidRPr="00FF5E15">
        <w:rPr>
          <w:sz w:val="22"/>
          <w:szCs w:val="22"/>
        </w:rPr>
        <w:t xml:space="preserve"> </w:t>
      </w:r>
      <w:r w:rsidR="009A258A" w:rsidRPr="00FF5E15">
        <w:rPr>
          <w:sz w:val="22"/>
          <w:szCs w:val="22"/>
        </w:rPr>
        <w:t xml:space="preserve">provides the </w:t>
      </w:r>
      <w:r w:rsidR="00222FE5" w:rsidRPr="00FF5E15">
        <w:rPr>
          <w:sz w:val="22"/>
          <w:szCs w:val="22"/>
        </w:rPr>
        <w:t>possi</w:t>
      </w:r>
      <w:r w:rsidR="00565E70" w:rsidRPr="00FF5E15">
        <w:rPr>
          <w:sz w:val="22"/>
          <w:szCs w:val="22"/>
        </w:rPr>
        <w:t xml:space="preserve">bility for further delay reduction by faster eNB </w:t>
      </w:r>
      <w:r w:rsidR="00520534" w:rsidRPr="00FF5E15">
        <w:rPr>
          <w:sz w:val="22"/>
          <w:szCs w:val="22"/>
        </w:rPr>
        <w:t xml:space="preserve">processing. </w:t>
      </w:r>
      <w:r w:rsidRPr="00FF5E15">
        <w:rPr>
          <w:sz w:val="22"/>
          <w:szCs w:val="22"/>
        </w:rPr>
        <w:t xml:space="preserve">From our perspective, we think that asynchronous UL HARQ for sTTI might be of </w:t>
      </w:r>
      <w:r w:rsidR="00565E70" w:rsidRPr="00FF5E15">
        <w:rPr>
          <w:sz w:val="22"/>
          <w:szCs w:val="22"/>
        </w:rPr>
        <w:t xml:space="preserve">an </w:t>
      </w:r>
      <w:r w:rsidRPr="00FF5E15">
        <w:rPr>
          <w:sz w:val="22"/>
          <w:szCs w:val="22"/>
        </w:rPr>
        <w:t>advantage</w:t>
      </w:r>
      <w:r w:rsidR="00795F34" w:rsidRPr="00FF5E15">
        <w:rPr>
          <w:sz w:val="22"/>
          <w:szCs w:val="22"/>
        </w:rPr>
        <w:t>.</w:t>
      </w:r>
      <w:r w:rsidR="00164371" w:rsidRPr="00FF5E15">
        <w:rPr>
          <w:sz w:val="22"/>
          <w:szCs w:val="22"/>
        </w:rPr>
        <w:t xml:space="preserve"> For more discussion </w:t>
      </w:r>
      <w:r w:rsidR="009E2A77" w:rsidRPr="00FF5E15">
        <w:rPr>
          <w:sz w:val="22"/>
          <w:szCs w:val="22"/>
        </w:rPr>
        <w:t xml:space="preserve">and our related proposals </w:t>
      </w:r>
      <w:r w:rsidR="00164371" w:rsidRPr="00FF5E15">
        <w:rPr>
          <w:sz w:val="22"/>
          <w:szCs w:val="22"/>
        </w:rPr>
        <w:t>on UL HARQ please refer to our companion contribution</w:t>
      </w:r>
      <w:r w:rsidR="001B0BE2" w:rsidRPr="00FF5E15">
        <w:rPr>
          <w:sz w:val="22"/>
          <w:szCs w:val="22"/>
        </w:rPr>
        <w:t xml:space="preserve"> </w:t>
      </w:r>
      <w:r w:rsidR="001B0BE2" w:rsidRPr="00FF5E15">
        <w:rPr>
          <w:sz w:val="22"/>
          <w:szCs w:val="22"/>
        </w:rPr>
        <w:fldChar w:fldCharType="begin"/>
      </w:r>
      <w:r w:rsidR="001B0BE2" w:rsidRPr="00FF5E15">
        <w:rPr>
          <w:sz w:val="22"/>
          <w:szCs w:val="22"/>
        </w:rPr>
        <w:instrText xml:space="preserve"> REF _Ref441751909 \r \h </w:instrText>
      </w:r>
      <w:r w:rsidR="001B0BE2" w:rsidRPr="00FF5E15">
        <w:rPr>
          <w:sz w:val="22"/>
          <w:szCs w:val="22"/>
        </w:rPr>
      </w:r>
      <w:r w:rsidR="001B0BE2" w:rsidRPr="00FF5E15">
        <w:rPr>
          <w:sz w:val="22"/>
          <w:szCs w:val="22"/>
        </w:rPr>
        <w:fldChar w:fldCharType="separate"/>
      </w:r>
      <w:r w:rsidR="001B0BE2" w:rsidRPr="00FF5E15">
        <w:rPr>
          <w:sz w:val="22"/>
          <w:szCs w:val="22"/>
        </w:rPr>
        <w:t>[4]</w:t>
      </w:r>
      <w:r w:rsidR="001B0BE2" w:rsidRPr="00FF5E15">
        <w:rPr>
          <w:sz w:val="22"/>
          <w:szCs w:val="22"/>
        </w:rPr>
        <w:fldChar w:fldCharType="end"/>
      </w:r>
      <w:r w:rsidR="00164371" w:rsidRPr="00FF5E15">
        <w:rPr>
          <w:sz w:val="22"/>
          <w:szCs w:val="22"/>
        </w:rPr>
        <w:t>.</w:t>
      </w:r>
      <w:r w:rsidR="00F912B5" w:rsidRPr="00FF5E15">
        <w:rPr>
          <w:sz w:val="22"/>
          <w:szCs w:val="22"/>
        </w:rPr>
        <w:t xml:space="preserve">  </w:t>
      </w:r>
    </w:p>
    <w:p w14:paraId="6B70570E" w14:textId="20726ED5" w:rsidR="001E7354" w:rsidRPr="00FF5E15" w:rsidRDefault="00F912B5" w:rsidP="00F912B5">
      <w:pPr>
        <w:jc w:val="both"/>
        <w:rPr>
          <w:b/>
          <w:i/>
          <w:sz w:val="22"/>
          <w:szCs w:val="22"/>
        </w:rPr>
      </w:pPr>
      <w:r w:rsidRPr="00FF5E15">
        <w:rPr>
          <w:b/>
          <w:i/>
          <w:sz w:val="22"/>
          <w:szCs w:val="22"/>
        </w:rPr>
        <w:t>Proposal-</w:t>
      </w:r>
      <w:r w:rsidR="00795F34" w:rsidRPr="00FF5E15">
        <w:rPr>
          <w:b/>
          <w:i/>
          <w:sz w:val="22"/>
          <w:szCs w:val="22"/>
        </w:rPr>
        <w:t>4</w:t>
      </w:r>
      <w:r w:rsidRPr="00FF5E15">
        <w:rPr>
          <w:b/>
          <w:i/>
          <w:sz w:val="22"/>
          <w:szCs w:val="22"/>
        </w:rPr>
        <w:t xml:space="preserve">: </w:t>
      </w:r>
      <w:r w:rsidR="008B3783" w:rsidRPr="00FF5E15">
        <w:rPr>
          <w:b/>
          <w:i/>
          <w:sz w:val="22"/>
          <w:szCs w:val="22"/>
        </w:rPr>
        <w:t>Asynchronous</w:t>
      </w:r>
      <w:r w:rsidRPr="00FF5E15">
        <w:rPr>
          <w:b/>
          <w:i/>
          <w:sz w:val="22"/>
          <w:szCs w:val="22"/>
        </w:rPr>
        <w:t xml:space="preserve"> HARQ operation could be utilized for sTTI operation which </w:t>
      </w:r>
      <w:r w:rsidR="009B7EA9" w:rsidRPr="00FF5E15">
        <w:rPr>
          <w:b/>
          <w:i/>
          <w:sz w:val="22"/>
          <w:szCs w:val="22"/>
        </w:rPr>
        <w:t xml:space="preserve">would </w:t>
      </w:r>
      <w:r w:rsidRPr="00FF5E15">
        <w:rPr>
          <w:b/>
          <w:i/>
          <w:sz w:val="22"/>
          <w:szCs w:val="22"/>
        </w:rPr>
        <w:t>require no need to study sTTI enhancements for PHICH.</w:t>
      </w:r>
    </w:p>
    <w:p w14:paraId="4FC8A228" w14:textId="77777777" w:rsidR="009A31DF" w:rsidRPr="00FF5E15" w:rsidRDefault="009A31DF" w:rsidP="00F912B5">
      <w:pPr>
        <w:jc w:val="both"/>
        <w:rPr>
          <w:b/>
          <w:i/>
          <w:sz w:val="22"/>
          <w:szCs w:val="22"/>
        </w:rPr>
      </w:pPr>
    </w:p>
    <w:p w14:paraId="5F01ABED" w14:textId="5DF101E0" w:rsidR="00BB6AA6" w:rsidRPr="00FF5E15" w:rsidRDefault="009A31DF" w:rsidP="00BB6AA6">
      <w:pPr>
        <w:pStyle w:val="Heading1"/>
        <w:rPr>
          <w:rFonts w:cs="Arial"/>
          <w:lang w:val="en-US" w:eastAsia="zh-CN"/>
        </w:rPr>
      </w:pPr>
      <w:r w:rsidRPr="00FF5E15">
        <w:rPr>
          <w:rFonts w:cs="Arial"/>
          <w:lang w:val="en-US" w:eastAsia="zh-CN"/>
        </w:rPr>
        <w:t xml:space="preserve">3. On necessary enhancements </w:t>
      </w:r>
      <w:r w:rsidR="00985718" w:rsidRPr="00FF5E15">
        <w:rPr>
          <w:rFonts w:cs="Arial"/>
          <w:lang w:val="en-US" w:eastAsia="zh-CN"/>
        </w:rPr>
        <w:t xml:space="preserve">of </w:t>
      </w:r>
      <w:r w:rsidR="00EE3D9C" w:rsidRPr="00FF5E15">
        <w:rPr>
          <w:rFonts w:cs="Arial"/>
          <w:lang w:val="en-US" w:eastAsia="zh-CN"/>
        </w:rPr>
        <w:t>downlink control</w:t>
      </w:r>
      <w:r w:rsidR="00BB6AA6" w:rsidRPr="00FF5E15">
        <w:rPr>
          <w:rFonts w:cs="Arial"/>
          <w:lang w:val="en-US" w:eastAsia="zh-CN"/>
        </w:rPr>
        <w:t xml:space="preserve">  </w:t>
      </w:r>
    </w:p>
    <w:p w14:paraId="5E2D834E" w14:textId="013021D8" w:rsidR="009A31DF" w:rsidRPr="00FF5E15" w:rsidRDefault="00042AF5" w:rsidP="00F912B5">
      <w:pPr>
        <w:jc w:val="both"/>
        <w:rPr>
          <w:sz w:val="22"/>
          <w:szCs w:val="22"/>
        </w:rPr>
      </w:pPr>
      <w:r w:rsidRPr="00FF5E15">
        <w:rPr>
          <w:sz w:val="22"/>
          <w:szCs w:val="22"/>
        </w:rPr>
        <w:t>T</w:t>
      </w:r>
      <w:r w:rsidR="009A31DF" w:rsidRPr="00FF5E15">
        <w:rPr>
          <w:sz w:val="22"/>
          <w:szCs w:val="22"/>
        </w:rPr>
        <w:t>his section</w:t>
      </w:r>
      <w:r w:rsidRPr="00FF5E15">
        <w:rPr>
          <w:sz w:val="22"/>
          <w:szCs w:val="22"/>
        </w:rPr>
        <w:t xml:space="preserve"> </w:t>
      </w:r>
      <w:r w:rsidR="009A31DF" w:rsidRPr="00FF5E15">
        <w:rPr>
          <w:sz w:val="22"/>
          <w:szCs w:val="22"/>
        </w:rPr>
        <w:t>briefly discuss</w:t>
      </w:r>
      <w:r w:rsidRPr="00FF5E15">
        <w:rPr>
          <w:sz w:val="22"/>
          <w:szCs w:val="22"/>
        </w:rPr>
        <w:t>es</w:t>
      </w:r>
      <w:r w:rsidR="009A31DF" w:rsidRPr="00FF5E15">
        <w:rPr>
          <w:sz w:val="22"/>
          <w:szCs w:val="22"/>
        </w:rPr>
        <w:t xml:space="preserve"> some of the enhancements necessary for TTI shortening, focusing specifically on </w:t>
      </w:r>
      <w:r w:rsidR="00C150F9" w:rsidRPr="00FF5E15">
        <w:rPr>
          <w:sz w:val="22"/>
          <w:szCs w:val="22"/>
        </w:rPr>
        <w:t>downlink control operation</w:t>
      </w:r>
      <w:r w:rsidR="009A31DF" w:rsidRPr="00FF5E15">
        <w:rPr>
          <w:sz w:val="22"/>
          <w:szCs w:val="22"/>
        </w:rPr>
        <w:t>.</w:t>
      </w:r>
    </w:p>
    <w:p w14:paraId="4A3F494D" w14:textId="77777777" w:rsidR="003460CE" w:rsidRPr="00FF5E15" w:rsidRDefault="00795F34" w:rsidP="00F912B5">
      <w:pPr>
        <w:jc w:val="both"/>
        <w:rPr>
          <w:sz w:val="22"/>
          <w:szCs w:val="22"/>
        </w:rPr>
      </w:pPr>
      <w:r w:rsidRPr="00FF5E15">
        <w:rPr>
          <w:sz w:val="22"/>
          <w:szCs w:val="22"/>
        </w:rPr>
        <w:t xml:space="preserve">Considering downlink control signaling, </w:t>
      </w:r>
      <w:r w:rsidR="00F0171A" w:rsidRPr="00FF5E15">
        <w:rPr>
          <w:sz w:val="22"/>
          <w:szCs w:val="22"/>
        </w:rPr>
        <w:t xml:space="preserve">LTE supports </w:t>
      </w:r>
      <w:r w:rsidRPr="00FF5E15">
        <w:rPr>
          <w:sz w:val="22"/>
          <w:szCs w:val="22"/>
        </w:rPr>
        <w:t xml:space="preserve">PDCCH using the full bandwidth </w:t>
      </w:r>
      <w:r w:rsidR="003460CE" w:rsidRPr="00FF5E15">
        <w:rPr>
          <w:sz w:val="22"/>
          <w:szCs w:val="22"/>
        </w:rPr>
        <w:t xml:space="preserve">time domain multiplexing with PDSCH </w:t>
      </w:r>
      <w:r w:rsidRPr="00FF5E15">
        <w:rPr>
          <w:sz w:val="22"/>
          <w:szCs w:val="22"/>
        </w:rPr>
        <w:t xml:space="preserve">and EPDCCH </w:t>
      </w:r>
      <w:r w:rsidR="00F0171A" w:rsidRPr="00FF5E15">
        <w:rPr>
          <w:sz w:val="22"/>
          <w:szCs w:val="22"/>
        </w:rPr>
        <w:t>using only a few configured PRBs</w:t>
      </w:r>
      <w:r w:rsidR="003460CE" w:rsidRPr="00FF5E15">
        <w:rPr>
          <w:sz w:val="22"/>
          <w:szCs w:val="22"/>
        </w:rPr>
        <w:t xml:space="preserve"> with frequency domain multiplexing with PDSCH</w:t>
      </w:r>
      <w:r w:rsidR="00B62DC0" w:rsidRPr="00FF5E15">
        <w:rPr>
          <w:sz w:val="22"/>
          <w:szCs w:val="22"/>
        </w:rPr>
        <w:t xml:space="preserve">. </w:t>
      </w:r>
    </w:p>
    <w:p w14:paraId="67C2229C" w14:textId="62CD83FA" w:rsidR="0017059D" w:rsidRPr="00FF5E15" w:rsidRDefault="00F0171A" w:rsidP="00F912B5">
      <w:pPr>
        <w:jc w:val="both"/>
        <w:rPr>
          <w:sz w:val="22"/>
          <w:szCs w:val="22"/>
        </w:rPr>
      </w:pPr>
      <w:r w:rsidRPr="00FF5E15">
        <w:rPr>
          <w:sz w:val="22"/>
          <w:szCs w:val="22"/>
        </w:rPr>
        <w:t>As noted in our companion contribution [</w:t>
      </w:r>
      <w:r w:rsidR="00797A50" w:rsidRPr="00FF5E15">
        <w:rPr>
          <w:sz w:val="22"/>
          <w:szCs w:val="22"/>
        </w:rPr>
        <w:t>2</w:t>
      </w:r>
      <w:r w:rsidRPr="00FF5E15">
        <w:rPr>
          <w:sz w:val="22"/>
          <w:szCs w:val="22"/>
        </w:rPr>
        <w:t>]</w:t>
      </w:r>
      <w:r w:rsidR="009A258A" w:rsidRPr="00FF5E15">
        <w:rPr>
          <w:sz w:val="22"/>
          <w:szCs w:val="22"/>
        </w:rPr>
        <w:t>,</w:t>
      </w:r>
      <w:r w:rsidRPr="00FF5E15">
        <w:rPr>
          <w:sz w:val="22"/>
          <w:szCs w:val="22"/>
        </w:rPr>
        <w:t xml:space="preserve"> we believe that frequency domain multiplexing of UEs scheduled with legacy 1ms TTI and shorter TTI operation </w:t>
      </w:r>
      <w:r w:rsidR="009A258A" w:rsidRPr="00FF5E15">
        <w:rPr>
          <w:sz w:val="22"/>
          <w:szCs w:val="22"/>
        </w:rPr>
        <w:t>is required</w:t>
      </w:r>
      <w:r w:rsidRPr="00FF5E15">
        <w:rPr>
          <w:sz w:val="22"/>
          <w:szCs w:val="22"/>
        </w:rPr>
        <w:t xml:space="preserve">. </w:t>
      </w:r>
      <w:r w:rsidR="003460CE" w:rsidRPr="00FF5E15">
        <w:rPr>
          <w:sz w:val="22"/>
          <w:szCs w:val="22"/>
        </w:rPr>
        <w:t xml:space="preserve">This includes the related DL control for sTTI and therefore the EPDCCH principle of frequency domain multiplexing of data and control can be considered as a starting point for related scheduling considerations for shortened TTI operation. </w:t>
      </w:r>
      <w:r w:rsidRPr="00FF5E15">
        <w:rPr>
          <w:sz w:val="22"/>
          <w:szCs w:val="22"/>
        </w:rPr>
        <w:t xml:space="preserve">This is also shown in </w:t>
      </w:r>
      <w:r w:rsidR="0017059D" w:rsidRPr="00FF5E15">
        <w:rPr>
          <w:sz w:val="22"/>
          <w:szCs w:val="22"/>
        </w:rPr>
        <w:t xml:space="preserve">an </w:t>
      </w:r>
      <w:r w:rsidRPr="00FF5E15">
        <w:rPr>
          <w:sz w:val="22"/>
          <w:szCs w:val="22"/>
        </w:rPr>
        <w:t>example</w:t>
      </w:r>
      <w:r w:rsidR="00390055" w:rsidRPr="00FF5E15">
        <w:rPr>
          <w:sz w:val="22"/>
          <w:szCs w:val="22"/>
        </w:rPr>
        <w:t xml:space="preserve"> illustrated in </w:t>
      </w:r>
      <w:r w:rsidR="00390055" w:rsidRPr="00FF5E15">
        <w:rPr>
          <w:sz w:val="22"/>
          <w:szCs w:val="22"/>
        </w:rPr>
        <w:fldChar w:fldCharType="begin"/>
      </w:r>
      <w:r w:rsidR="00390055" w:rsidRPr="00FF5E15">
        <w:rPr>
          <w:sz w:val="22"/>
          <w:szCs w:val="22"/>
        </w:rPr>
        <w:instrText xml:space="preserve"> REF _Ref441574527 \h </w:instrText>
      </w:r>
      <w:r w:rsidR="0017059D" w:rsidRPr="00FF5E15">
        <w:rPr>
          <w:sz w:val="22"/>
          <w:szCs w:val="22"/>
        </w:rPr>
        <w:instrText xml:space="preserve"> \* MERGEFORMAT </w:instrText>
      </w:r>
      <w:r w:rsidR="00390055" w:rsidRPr="00FF5E15">
        <w:rPr>
          <w:sz w:val="22"/>
          <w:szCs w:val="22"/>
        </w:rPr>
      </w:r>
      <w:r w:rsidR="00390055" w:rsidRPr="00FF5E15">
        <w:rPr>
          <w:sz w:val="22"/>
          <w:szCs w:val="22"/>
        </w:rPr>
        <w:fldChar w:fldCharType="separate"/>
      </w:r>
      <w:r w:rsidR="00390055" w:rsidRPr="00FF5E15">
        <w:rPr>
          <w:sz w:val="22"/>
          <w:szCs w:val="22"/>
        </w:rPr>
        <w:t>Figure 1</w:t>
      </w:r>
      <w:r w:rsidR="00390055" w:rsidRPr="00FF5E15">
        <w:rPr>
          <w:sz w:val="22"/>
          <w:szCs w:val="22"/>
        </w:rPr>
        <w:fldChar w:fldCharType="end"/>
      </w:r>
      <w:r w:rsidRPr="00FF5E15">
        <w:rPr>
          <w:sz w:val="22"/>
          <w:szCs w:val="22"/>
        </w:rPr>
        <w:t xml:space="preserve">, </w:t>
      </w:r>
      <w:r w:rsidR="00560D76" w:rsidRPr="00FF5E15">
        <w:rPr>
          <w:sz w:val="22"/>
          <w:szCs w:val="22"/>
        </w:rPr>
        <w:t>where the</w:t>
      </w:r>
      <w:r w:rsidR="00F912B5" w:rsidRPr="00FF5E15">
        <w:rPr>
          <w:sz w:val="22"/>
          <w:szCs w:val="22"/>
        </w:rPr>
        <w:t xml:space="preserve"> legacy 1ms </w:t>
      </w:r>
      <w:r w:rsidRPr="00FF5E15">
        <w:rPr>
          <w:sz w:val="22"/>
          <w:szCs w:val="22"/>
        </w:rPr>
        <w:t xml:space="preserve">DL </w:t>
      </w:r>
      <w:r w:rsidR="00F912B5" w:rsidRPr="00FF5E15">
        <w:rPr>
          <w:sz w:val="22"/>
          <w:szCs w:val="22"/>
        </w:rPr>
        <w:t xml:space="preserve">TTI is divided into two shorter TTIs </w:t>
      </w:r>
      <w:r w:rsidRPr="00FF5E15">
        <w:rPr>
          <w:sz w:val="22"/>
          <w:szCs w:val="22"/>
        </w:rPr>
        <w:t>and FDM of legacy 1ms TTI PDSCH/</w:t>
      </w:r>
      <w:r w:rsidR="0017059D" w:rsidRPr="00FF5E15">
        <w:rPr>
          <w:sz w:val="22"/>
          <w:szCs w:val="22"/>
        </w:rPr>
        <w:t>(</w:t>
      </w:r>
      <w:r w:rsidRPr="00FF5E15">
        <w:rPr>
          <w:sz w:val="22"/>
          <w:szCs w:val="22"/>
        </w:rPr>
        <w:t>E</w:t>
      </w:r>
      <w:r w:rsidR="0017059D" w:rsidRPr="00FF5E15">
        <w:rPr>
          <w:sz w:val="22"/>
          <w:szCs w:val="22"/>
        </w:rPr>
        <w:t>)</w:t>
      </w:r>
      <w:r w:rsidRPr="00FF5E15">
        <w:rPr>
          <w:sz w:val="22"/>
          <w:szCs w:val="22"/>
        </w:rPr>
        <w:t>PDCCH and sTTI containing sPDSCH/s</w:t>
      </w:r>
      <w:r w:rsidR="0017059D" w:rsidRPr="00FF5E15">
        <w:rPr>
          <w:sz w:val="22"/>
          <w:szCs w:val="22"/>
        </w:rPr>
        <w:t>(</w:t>
      </w:r>
      <w:r w:rsidRPr="00FF5E15">
        <w:rPr>
          <w:sz w:val="22"/>
          <w:szCs w:val="22"/>
        </w:rPr>
        <w:t>E</w:t>
      </w:r>
      <w:r w:rsidR="0017059D" w:rsidRPr="00FF5E15">
        <w:rPr>
          <w:sz w:val="22"/>
          <w:szCs w:val="22"/>
        </w:rPr>
        <w:t>)</w:t>
      </w:r>
      <w:r w:rsidRPr="00FF5E15">
        <w:rPr>
          <w:sz w:val="22"/>
          <w:szCs w:val="22"/>
        </w:rPr>
        <w:t>PDCCH</w:t>
      </w:r>
      <w:r w:rsidR="00F912B5" w:rsidRPr="00FF5E15">
        <w:rPr>
          <w:sz w:val="22"/>
          <w:szCs w:val="22"/>
        </w:rPr>
        <w:t xml:space="preserve">. In the </w:t>
      </w:r>
      <w:r w:rsidRPr="00FF5E15">
        <w:rPr>
          <w:sz w:val="22"/>
          <w:szCs w:val="22"/>
        </w:rPr>
        <w:t xml:space="preserve">first </w:t>
      </w:r>
      <w:r w:rsidR="00F912B5" w:rsidRPr="00FF5E15">
        <w:rPr>
          <w:sz w:val="22"/>
          <w:szCs w:val="22"/>
        </w:rPr>
        <w:t>slot, the sTTI UE c</w:t>
      </w:r>
      <w:r w:rsidR="0017059D" w:rsidRPr="00FF5E15">
        <w:rPr>
          <w:sz w:val="22"/>
          <w:szCs w:val="22"/>
        </w:rPr>
        <w:t>ould</w:t>
      </w:r>
      <w:r w:rsidR="00F912B5" w:rsidRPr="00FF5E15">
        <w:rPr>
          <w:sz w:val="22"/>
          <w:szCs w:val="22"/>
        </w:rPr>
        <w:t xml:space="preserve"> take advantage of the legacy PDCCH region to schedule the shortened PDSCH (denoted with </w:t>
      </w:r>
      <w:r w:rsidRPr="00FF5E15">
        <w:rPr>
          <w:sz w:val="22"/>
          <w:szCs w:val="22"/>
        </w:rPr>
        <w:t>s</w:t>
      </w:r>
      <w:r w:rsidR="00F912B5" w:rsidRPr="00FF5E15">
        <w:rPr>
          <w:sz w:val="22"/>
          <w:szCs w:val="22"/>
        </w:rPr>
        <w:t>PDSCH)</w:t>
      </w:r>
      <w:r w:rsidR="0017059D" w:rsidRPr="00FF5E15">
        <w:rPr>
          <w:sz w:val="22"/>
          <w:szCs w:val="22"/>
        </w:rPr>
        <w:t xml:space="preserve"> in order to avoid additional control channel overhead for sTTI operation in the first slot</w:t>
      </w:r>
      <w:r w:rsidR="00F912B5" w:rsidRPr="00FF5E15">
        <w:rPr>
          <w:sz w:val="22"/>
          <w:szCs w:val="22"/>
        </w:rPr>
        <w:t xml:space="preserve">. And when it comes to the </w:t>
      </w:r>
      <w:r w:rsidRPr="00FF5E15">
        <w:rPr>
          <w:sz w:val="22"/>
          <w:szCs w:val="22"/>
        </w:rPr>
        <w:t xml:space="preserve">second </w:t>
      </w:r>
      <w:r w:rsidR="00F912B5" w:rsidRPr="00FF5E15">
        <w:rPr>
          <w:sz w:val="22"/>
          <w:szCs w:val="22"/>
        </w:rPr>
        <w:t xml:space="preserve">slot, a shortened </w:t>
      </w:r>
      <w:r w:rsidR="005437B3" w:rsidRPr="00FF5E15">
        <w:rPr>
          <w:sz w:val="22"/>
          <w:szCs w:val="22"/>
        </w:rPr>
        <w:t>s</w:t>
      </w:r>
      <w:r w:rsidR="0017059D" w:rsidRPr="00FF5E15">
        <w:rPr>
          <w:sz w:val="22"/>
          <w:szCs w:val="22"/>
        </w:rPr>
        <w:t>(</w:t>
      </w:r>
      <w:r w:rsidR="00F912B5" w:rsidRPr="00FF5E15">
        <w:rPr>
          <w:sz w:val="22"/>
          <w:szCs w:val="22"/>
        </w:rPr>
        <w:t>E</w:t>
      </w:r>
      <w:r w:rsidR="0017059D" w:rsidRPr="00FF5E15">
        <w:rPr>
          <w:sz w:val="22"/>
          <w:szCs w:val="22"/>
        </w:rPr>
        <w:t>)</w:t>
      </w:r>
      <w:r w:rsidR="00F912B5" w:rsidRPr="00FF5E15">
        <w:rPr>
          <w:sz w:val="22"/>
          <w:szCs w:val="22"/>
        </w:rPr>
        <w:t>PDCCH could be utilized in order to schedule the shortened PDSCH in the second slot</w:t>
      </w:r>
      <w:r w:rsidR="00985718" w:rsidRPr="00FF5E15">
        <w:rPr>
          <w:sz w:val="22"/>
          <w:szCs w:val="22"/>
        </w:rPr>
        <w:t xml:space="preserve">. </w:t>
      </w:r>
    </w:p>
    <w:p w14:paraId="707166A8" w14:textId="497C2415" w:rsidR="002951A5" w:rsidRPr="00FF5E15" w:rsidRDefault="002951A5" w:rsidP="002951A5">
      <w:pPr>
        <w:jc w:val="both"/>
        <w:rPr>
          <w:sz w:val="22"/>
          <w:szCs w:val="22"/>
        </w:rPr>
      </w:pPr>
      <w:r w:rsidRPr="00FF5E15">
        <w:rPr>
          <w:sz w:val="22"/>
          <w:szCs w:val="22"/>
        </w:rPr>
        <w:br/>
      </w:r>
      <w:r w:rsidRPr="00FF5E15">
        <w:rPr>
          <w:sz w:val="22"/>
          <w:szCs w:val="22"/>
        </w:rPr>
        <w:br w:type="page"/>
      </w:r>
    </w:p>
    <w:p w14:paraId="7347B9F1" w14:textId="77777777" w:rsidR="002951A5" w:rsidRPr="00FF5E15" w:rsidRDefault="002951A5" w:rsidP="002951A5">
      <w:pPr>
        <w:keepNext/>
        <w:jc w:val="center"/>
      </w:pPr>
      <w:r w:rsidRPr="00FF5E15">
        <w:rPr>
          <w:noProof/>
        </w:rPr>
        <w:lastRenderedPageBreak/>
        <w:drawing>
          <wp:inline distT="0" distB="0" distL="0" distR="0" wp14:anchorId="450C1E3C" wp14:editId="7B4F9F28">
            <wp:extent cx="3026224" cy="333484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6931" cy="3346641"/>
                    </a:xfrm>
                    <a:prstGeom prst="rect">
                      <a:avLst/>
                    </a:prstGeom>
                  </pic:spPr>
                </pic:pic>
              </a:graphicData>
            </a:graphic>
          </wp:inline>
        </w:drawing>
      </w:r>
    </w:p>
    <w:p w14:paraId="21B55860" w14:textId="7D27D04D" w:rsidR="002951A5" w:rsidRPr="00FF5E15" w:rsidRDefault="002951A5" w:rsidP="002951A5">
      <w:pPr>
        <w:pStyle w:val="Caption"/>
        <w:jc w:val="center"/>
        <w:rPr>
          <w:color w:val="000000"/>
          <w:sz w:val="22"/>
          <w:szCs w:val="22"/>
        </w:rPr>
      </w:pPr>
      <w:bookmarkStart w:id="1" w:name="_Ref441574527"/>
      <w:r w:rsidRPr="006F18C8">
        <w:rPr>
          <w:color w:val="000000"/>
          <w:sz w:val="22"/>
          <w:szCs w:val="22"/>
        </w:rPr>
        <w:t xml:space="preserve">Figure </w:t>
      </w:r>
      <w:r w:rsidRPr="006F18C8">
        <w:rPr>
          <w:color w:val="000000"/>
          <w:sz w:val="22"/>
          <w:szCs w:val="22"/>
        </w:rPr>
        <w:fldChar w:fldCharType="begin"/>
      </w:r>
      <w:r w:rsidRPr="006F18C8">
        <w:rPr>
          <w:color w:val="000000"/>
          <w:sz w:val="22"/>
          <w:szCs w:val="22"/>
        </w:rPr>
        <w:instrText xml:space="preserve"> SEQ Figure \* ARABIC </w:instrText>
      </w:r>
      <w:r w:rsidRPr="006F18C8">
        <w:rPr>
          <w:color w:val="000000"/>
          <w:sz w:val="22"/>
          <w:szCs w:val="22"/>
        </w:rPr>
        <w:fldChar w:fldCharType="separate"/>
      </w:r>
      <w:r w:rsidRPr="006F18C8">
        <w:rPr>
          <w:color w:val="000000"/>
          <w:sz w:val="22"/>
          <w:szCs w:val="22"/>
        </w:rPr>
        <w:t>1</w:t>
      </w:r>
      <w:r w:rsidRPr="006F18C8">
        <w:rPr>
          <w:color w:val="000000"/>
          <w:sz w:val="22"/>
          <w:szCs w:val="22"/>
        </w:rPr>
        <w:fldChar w:fldCharType="end"/>
      </w:r>
      <w:bookmarkEnd w:id="1"/>
      <w:r w:rsidR="006F18C8">
        <w:rPr>
          <w:color w:val="000000"/>
          <w:sz w:val="22"/>
          <w:szCs w:val="22"/>
        </w:rPr>
        <w:t xml:space="preserve">: </w:t>
      </w:r>
      <w:r w:rsidRPr="00FF5E15">
        <w:rPr>
          <w:color w:val="000000"/>
          <w:sz w:val="22"/>
          <w:szCs w:val="22"/>
        </w:rPr>
        <w:t>Illustration of sEPDCCH, sPDCCH and sPDSCH in slot sTTI</w:t>
      </w:r>
    </w:p>
    <w:p w14:paraId="44B5864A" w14:textId="6899D446" w:rsidR="00E1649F" w:rsidRPr="00FF5E15" w:rsidRDefault="0017059D" w:rsidP="008D18F4">
      <w:pPr>
        <w:jc w:val="both"/>
        <w:rPr>
          <w:sz w:val="22"/>
          <w:szCs w:val="22"/>
        </w:rPr>
      </w:pPr>
      <w:r w:rsidRPr="00FF5E15">
        <w:rPr>
          <w:sz w:val="22"/>
          <w:szCs w:val="22"/>
        </w:rPr>
        <w:t>Two alternatives for some shortened DL control channel are sketched in Figure 1</w:t>
      </w:r>
      <w:r w:rsidR="004C4FB3" w:rsidRPr="00FF5E15">
        <w:rPr>
          <w:sz w:val="22"/>
          <w:szCs w:val="22"/>
        </w:rPr>
        <w:t>:</w:t>
      </w:r>
      <w:r w:rsidRPr="00FF5E15">
        <w:rPr>
          <w:sz w:val="22"/>
          <w:szCs w:val="22"/>
        </w:rPr>
        <w:t xml:space="preserve"> </w:t>
      </w:r>
      <w:r w:rsidR="004C4FB3" w:rsidRPr="00FF5E15">
        <w:rPr>
          <w:sz w:val="22"/>
          <w:szCs w:val="22"/>
        </w:rPr>
        <w:t xml:space="preserve">1) </w:t>
      </w:r>
      <w:r w:rsidRPr="00FF5E15">
        <w:rPr>
          <w:sz w:val="22"/>
          <w:szCs w:val="22"/>
        </w:rPr>
        <w:t>shortened PDCCH type (sPDCCH)</w:t>
      </w:r>
      <w:r w:rsidR="004C4FB3" w:rsidRPr="00FF5E15">
        <w:rPr>
          <w:sz w:val="22"/>
          <w:szCs w:val="22"/>
        </w:rPr>
        <w:t xml:space="preserve">, </w:t>
      </w:r>
      <w:r w:rsidRPr="00FF5E15">
        <w:rPr>
          <w:sz w:val="22"/>
          <w:szCs w:val="22"/>
        </w:rPr>
        <w:t xml:space="preserve">and </w:t>
      </w:r>
      <w:r w:rsidR="004C4FB3" w:rsidRPr="00FF5E15">
        <w:rPr>
          <w:sz w:val="22"/>
          <w:szCs w:val="22"/>
        </w:rPr>
        <w:t xml:space="preserve">2) </w:t>
      </w:r>
      <w:r w:rsidRPr="00FF5E15">
        <w:rPr>
          <w:sz w:val="22"/>
          <w:szCs w:val="22"/>
        </w:rPr>
        <w:t xml:space="preserve">shortened EPDCCH type (sEPDCCH). </w:t>
      </w:r>
      <w:r w:rsidR="0039399E" w:rsidRPr="00FF5E15">
        <w:rPr>
          <w:sz w:val="22"/>
          <w:szCs w:val="22"/>
        </w:rPr>
        <w:t>PD</w:t>
      </w:r>
      <w:r w:rsidR="00F0171A" w:rsidRPr="00FF5E15">
        <w:rPr>
          <w:sz w:val="22"/>
          <w:szCs w:val="22"/>
        </w:rPr>
        <w:t>CCH by definition utilize</w:t>
      </w:r>
      <w:r w:rsidR="00451EC4" w:rsidRPr="00FF5E15">
        <w:rPr>
          <w:sz w:val="22"/>
          <w:szCs w:val="22"/>
        </w:rPr>
        <w:t>s</w:t>
      </w:r>
      <w:r w:rsidR="00F0171A" w:rsidRPr="00FF5E15">
        <w:rPr>
          <w:sz w:val="22"/>
          <w:szCs w:val="22"/>
        </w:rPr>
        <w:t xml:space="preserve"> the full channel bandwidth </w:t>
      </w:r>
      <w:r w:rsidRPr="00FF5E15">
        <w:rPr>
          <w:sz w:val="22"/>
          <w:szCs w:val="22"/>
        </w:rPr>
        <w:t xml:space="preserve">of a legacy LTE carrier and TDM multiplexing is used between control &amp; data. The same principle could be used also for </w:t>
      </w:r>
      <w:r w:rsidR="00451EC4" w:rsidRPr="00FF5E15">
        <w:rPr>
          <w:sz w:val="22"/>
          <w:szCs w:val="22"/>
        </w:rPr>
        <w:t xml:space="preserve">sPDCCH </w:t>
      </w:r>
      <w:r w:rsidRPr="00FF5E15">
        <w:rPr>
          <w:sz w:val="22"/>
          <w:szCs w:val="22"/>
        </w:rPr>
        <w:t xml:space="preserve">where some wider band short DL control region is time multiplexed with sPDSCH but at the same time </w:t>
      </w:r>
      <w:r w:rsidR="004C4FB3" w:rsidRPr="00FF5E15">
        <w:rPr>
          <w:sz w:val="22"/>
          <w:szCs w:val="22"/>
        </w:rPr>
        <w:t>frequency multiplexed</w:t>
      </w:r>
      <w:r w:rsidRPr="00FF5E15">
        <w:rPr>
          <w:sz w:val="22"/>
          <w:szCs w:val="22"/>
        </w:rPr>
        <w:t xml:space="preserve"> with legacy </w:t>
      </w:r>
      <w:r w:rsidR="009A258A" w:rsidRPr="00FF5E15">
        <w:rPr>
          <w:sz w:val="22"/>
          <w:szCs w:val="22"/>
        </w:rPr>
        <w:t>PDSCH &amp; EPDCCH</w:t>
      </w:r>
      <w:r w:rsidR="00451EC4" w:rsidRPr="00FF5E15">
        <w:rPr>
          <w:sz w:val="22"/>
          <w:szCs w:val="22"/>
        </w:rPr>
        <w:t>,</w:t>
      </w:r>
      <w:r w:rsidR="00F0171A" w:rsidRPr="00FF5E15">
        <w:rPr>
          <w:sz w:val="22"/>
          <w:szCs w:val="22"/>
        </w:rPr>
        <w:t xml:space="preserve"> as </w:t>
      </w:r>
      <w:r w:rsidR="00451EC4" w:rsidRPr="00FF5E15">
        <w:rPr>
          <w:sz w:val="22"/>
          <w:szCs w:val="22"/>
        </w:rPr>
        <w:t>illustrated in</w:t>
      </w:r>
      <w:r w:rsidR="004966D1" w:rsidRPr="00FF5E15">
        <w:rPr>
          <w:sz w:val="22"/>
          <w:szCs w:val="22"/>
        </w:rPr>
        <w:t xml:space="preserve"> </w:t>
      </w:r>
      <w:r w:rsidR="004966D1" w:rsidRPr="00FF5E15">
        <w:rPr>
          <w:sz w:val="22"/>
          <w:szCs w:val="22"/>
        </w:rPr>
        <w:fldChar w:fldCharType="begin"/>
      </w:r>
      <w:r w:rsidR="004966D1" w:rsidRPr="00FF5E15">
        <w:rPr>
          <w:sz w:val="22"/>
          <w:szCs w:val="22"/>
        </w:rPr>
        <w:instrText xml:space="preserve"> REF _Ref441574527 \h </w:instrText>
      </w:r>
      <w:r w:rsidRPr="00FF5E15">
        <w:rPr>
          <w:sz w:val="22"/>
          <w:szCs w:val="22"/>
        </w:rPr>
        <w:instrText xml:space="preserve"> \* MERGEFORMAT </w:instrText>
      </w:r>
      <w:r w:rsidR="004966D1" w:rsidRPr="00FF5E15">
        <w:rPr>
          <w:sz w:val="22"/>
          <w:szCs w:val="22"/>
        </w:rPr>
      </w:r>
      <w:r w:rsidR="004966D1" w:rsidRPr="00FF5E15">
        <w:rPr>
          <w:sz w:val="22"/>
          <w:szCs w:val="22"/>
        </w:rPr>
        <w:fldChar w:fldCharType="separate"/>
      </w:r>
      <w:r w:rsidR="004966D1" w:rsidRPr="00FF5E15">
        <w:rPr>
          <w:sz w:val="22"/>
          <w:szCs w:val="22"/>
        </w:rPr>
        <w:t>Figure 1</w:t>
      </w:r>
      <w:r w:rsidR="004966D1" w:rsidRPr="00FF5E15">
        <w:rPr>
          <w:sz w:val="22"/>
          <w:szCs w:val="22"/>
        </w:rPr>
        <w:fldChar w:fldCharType="end"/>
      </w:r>
      <w:r w:rsidR="00F912B5" w:rsidRPr="00FF5E15">
        <w:rPr>
          <w:sz w:val="22"/>
          <w:szCs w:val="22"/>
        </w:rPr>
        <w:t>.</w:t>
      </w:r>
      <w:r w:rsidR="005437B3" w:rsidRPr="00FF5E15">
        <w:rPr>
          <w:sz w:val="22"/>
          <w:szCs w:val="22"/>
        </w:rPr>
        <w:t xml:space="preserve"> </w:t>
      </w:r>
      <w:r w:rsidRPr="00FF5E15">
        <w:rPr>
          <w:sz w:val="22"/>
          <w:szCs w:val="22"/>
        </w:rPr>
        <w:t xml:space="preserve">In contrast to </w:t>
      </w:r>
      <w:r w:rsidR="009A258A" w:rsidRPr="00FF5E15">
        <w:rPr>
          <w:sz w:val="22"/>
          <w:szCs w:val="22"/>
        </w:rPr>
        <w:t xml:space="preserve">legacy </w:t>
      </w:r>
      <w:r w:rsidRPr="00FF5E15">
        <w:rPr>
          <w:sz w:val="22"/>
          <w:szCs w:val="22"/>
        </w:rPr>
        <w:t xml:space="preserve">PDCCH operation, a restricted amount of frequency domain resources need to be configured </w:t>
      </w:r>
      <w:r w:rsidR="009A258A" w:rsidRPr="00FF5E15">
        <w:rPr>
          <w:sz w:val="22"/>
          <w:szCs w:val="22"/>
        </w:rPr>
        <w:t xml:space="preserve">for sPDCCH </w:t>
      </w:r>
      <w:r w:rsidRPr="00FF5E15">
        <w:rPr>
          <w:sz w:val="22"/>
          <w:szCs w:val="22"/>
        </w:rPr>
        <w:t>for the UE similar</w:t>
      </w:r>
      <w:r w:rsidR="004C4FB3" w:rsidRPr="00FF5E15">
        <w:rPr>
          <w:sz w:val="22"/>
          <w:szCs w:val="22"/>
        </w:rPr>
        <w:t>ly</w:t>
      </w:r>
      <w:r w:rsidRPr="00FF5E15">
        <w:rPr>
          <w:sz w:val="22"/>
          <w:szCs w:val="22"/>
        </w:rPr>
        <w:t xml:space="preserve"> as for legacy EPDCCH</w:t>
      </w:r>
      <w:r w:rsidR="004C4FB3" w:rsidRPr="00FF5E15">
        <w:rPr>
          <w:sz w:val="22"/>
          <w:szCs w:val="22"/>
        </w:rPr>
        <w:t>,</w:t>
      </w:r>
      <w:r w:rsidRPr="00FF5E15">
        <w:rPr>
          <w:sz w:val="22"/>
          <w:szCs w:val="22"/>
        </w:rPr>
        <w:t xml:space="preserve"> </w:t>
      </w:r>
      <w:r w:rsidR="004C4FB3" w:rsidRPr="00FF5E15">
        <w:rPr>
          <w:sz w:val="22"/>
          <w:szCs w:val="22"/>
        </w:rPr>
        <w:t>because</w:t>
      </w:r>
      <w:r w:rsidRPr="00FF5E15">
        <w:rPr>
          <w:sz w:val="22"/>
          <w:szCs w:val="22"/>
        </w:rPr>
        <w:t xml:space="preserve"> full carrier bandwidth transmission of sPDCCH would not be compatible with the legacy co-</w:t>
      </w:r>
      <w:r w:rsidR="00F02A91" w:rsidRPr="00FF5E15">
        <w:rPr>
          <w:sz w:val="22"/>
          <w:szCs w:val="22"/>
        </w:rPr>
        <w:t>existence</w:t>
      </w:r>
      <w:r w:rsidRPr="00FF5E15">
        <w:rPr>
          <w:sz w:val="22"/>
          <w:szCs w:val="22"/>
        </w:rPr>
        <w:t xml:space="preserve"> requirement. The length of the sPDCCH region (in number of OFDM symbols) could be similarly configured in case some </w:t>
      </w:r>
      <w:r w:rsidR="00E1649F" w:rsidRPr="00FF5E15">
        <w:rPr>
          <w:sz w:val="22"/>
          <w:szCs w:val="22"/>
        </w:rPr>
        <w:t>s</w:t>
      </w:r>
      <w:r w:rsidRPr="00FF5E15">
        <w:rPr>
          <w:sz w:val="22"/>
          <w:szCs w:val="22"/>
        </w:rPr>
        <w:t>PCFICH for</w:t>
      </w:r>
      <w:r w:rsidR="00E1649F" w:rsidRPr="00FF5E15">
        <w:rPr>
          <w:sz w:val="22"/>
          <w:szCs w:val="22"/>
        </w:rPr>
        <w:t xml:space="preserve"> sPDCCH would not be specified.</w:t>
      </w:r>
      <w:r w:rsidR="0039399E" w:rsidRPr="00FF5E15">
        <w:rPr>
          <w:sz w:val="22"/>
          <w:szCs w:val="22"/>
        </w:rPr>
        <w:t xml:space="preserve"> Unlike for sPDCCH, f</w:t>
      </w:r>
      <w:r w:rsidR="00E1649F" w:rsidRPr="00FF5E15">
        <w:rPr>
          <w:sz w:val="22"/>
          <w:szCs w:val="22"/>
        </w:rPr>
        <w:t>or sEPDCCH there is a full frequency domain multiplexing with legacy EPDCCH, PDSCH and sPDSCH operation envisioned (i.e. no mix of TDM and FDM as in case of sPDCCH)</w:t>
      </w:r>
      <w:r w:rsidR="0039399E" w:rsidRPr="00FF5E15">
        <w:rPr>
          <w:sz w:val="22"/>
          <w:szCs w:val="22"/>
        </w:rPr>
        <w:t>,</w:t>
      </w:r>
      <w:r w:rsidR="00E1649F" w:rsidRPr="00FF5E15">
        <w:rPr>
          <w:sz w:val="22"/>
          <w:szCs w:val="22"/>
        </w:rPr>
        <w:t xml:space="preserve"> and the configuration principles of EPDCCH sets could be directly reused also for the sEPDCCH. </w:t>
      </w:r>
    </w:p>
    <w:p w14:paraId="0052165B" w14:textId="61BD552B" w:rsidR="00A06445" w:rsidRPr="00FF5E15" w:rsidRDefault="0099253F" w:rsidP="00F912B5">
      <w:pPr>
        <w:jc w:val="both"/>
        <w:rPr>
          <w:sz w:val="22"/>
          <w:szCs w:val="22"/>
        </w:rPr>
      </w:pPr>
      <w:r w:rsidRPr="00FF5E15">
        <w:rPr>
          <w:sz w:val="22"/>
          <w:szCs w:val="22"/>
        </w:rPr>
        <w:t>Looking</w:t>
      </w:r>
      <w:r w:rsidR="00A62953" w:rsidRPr="00FF5E15">
        <w:rPr>
          <w:sz w:val="22"/>
          <w:szCs w:val="22"/>
        </w:rPr>
        <w:t xml:space="preserve"> at the amount of needed resources</w:t>
      </w:r>
      <w:r w:rsidRPr="00FF5E15">
        <w:rPr>
          <w:sz w:val="22"/>
          <w:szCs w:val="22"/>
        </w:rPr>
        <w:t xml:space="preserve"> for sTTI operation</w:t>
      </w:r>
      <w:r w:rsidR="00A62953" w:rsidRPr="00FF5E15">
        <w:rPr>
          <w:sz w:val="22"/>
          <w:szCs w:val="22"/>
        </w:rPr>
        <w:t xml:space="preserve"> compared to legacy </w:t>
      </w:r>
      <w:r w:rsidRPr="00FF5E15">
        <w:rPr>
          <w:sz w:val="22"/>
          <w:szCs w:val="22"/>
        </w:rPr>
        <w:t>operation,</w:t>
      </w:r>
      <w:r w:rsidR="00A62953" w:rsidRPr="00FF5E15">
        <w:rPr>
          <w:sz w:val="22"/>
          <w:szCs w:val="22"/>
        </w:rPr>
        <w:t xml:space="preserve"> sPDCCH </w:t>
      </w:r>
      <w:r w:rsidRPr="00FF5E15">
        <w:rPr>
          <w:sz w:val="22"/>
          <w:szCs w:val="22"/>
        </w:rPr>
        <w:t>will</w:t>
      </w:r>
      <w:r w:rsidR="00A62953" w:rsidRPr="00FF5E15">
        <w:rPr>
          <w:sz w:val="22"/>
          <w:szCs w:val="22"/>
        </w:rPr>
        <w:t xml:space="preserve"> require more symbols in time domain than legacy PDCCH</w:t>
      </w:r>
      <w:r w:rsidRPr="00FF5E15">
        <w:rPr>
          <w:sz w:val="22"/>
          <w:szCs w:val="22"/>
        </w:rPr>
        <w:t xml:space="preserve"> to provide same control capacity. This is being a consequence of </w:t>
      </w:r>
      <w:r w:rsidR="00AE6A2B" w:rsidRPr="00FF5E15">
        <w:rPr>
          <w:sz w:val="22"/>
          <w:szCs w:val="22"/>
        </w:rPr>
        <w:t xml:space="preserve">the </w:t>
      </w:r>
      <w:r w:rsidR="00A62953" w:rsidRPr="00FF5E15">
        <w:rPr>
          <w:sz w:val="22"/>
          <w:szCs w:val="22"/>
        </w:rPr>
        <w:t>smaller bandwidth of sPDCCH. Similarly, more PRBs will be needed for an sEPDCCH set compared to legacy EPDCCH set due to the reduced number of</w:t>
      </w:r>
      <w:r w:rsidR="00077E3D">
        <w:rPr>
          <w:sz w:val="22"/>
          <w:szCs w:val="22"/>
        </w:rPr>
        <w:t xml:space="preserve"> OFDM symbols available for sEPD</w:t>
      </w:r>
      <w:r w:rsidR="00A62953" w:rsidRPr="00FF5E15">
        <w:rPr>
          <w:sz w:val="22"/>
          <w:szCs w:val="22"/>
        </w:rPr>
        <w:t xml:space="preserve">CCH. </w:t>
      </w:r>
      <w:r w:rsidR="00A62953" w:rsidRPr="00FF5E15">
        <w:rPr>
          <w:sz w:val="22"/>
          <w:szCs w:val="22"/>
        </w:rPr>
        <w:br/>
        <w:t xml:space="preserve">The main difference between sPDCCH and sEPDCCH comes into play when considering the coexistence with legacy operation. The needed bandwidth to accommodate sPDCCH compared to </w:t>
      </w:r>
      <w:r w:rsidR="00A06445" w:rsidRPr="00FF5E15">
        <w:rPr>
          <w:sz w:val="22"/>
          <w:szCs w:val="22"/>
        </w:rPr>
        <w:t>sEPDCCH for the same control channel resources is larger (due to the TDM operation, as also shown in Figure 1), which will clearly limit the FDM multiplexing capabilities for sPDCCH (larger bandwidth to be FDMed with legacy) compared to sEP</w:t>
      </w:r>
      <w:r w:rsidR="006F18C8">
        <w:rPr>
          <w:sz w:val="22"/>
          <w:szCs w:val="22"/>
        </w:rPr>
        <w:t>D</w:t>
      </w:r>
      <w:r w:rsidR="00A06445" w:rsidRPr="00FF5E15">
        <w:rPr>
          <w:sz w:val="22"/>
          <w:szCs w:val="22"/>
        </w:rPr>
        <w:t xml:space="preserve">CCH. Therefore, sEPDCCH type of control channel resource allocation in this respect seems to be the better design option considering flexible resource utilization between legacy TTI and sTTI operation. This becomes even more prominent when considering the option to </w:t>
      </w:r>
      <w:r w:rsidR="00366AE9" w:rsidRPr="00FF5E15">
        <w:rPr>
          <w:sz w:val="22"/>
          <w:szCs w:val="22"/>
        </w:rPr>
        <w:t>configure</w:t>
      </w:r>
      <w:r w:rsidR="00A06445" w:rsidRPr="00FF5E15">
        <w:rPr>
          <w:sz w:val="22"/>
          <w:szCs w:val="22"/>
        </w:rPr>
        <w:t xml:space="preserve"> more than one EPDCCH set </w:t>
      </w:r>
      <w:r w:rsidR="00D912E4" w:rsidRPr="00FF5E15">
        <w:rPr>
          <w:sz w:val="22"/>
          <w:szCs w:val="22"/>
        </w:rPr>
        <w:t>(an</w:t>
      </w:r>
      <w:r w:rsidR="00366AE9" w:rsidRPr="00FF5E15">
        <w:rPr>
          <w:sz w:val="22"/>
          <w:szCs w:val="22"/>
        </w:rPr>
        <w:t xml:space="preserve">d several different sEPDCCH sets for different UEs) </w:t>
      </w:r>
      <w:r w:rsidR="00A06445" w:rsidRPr="00FF5E15">
        <w:rPr>
          <w:sz w:val="22"/>
          <w:szCs w:val="22"/>
        </w:rPr>
        <w:t>compared to a single wideband sPDCCH.</w:t>
      </w:r>
    </w:p>
    <w:p w14:paraId="6C7D7D46" w14:textId="3DFD75DF" w:rsidR="00DB0736" w:rsidRPr="00FF5E15" w:rsidRDefault="00DB0736" w:rsidP="00F912B5">
      <w:pPr>
        <w:jc w:val="both"/>
        <w:rPr>
          <w:sz w:val="22"/>
          <w:szCs w:val="22"/>
        </w:rPr>
      </w:pPr>
      <w:r w:rsidRPr="00FF5E15">
        <w:rPr>
          <w:b/>
          <w:i/>
          <w:sz w:val="22"/>
          <w:szCs w:val="22"/>
        </w:rPr>
        <w:t>Observation</w:t>
      </w:r>
      <w:r w:rsidR="003A5A79" w:rsidRPr="00FF5E15">
        <w:rPr>
          <w:b/>
          <w:i/>
          <w:sz w:val="22"/>
          <w:szCs w:val="22"/>
        </w:rPr>
        <w:t>-1</w:t>
      </w:r>
      <w:r w:rsidRPr="00FF5E15">
        <w:rPr>
          <w:b/>
          <w:i/>
          <w:sz w:val="22"/>
          <w:szCs w:val="22"/>
        </w:rPr>
        <w:t xml:space="preserve">: sEPDCCH provides more flexibility for FDM with legacy users </w:t>
      </w:r>
      <w:r w:rsidR="001B0BE2" w:rsidRPr="00FF5E15">
        <w:rPr>
          <w:b/>
          <w:i/>
          <w:sz w:val="22"/>
          <w:szCs w:val="22"/>
        </w:rPr>
        <w:t>compared to</w:t>
      </w:r>
      <w:r w:rsidRPr="00FF5E15">
        <w:rPr>
          <w:b/>
          <w:i/>
          <w:sz w:val="22"/>
          <w:szCs w:val="22"/>
        </w:rPr>
        <w:t xml:space="preserve"> sPDCCH</w:t>
      </w:r>
      <w:r w:rsidR="00AE6A2B" w:rsidRPr="00FF5E15">
        <w:rPr>
          <w:b/>
          <w:i/>
          <w:sz w:val="22"/>
          <w:szCs w:val="22"/>
        </w:rPr>
        <w:t>.</w:t>
      </w:r>
    </w:p>
    <w:p w14:paraId="6D1ECEC4" w14:textId="3899CBC6" w:rsidR="00A06445" w:rsidRPr="00FF5E15" w:rsidRDefault="00A06445" w:rsidP="00F912B5">
      <w:pPr>
        <w:jc w:val="both"/>
        <w:rPr>
          <w:sz w:val="22"/>
          <w:szCs w:val="22"/>
        </w:rPr>
      </w:pPr>
      <w:r w:rsidRPr="00FF5E15">
        <w:rPr>
          <w:sz w:val="22"/>
          <w:szCs w:val="22"/>
        </w:rPr>
        <w:t>Another consideration when comparing sPDCCH and sEPDCCH is the effect of the control channel decoding delay. Clearly, TDM multiplexing of sPDCCH enables</w:t>
      </w:r>
      <w:r w:rsidR="00DB0736" w:rsidRPr="00FF5E15">
        <w:rPr>
          <w:sz w:val="22"/>
          <w:szCs w:val="22"/>
        </w:rPr>
        <w:t xml:space="preserve"> </w:t>
      </w:r>
      <w:r w:rsidR="00D30EFD" w:rsidRPr="00FF5E15">
        <w:rPr>
          <w:sz w:val="22"/>
          <w:szCs w:val="22"/>
        </w:rPr>
        <w:t>the UE</w:t>
      </w:r>
      <w:r w:rsidRPr="00FF5E15">
        <w:rPr>
          <w:sz w:val="22"/>
          <w:szCs w:val="22"/>
        </w:rPr>
        <w:t xml:space="preserve"> to start the control channel decoding earlier compared to sEPDCCH, which can only start after </w:t>
      </w:r>
      <w:r w:rsidR="00DB0736" w:rsidRPr="00FF5E15">
        <w:rPr>
          <w:sz w:val="22"/>
          <w:szCs w:val="22"/>
        </w:rPr>
        <w:t xml:space="preserve">all symbols </w:t>
      </w:r>
      <w:r w:rsidR="003A0708" w:rsidRPr="00FF5E15">
        <w:rPr>
          <w:sz w:val="22"/>
          <w:szCs w:val="22"/>
        </w:rPr>
        <w:t xml:space="preserve">of </w:t>
      </w:r>
      <w:r w:rsidR="00DB0736" w:rsidRPr="00FF5E15">
        <w:rPr>
          <w:sz w:val="22"/>
          <w:szCs w:val="22"/>
        </w:rPr>
        <w:t>the</w:t>
      </w:r>
      <w:r w:rsidRPr="00FF5E15">
        <w:rPr>
          <w:sz w:val="22"/>
          <w:szCs w:val="22"/>
        </w:rPr>
        <w:t xml:space="preserve"> sTTI</w:t>
      </w:r>
      <w:r w:rsidR="00DB0736" w:rsidRPr="00FF5E15">
        <w:rPr>
          <w:sz w:val="22"/>
          <w:szCs w:val="22"/>
        </w:rPr>
        <w:t xml:space="preserve"> are received</w:t>
      </w:r>
      <w:r w:rsidRPr="00FF5E15">
        <w:rPr>
          <w:sz w:val="22"/>
          <w:szCs w:val="22"/>
        </w:rPr>
        <w:t xml:space="preserve">. </w:t>
      </w:r>
      <w:r w:rsidR="00DB0736" w:rsidRPr="00FF5E15">
        <w:rPr>
          <w:sz w:val="22"/>
          <w:szCs w:val="22"/>
        </w:rPr>
        <w:t>T</w:t>
      </w:r>
      <w:r w:rsidRPr="00FF5E15">
        <w:rPr>
          <w:sz w:val="22"/>
          <w:szCs w:val="22"/>
        </w:rPr>
        <w:t xml:space="preserve">his advantage might be </w:t>
      </w:r>
      <w:r w:rsidR="002A5D5F" w:rsidRPr="00FF5E15">
        <w:rPr>
          <w:sz w:val="22"/>
          <w:szCs w:val="22"/>
        </w:rPr>
        <w:t>visible more</w:t>
      </w:r>
      <w:r w:rsidRPr="00FF5E15">
        <w:rPr>
          <w:sz w:val="22"/>
          <w:szCs w:val="22"/>
        </w:rPr>
        <w:t xml:space="preserve"> for the slot-level sTTI case illustrated in Figure1</w:t>
      </w:r>
      <w:r w:rsidR="00DB0736" w:rsidRPr="00FF5E15">
        <w:rPr>
          <w:sz w:val="22"/>
          <w:szCs w:val="22"/>
        </w:rPr>
        <w:t>. However,</w:t>
      </w:r>
      <w:r w:rsidRPr="00FF5E15">
        <w:rPr>
          <w:sz w:val="22"/>
          <w:szCs w:val="22"/>
        </w:rPr>
        <w:t xml:space="preserve"> for shorter TTI lengths</w:t>
      </w:r>
      <w:r w:rsidR="00DB0736" w:rsidRPr="00FF5E15">
        <w:rPr>
          <w:sz w:val="22"/>
          <w:szCs w:val="22"/>
        </w:rPr>
        <w:t>,</w:t>
      </w:r>
      <w:r w:rsidRPr="00FF5E15">
        <w:rPr>
          <w:sz w:val="22"/>
          <w:szCs w:val="22"/>
        </w:rPr>
        <w:t xml:space="preserve"> such as 2-symbol </w:t>
      </w:r>
      <w:r w:rsidR="002A5D5F" w:rsidRPr="00FF5E15">
        <w:rPr>
          <w:sz w:val="22"/>
          <w:szCs w:val="22"/>
        </w:rPr>
        <w:t>s</w:t>
      </w:r>
      <w:r w:rsidRPr="00FF5E15">
        <w:rPr>
          <w:sz w:val="22"/>
          <w:szCs w:val="22"/>
        </w:rPr>
        <w:t>TTI</w:t>
      </w:r>
      <w:r w:rsidR="00DB0736" w:rsidRPr="00FF5E15">
        <w:rPr>
          <w:sz w:val="22"/>
          <w:szCs w:val="22"/>
        </w:rPr>
        <w:t>,</w:t>
      </w:r>
      <w:r w:rsidRPr="00FF5E15">
        <w:rPr>
          <w:sz w:val="22"/>
          <w:szCs w:val="22"/>
        </w:rPr>
        <w:t xml:space="preserve"> this advantage will not be valid any longer</w:t>
      </w:r>
      <w:r w:rsidR="00D30EFD" w:rsidRPr="00FF5E15">
        <w:rPr>
          <w:sz w:val="22"/>
          <w:szCs w:val="22"/>
        </w:rPr>
        <w:t xml:space="preserve"> as </w:t>
      </w:r>
      <w:r w:rsidRPr="00FF5E15">
        <w:rPr>
          <w:sz w:val="22"/>
          <w:szCs w:val="22"/>
        </w:rPr>
        <w:t xml:space="preserve">sPDCCH and sEPDCCH start to look the same. In </w:t>
      </w:r>
      <w:r w:rsidRPr="00FF5E15">
        <w:rPr>
          <w:sz w:val="22"/>
          <w:szCs w:val="22"/>
        </w:rPr>
        <w:lastRenderedPageBreak/>
        <w:t>this respect, considering a control channel resource allocation principle given by sEPDCCH (FDM between sTTI control channel and PDSCH) seems to be the generically applicable solution here.</w:t>
      </w:r>
    </w:p>
    <w:p w14:paraId="334E0E3E" w14:textId="412C23E4" w:rsidR="00366AE9" w:rsidRPr="00FF5E15" w:rsidRDefault="00D912E4" w:rsidP="00F912B5">
      <w:pPr>
        <w:jc w:val="both"/>
        <w:rPr>
          <w:sz w:val="22"/>
          <w:szCs w:val="22"/>
        </w:rPr>
      </w:pPr>
      <w:r w:rsidRPr="00FF5E15">
        <w:rPr>
          <w:sz w:val="22"/>
          <w:szCs w:val="22"/>
        </w:rPr>
        <w:t>Looking at the reference signal used for DL control decoding for sTTI</w:t>
      </w:r>
      <w:r w:rsidR="00332E81" w:rsidRPr="00FF5E15">
        <w:rPr>
          <w:sz w:val="22"/>
          <w:szCs w:val="22"/>
        </w:rPr>
        <w:t xml:space="preserve">, </w:t>
      </w:r>
      <w:r w:rsidRPr="00FF5E15">
        <w:rPr>
          <w:sz w:val="22"/>
          <w:szCs w:val="22"/>
        </w:rPr>
        <w:t xml:space="preserve">also </w:t>
      </w:r>
      <w:r w:rsidR="00332E81" w:rsidRPr="00FF5E15">
        <w:rPr>
          <w:sz w:val="22"/>
          <w:szCs w:val="22"/>
        </w:rPr>
        <w:t xml:space="preserve">sEPDCCH </w:t>
      </w:r>
      <w:r w:rsidR="00A2755C" w:rsidRPr="00FF5E15">
        <w:rPr>
          <w:sz w:val="22"/>
          <w:szCs w:val="22"/>
        </w:rPr>
        <w:t xml:space="preserve">may </w:t>
      </w:r>
      <w:r w:rsidR="00332E81" w:rsidRPr="00FF5E15">
        <w:rPr>
          <w:sz w:val="22"/>
          <w:szCs w:val="22"/>
        </w:rPr>
        <w:t>operate on CRS ports</w:t>
      </w:r>
      <w:r w:rsidR="00366AE9" w:rsidRPr="00FF5E15">
        <w:rPr>
          <w:sz w:val="22"/>
          <w:szCs w:val="22"/>
        </w:rPr>
        <w:t xml:space="preserve"> as legacy PDCCH does</w:t>
      </w:r>
      <w:r w:rsidR="00332E81" w:rsidRPr="00FF5E15">
        <w:rPr>
          <w:sz w:val="22"/>
          <w:szCs w:val="22"/>
        </w:rPr>
        <w:t>, which</w:t>
      </w:r>
      <w:r w:rsidR="003460CE" w:rsidRPr="00FF5E15">
        <w:rPr>
          <w:sz w:val="22"/>
          <w:szCs w:val="22"/>
        </w:rPr>
        <w:t xml:space="preserve"> would provide smaller overhead (no</w:t>
      </w:r>
      <w:r w:rsidR="00565E70" w:rsidRPr="00FF5E15">
        <w:rPr>
          <w:sz w:val="22"/>
          <w:szCs w:val="22"/>
        </w:rPr>
        <w:t xml:space="preserve"> additional</w:t>
      </w:r>
      <w:r w:rsidR="003460CE" w:rsidRPr="00FF5E15">
        <w:rPr>
          <w:sz w:val="22"/>
          <w:szCs w:val="22"/>
        </w:rPr>
        <w:t xml:space="preserve"> DM-RS needed), </w:t>
      </w:r>
      <w:r w:rsidR="00332E81" w:rsidRPr="00FF5E15">
        <w:rPr>
          <w:sz w:val="22"/>
          <w:szCs w:val="22"/>
        </w:rPr>
        <w:t>better robustness towards higher speeds</w:t>
      </w:r>
      <w:r w:rsidR="003460CE" w:rsidRPr="00FF5E15">
        <w:rPr>
          <w:sz w:val="22"/>
          <w:szCs w:val="22"/>
        </w:rPr>
        <w:t xml:space="preserve"> and </w:t>
      </w:r>
      <w:r w:rsidR="00366AE9" w:rsidRPr="00FF5E15">
        <w:rPr>
          <w:sz w:val="22"/>
          <w:szCs w:val="22"/>
        </w:rPr>
        <w:t xml:space="preserve">a shorter </w:t>
      </w:r>
      <w:r w:rsidR="003460CE" w:rsidRPr="00FF5E15">
        <w:rPr>
          <w:sz w:val="22"/>
          <w:szCs w:val="22"/>
        </w:rPr>
        <w:t xml:space="preserve">decoding time (as </w:t>
      </w:r>
      <w:r w:rsidR="004A0663" w:rsidRPr="00FF5E15">
        <w:rPr>
          <w:sz w:val="22"/>
          <w:szCs w:val="22"/>
        </w:rPr>
        <w:t>CRS channel estimate may be available prior the sTTI arrival</w:t>
      </w:r>
      <w:r w:rsidR="003460CE" w:rsidRPr="00FF5E15">
        <w:rPr>
          <w:sz w:val="22"/>
          <w:szCs w:val="22"/>
        </w:rPr>
        <w:t>)</w:t>
      </w:r>
      <w:r w:rsidR="00332E81" w:rsidRPr="00FF5E15">
        <w:rPr>
          <w:sz w:val="22"/>
          <w:szCs w:val="22"/>
        </w:rPr>
        <w:t xml:space="preserve">. </w:t>
      </w:r>
      <w:r w:rsidR="001C63B5" w:rsidRPr="00FF5E15">
        <w:rPr>
          <w:sz w:val="22"/>
          <w:szCs w:val="22"/>
        </w:rPr>
        <w:t>Alternatively</w:t>
      </w:r>
      <w:r w:rsidR="00366AE9" w:rsidRPr="00FF5E15">
        <w:rPr>
          <w:sz w:val="22"/>
          <w:szCs w:val="22"/>
        </w:rPr>
        <w:t xml:space="preserve">, DM-RS based demodulation of sPDCCH could be considered – but this would result in even </w:t>
      </w:r>
      <w:r w:rsidR="00D30EFD" w:rsidRPr="00FF5E15">
        <w:rPr>
          <w:sz w:val="22"/>
          <w:szCs w:val="22"/>
        </w:rPr>
        <w:t xml:space="preserve">higher </w:t>
      </w:r>
      <w:r w:rsidR="00366AE9" w:rsidRPr="00FF5E15">
        <w:rPr>
          <w:sz w:val="22"/>
          <w:szCs w:val="22"/>
        </w:rPr>
        <w:t>DM-RS overhead</w:t>
      </w:r>
      <w:r w:rsidR="00D30EFD" w:rsidRPr="00FF5E15">
        <w:rPr>
          <w:sz w:val="22"/>
          <w:szCs w:val="22"/>
        </w:rPr>
        <w:t xml:space="preserve">, </w:t>
      </w:r>
      <w:r w:rsidR="00366AE9" w:rsidRPr="00FF5E15">
        <w:rPr>
          <w:sz w:val="22"/>
          <w:szCs w:val="22"/>
        </w:rPr>
        <w:t xml:space="preserve">as in a single TTI the DM-RS for sPDCCH and sPDSCH would </w:t>
      </w:r>
      <w:r w:rsidR="00D30EFD" w:rsidRPr="00FF5E15">
        <w:rPr>
          <w:sz w:val="22"/>
          <w:szCs w:val="22"/>
        </w:rPr>
        <w:t xml:space="preserve">both </w:t>
      </w:r>
      <w:r w:rsidR="00366AE9" w:rsidRPr="00FF5E15">
        <w:rPr>
          <w:sz w:val="22"/>
          <w:szCs w:val="22"/>
        </w:rPr>
        <w:t xml:space="preserve">need to be multiplexed. </w:t>
      </w:r>
    </w:p>
    <w:p w14:paraId="3C19F3CF" w14:textId="30A9AC16" w:rsidR="00D34E71" w:rsidRPr="00FF5E15" w:rsidRDefault="00366AE9" w:rsidP="00F912B5">
      <w:pPr>
        <w:jc w:val="both"/>
        <w:rPr>
          <w:sz w:val="22"/>
          <w:szCs w:val="22"/>
        </w:rPr>
      </w:pPr>
      <w:r w:rsidRPr="00FF5E15">
        <w:rPr>
          <w:sz w:val="22"/>
          <w:szCs w:val="22"/>
        </w:rPr>
        <w:t xml:space="preserve">Based on the discussions above, we think that using EPDCCH type of FDM between control and data (i.e. sEPDCCH control region) combined with PDCCH type of modulation (using CRS based demodulation and SFBC type of modulation) could provide a reliable, generally applicable solution for </w:t>
      </w:r>
      <w:r w:rsidR="008E4732" w:rsidRPr="00FF5E15">
        <w:rPr>
          <w:sz w:val="22"/>
          <w:szCs w:val="22"/>
        </w:rPr>
        <w:t>downlink control operation of variable considered sTTI lengths.</w:t>
      </w:r>
      <w:r w:rsidRPr="00FF5E15">
        <w:rPr>
          <w:sz w:val="22"/>
          <w:szCs w:val="22"/>
        </w:rPr>
        <w:t xml:space="preserve"> </w:t>
      </w:r>
    </w:p>
    <w:p w14:paraId="0F38D070" w14:textId="21AD5CF4" w:rsidR="00F06539" w:rsidRPr="00FF5E15" w:rsidRDefault="004B3EE0" w:rsidP="00043850">
      <w:pPr>
        <w:jc w:val="both"/>
        <w:rPr>
          <w:b/>
          <w:i/>
          <w:sz w:val="22"/>
          <w:szCs w:val="22"/>
        </w:rPr>
      </w:pPr>
      <w:r w:rsidRPr="00FF5E15">
        <w:rPr>
          <w:b/>
          <w:i/>
          <w:sz w:val="22"/>
          <w:szCs w:val="22"/>
        </w:rPr>
        <w:t>Proposal</w:t>
      </w:r>
      <w:r w:rsidR="00F06539" w:rsidRPr="00FF5E15">
        <w:rPr>
          <w:b/>
          <w:i/>
          <w:sz w:val="22"/>
          <w:szCs w:val="22"/>
        </w:rPr>
        <w:t>-</w:t>
      </w:r>
      <w:r w:rsidRPr="00FF5E15">
        <w:rPr>
          <w:b/>
          <w:i/>
          <w:sz w:val="22"/>
          <w:szCs w:val="22"/>
        </w:rPr>
        <w:t>5</w:t>
      </w:r>
      <w:r w:rsidR="00F06539" w:rsidRPr="00FF5E15">
        <w:rPr>
          <w:b/>
          <w:i/>
          <w:sz w:val="22"/>
          <w:szCs w:val="22"/>
        </w:rPr>
        <w:t xml:space="preserve">: </w:t>
      </w:r>
      <w:r w:rsidR="003460CE" w:rsidRPr="00FF5E15">
        <w:rPr>
          <w:b/>
          <w:i/>
          <w:sz w:val="22"/>
          <w:szCs w:val="22"/>
        </w:rPr>
        <w:t>Consider shortened E</w:t>
      </w:r>
      <w:r w:rsidRPr="00FF5E15">
        <w:rPr>
          <w:b/>
          <w:i/>
          <w:sz w:val="22"/>
          <w:szCs w:val="22"/>
        </w:rPr>
        <w:t>PDCCH (sEPDCCH)</w:t>
      </w:r>
      <w:r w:rsidR="00E655E3" w:rsidRPr="00FF5E15">
        <w:rPr>
          <w:b/>
          <w:i/>
          <w:sz w:val="22"/>
          <w:szCs w:val="22"/>
        </w:rPr>
        <w:t xml:space="preserve"> </w:t>
      </w:r>
      <w:r w:rsidR="006B5482" w:rsidRPr="00FF5E15">
        <w:rPr>
          <w:b/>
          <w:i/>
          <w:sz w:val="22"/>
          <w:szCs w:val="22"/>
        </w:rPr>
        <w:t xml:space="preserve">type of operation </w:t>
      </w:r>
      <w:r w:rsidR="007D659E" w:rsidRPr="00FF5E15">
        <w:rPr>
          <w:b/>
          <w:i/>
          <w:sz w:val="22"/>
          <w:szCs w:val="22"/>
        </w:rPr>
        <w:t xml:space="preserve">(i.e. </w:t>
      </w:r>
      <w:r w:rsidR="006B5482" w:rsidRPr="00FF5E15">
        <w:rPr>
          <w:b/>
          <w:i/>
          <w:sz w:val="22"/>
          <w:szCs w:val="22"/>
        </w:rPr>
        <w:t xml:space="preserve">through </w:t>
      </w:r>
      <w:r w:rsidR="003460CE" w:rsidRPr="00FF5E15">
        <w:rPr>
          <w:b/>
          <w:i/>
          <w:sz w:val="22"/>
          <w:szCs w:val="22"/>
        </w:rPr>
        <w:t xml:space="preserve">frequency domain multiplexing with </w:t>
      </w:r>
      <w:r w:rsidR="00A25E3C" w:rsidRPr="00FF5E15">
        <w:rPr>
          <w:b/>
          <w:i/>
          <w:sz w:val="22"/>
          <w:szCs w:val="22"/>
        </w:rPr>
        <w:t xml:space="preserve">legacy </w:t>
      </w:r>
      <w:r w:rsidR="006B5482" w:rsidRPr="00FF5E15">
        <w:rPr>
          <w:b/>
          <w:i/>
          <w:sz w:val="22"/>
          <w:szCs w:val="22"/>
        </w:rPr>
        <w:t xml:space="preserve">and short </w:t>
      </w:r>
      <w:r w:rsidR="003460CE" w:rsidRPr="00FF5E15">
        <w:rPr>
          <w:b/>
          <w:i/>
          <w:sz w:val="22"/>
          <w:szCs w:val="22"/>
        </w:rPr>
        <w:t>PDSCH</w:t>
      </w:r>
      <w:r w:rsidR="007D659E" w:rsidRPr="00FF5E15">
        <w:rPr>
          <w:b/>
          <w:i/>
          <w:sz w:val="22"/>
          <w:szCs w:val="22"/>
        </w:rPr>
        <w:t>)</w:t>
      </w:r>
      <w:r w:rsidR="003460CE" w:rsidRPr="00FF5E15">
        <w:rPr>
          <w:b/>
          <w:i/>
          <w:sz w:val="22"/>
          <w:szCs w:val="22"/>
        </w:rPr>
        <w:t xml:space="preserve"> combined with </w:t>
      </w:r>
      <w:r w:rsidR="00E655E3" w:rsidRPr="00FF5E15">
        <w:rPr>
          <w:b/>
          <w:i/>
          <w:sz w:val="22"/>
          <w:szCs w:val="22"/>
        </w:rPr>
        <w:t>CRS</w:t>
      </w:r>
      <w:r w:rsidR="003460CE" w:rsidRPr="00FF5E15">
        <w:rPr>
          <w:b/>
          <w:i/>
          <w:sz w:val="22"/>
          <w:szCs w:val="22"/>
        </w:rPr>
        <w:t xml:space="preserve">-based demodulation (borrowed from PDCCH operation) </w:t>
      </w:r>
      <w:r w:rsidRPr="00FF5E15">
        <w:rPr>
          <w:b/>
          <w:i/>
          <w:sz w:val="22"/>
          <w:szCs w:val="22"/>
        </w:rPr>
        <w:t>for sTTI downlink control</w:t>
      </w:r>
      <w:r w:rsidR="00A25E3C" w:rsidRPr="00FF5E15">
        <w:rPr>
          <w:b/>
          <w:i/>
          <w:sz w:val="22"/>
          <w:szCs w:val="22"/>
        </w:rPr>
        <w:t xml:space="preserve"> channels</w:t>
      </w:r>
      <w:r w:rsidR="00E655E3" w:rsidRPr="00FF5E15">
        <w:rPr>
          <w:b/>
          <w:i/>
          <w:sz w:val="22"/>
          <w:szCs w:val="22"/>
        </w:rPr>
        <w:t xml:space="preserve">. </w:t>
      </w:r>
      <w:r w:rsidRPr="00FF5E15">
        <w:rPr>
          <w:b/>
          <w:i/>
          <w:sz w:val="22"/>
          <w:szCs w:val="22"/>
        </w:rPr>
        <w:t xml:space="preserve"> </w:t>
      </w:r>
    </w:p>
    <w:p w14:paraId="6A2D5B0A" w14:textId="77777777" w:rsidR="002951A5" w:rsidRPr="00FF5E15" w:rsidRDefault="002951A5" w:rsidP="006B5482">
      <w:pPr>
        <w:jc w:val="both"/>
        <w:rPr>
          <w:sz w:val="22"/>
          <w:szCs w:val="22"/>
        </w:rPr>
      </w:pPr>
    </w:p>
    <w:p w14:paraId="587D2D0B" w14:textId="6ABCB135" w:rsidR="006B5482" w:rsidRPr="00FF5E15" w:rsidRDefault="006B5482" w:rsidP="006B5482">
      <w:pPr>
        <w:jc w:val="both"/>
        <w:rPr>
          <w:sz w:val="22"/>
          <w:szCs w:val="22"/>
        </w:rPr>
      </w:pPr>
      <w:r w:rsidRPr="00FF5E15">
        <w:rPr>
          <w:sz w:val="22"/>
          <w:szCs w:val="22"/>
        </w:rPr>
        <w:t xml:space="preserve">Compared to legacy EPDCCH, the shortened sEPDCCH has shorter duration which also may require some frequency domain extension as discussed already above (i.e. more PRBs or REs in a sTTI required for a sEPDCCH set compared to the legacy EPDCCH set). This combined with the fact that sEPDCCH can be based on CRS-based SFBC demodulation (as in case of PDCCH) might require considerations on sEREG, sECCE etc. mapping for sEPDCCH based sTTI operation. </w:t>
      </w:r>
    </w:p>
    <w:p w14:paraId="2059242E" w14:textId="06CCDBCB" w:rsidR="005E30ED" w:rsidRPr="00FF5E15" w:rsidRDefault="00F912B5" w:rsidP="00043850">
      <w:pPr>
        <w:jc w:val="both"/>
        <w:rPr>
          <w:b/>
          <w:i/>
          <w:sz w:val="22"/>
          <w:szCs w:val="22"/>
        </w:rPr>
      </w:pPr>
      <w:r w:rsidRPr="00FF5E15">
        <w:rPr>
          <w:b/>
          <w:i/>
          <w:sz w:val="22"/>
          <w:szCs w:val="22"/>
        </w:rPr>
        <w:t>Observation-</w:t>
      </w:r>
      <w:r w:rsidR="003A5A79" w:rsidRPr="00FF5E15">
        <w:rPr>
          <w:b/>
          <w:i/>
          <w:sz w:val="22"/>
          <w:szCs w:val="22"/>
        </w:rPr>
        <w:t>2</w:t>
      </w:r>
      <w:r w:rsidRPr="00FF5E15">
        <w:rPr>
          <w:b/>
          <w:i/>
          <w:sz w:val="22"/>
          <w:szCs w:val="22"/>
        </w:rPr>
        <w:t>: Studies are needed on the definition of sEPDCCH in terms of number of PRBs</w:t>
      </w:r>
      <w:r w:rsidR="00091451" w:rsidRPr="00FF5E15">
        <w:rPr>
          <w:b/>
          <w:i/>
          <w:sz w:val="22"/>
          <w:szCs w:val="22"/>
        </w:rPr>
        <w:t xml:space="preserve"> or REs</w:t>
      </w:r>
      <w:r w:rsidRPr="00FF5E15">
        <w:rPr>
          <w:b/>
          <w:i/>
          <w:sz w:val="22"/>
          <w:szCs w:val="22"/>
        </w:rPr>
        <w:t xml:space="preserve"> per sEPDCCH set, RE/EREG/ECCE mapping as well as the applicable aggregation levels.</w:t>
      </w:r>
    </w:p>
    <w:p w14:paraId="7EC845A0" w14:textId="77777777" w:rsidR="00641C1F" w:rsidRPr="00FF5E15" w:rsidRDefault="00641C1F" w:rsidP="00043850">
      <w:pPr>
        <w:jc w:val="both"/>
        <w:rPr>
          <w:b/>
          <w:i/>
          <w:sz w:val="22"/>
          <w:szCs w:val="22"/>
        </w:rPr>
      </w:pPr>
    </w:p>
    <w:p w14:paraId="16CDBA47" w14:textId="3779433D" w:rsidR="00F0171A" w:rsidRPr="00FF5E15" w:rsidRDefault="00985718" w:rsidP="005F2048">
      <w:pPr>
        <w:pStyle w:val="Heading1"/>
        <w:rPr>
          <w:sz w:val="22"/>
          <w:szCs w:val="22"/>
          <w:lang w:val="en-US"/>
        </w:rPr>
      </w:pPr>
      <w:r w:rsidRPr="00FF5E15">
        <w:rPr>
          <w:lang w:val="en-US" w:eastAsia="zh-CN"/>
        </w:rPr>
        <w:t xml:space="preserve">4. On necessary enhancements </w:t>
      </w:r>
      <w:r w:rsidR="003460CE" w:rsidRPr="00FF5E15">
        <w:rPr>
          <w:lang w:val="en-US" w:eastAsia="zh-CN"/>
        </w:rPr>
        <w:t>for data transmission</w:t>
      </w:r>
    </w:p>
    <w:p w14:paraId="6D6FE6CB" w14:textId="5569BF30" w:rsidR="00F0171A" w:rsidRPr="00FF5E15" w:rsidRDefault="00F0171A" w:rsidP="00043850">
      <w:pPr>
        <w:jc w:val="both"/>
        <w:rPr>
          <w:sz w:val="22"/>
          <w:szCs w:val="22"/>
        </w:rPr>
      </w:pPr>
      <w:r w:rsidRPr="00FF5E15">
        <w:rPr>
          <w:sz w:val="22"/>
          <w:szCs w:val="22"/>
        </w:rPr>
        <w:t xml:space="preserve">Now looking at </w:t>
      </w:r>
      <w:r w:rsidR="003D7C8B" w:rsidRPr="00FF5E15">
        <w:rPr>
          <w:sz w:val="22"/>
          <w:szCs w:val="22"/>
        </w:rPr>
        <w:t xml:space="preserve">the </w:t>
      </w:r>
      <w:r w:rsidR="004966D1" w:rsidRPr="00FF5E15">
        <w:rPr>
          <w:sz w:val="22"/>
          <w:szCs w:val="22"/>
        </w:rPr>
        <w:t>shortened PDSCH</w:t>
      </w:r>
      <w:r w:rsidRPr="00FF5E15">
        <w:rPr>
          <w:sz w:val="22"/>
          <w:szCs w:val="22"/>
        </w:rPr>
        <w:t xml:space="preserve"> </w:t>
      </w:r>
      <w:r w:rsidR="003D7C8B" w:rsidRPr="00FF5E15">
        <w:rPr>
          <w:sz w:val="22"/>
          <w:szCs w:val="22"/>
        </w:rPr>
        <w:t xml:space="preserve">(sPDSCH) </w:t>
      </w:r>
      <w:r w:rsidRPr="00FF5E15">
        <w:rPr>
          <w:sz w:val="22"/>
          <w:szCs w:val="22"/>
        </w:rPr>
        <w:t xml:space="preserve">operation, we focus our initial investigations on the reference signal utilization for demodulation. </w:t>
      </w:r>
    </w:p>
    <w:p w14:paraId="1D4FDBC1" w14:textId="4A1B5B5A" w:rsidR="00636B9B" w:rsidRPr="00FF5E15" w:rsidRDefault="00422586" w:rsidP="00043850">
      <w:pPr>
        <w:jc w:val="both"/>
        <w:rPr>
          <w:sz w:val="22"/>
          <w:szCs w:val="22"/>
        </w:rPr>
      </w:pPr>
      <w:r w:rsidRPr="00FF5E15">
        <w:rPr>
          <w:sz w:val="22"/>
          <w:szCs w:val="22"/>
        </w:rPr>
        <w:t xml:space="preserve">Considering the DL reference signal from demodulation perspective, there are two </w:t>
      </w:r>
      <w:r w:rsidR="002622B6" w:rsidRPr="00FF5E15">
        <w:rPr>
          <w:sz w:val="22"/>
          <w:szCs w:val="22"/>
        </w:rPr>
        <w:t>alternatives</w:t>
      </w:r>
      <w:r w:rsidR="00001E2F" w:rsidRPr="00FF5E15">
        <w:rPr>
          <w:sz w:val="22"/>
          <w:szCs w:val="22"/>
        </w:rPr>
        <w:t xml:space="preserve"> </w:t>
      </w:r>
      <w:r w:rsidRPr="00FF5E15">
        <w:rPr>
          <w:sz w:val="22"/>
          <w:szCs w:val="22"/>
        </w:rPr>
        <w:t xml:space="preserve">with </w:t>
      </w:r>
      <w:r w:rsidR="00281130" w:rsidRPr="00FF5E15">
        <w:rPr>
          <w:sz w:val="22"/>
          <w:szCs w:val="22"/>
        </w:rPr>
        <w:t xml:space="preserve">either </w:t>
      </w:r>
      <w:r w:rsidRPr="00FF5E15">
        <w:rPr>
          <w:sz w:val="22"/>
          <w:szCs w:val="22"/>
        </w:rPr>
        <w:t xml:space="preserve">cell-specific </w:t>
      </w:r>
      <w:r w:rsidR="00E31B05" w:rsidRPr="00FF5E15">
        <w:rPr>
          <w:sz w:val="22"/>
          <w:szCs w:val="22"/>
        </w:rPr>
        <w:t>RS (</w:t>
      </w:r>
      <w:r w:rsidRPr="00FF5E15">
        <w:rPr>
          <w:sz w:val="22"/>
          <w:szCs w:val="22"/>
        </w:rPr>
        <w:t>CRS</w:t>
      </w:r>
      <w:r w:rsidR="00E31B05" w:rsidRPr="00FF5E15">
        <w:rPr>
          <w:sz w:val="22"/>
          <w:szCs w:val="22"/>
        </w:rPr>
        <w:t>)</w:t>
      </w:r>
      <w:r w:rsidRPr="00FF5E15">
        <w:rPr>
          <w:sz w:val="22"/>
          <w:szCs w:val="22"/>
        </w:rPr>
        <w:t xml:space="preserve"> or UE-specific </w:t>
      </w:r>
      <w:r w:rsidR="00E31B05" w:rsidRPr="00FF5E15">
        <w:rPr>
          <w:sz w:val="22"/>
          <w:szCs w:val="22"/>
        </w:rPr>
        <w:t xml:space="preserve">RS (i.e. </w:t>
      </w:r>
      <w:r w:rsidRPr="00FF5E15">
        <w:rPr>
          <w:sz w:val="22"/>
          <w:szCs w:val="22"/>
        </w:rPr>
        <w:t>DMRS</w:t>
      </w:r>
      <w:r w:rsidR="00E31B05" w:rsidRPr="00FF5E15">
        <w:rPr>
          <w:sz w:val="22"/>
          <w:szCs w:val="22"/>
        </w:rPr>
        <w:t>)</w:t>
      </w:r>
      <w:r w:rsidRPr="00FF5E15">
        <w:rPr>
          <w:sz w:val="22"/>
          <w:szCs w:val="22"/>
        </w:rPr>
        <w:t>.</w:t>
      </w:r>
      <w:r w:rsidR="007E40BE" w:rsidRPr="00FF5E15">
        <w:rPr>
          <w:sz w:val="22"/>
          <w:szCs w:val="22"/>
        </w:rPr>
        <w:t xml:space="preserve"> Again from the backward compatibility point of view, the CRS will </w:t>
      </w:r>
      <w:r w:rsidR="00A26FC6" w:rsidRPr="00FF5E15">
        <w:rPr>
          <w:sz w:val="22"/>
          <w:szCs w:val="22"/>
        </w:rPr>
        <w:t xml:space="preserve">need to </w:t>
      </w:r>
      <w:r w:rsidR="007E40BE" w:rsidRPr="00FF5E15">
        <w:rPr>
          <w:sz w:val="22"/>
          <w:szCs w:val="22"/>
        </w:rPr>
        <w:t xml:space="preserve">be </w:t>
      </w:r>
      <w:r w:rsidR="00A26FC6" w:rsidRPr="00FF5E15">
        <w:rPr>
          <w:sz w:val="22"/>
          <w:szCs w:val="22"/>
        </w:rPr>
        <w:t>present</w:t>
      </w:r>
      <w:r w:rsidR="007E40BE" w:rsidRPr="00FF5E15">
        <w:rPr>
          <w:sz w:val="22"/>
          <w:szCs w:val="22"/>
        </w:rPr>
        <w:t xml:space="preserve"> and transmitted anyway.</w:t>
      </w:r>
      <w:r w:rsidR="00FE4A32" w:rsidRPr="00FF5E15">
        <w:rPr>
          <w:sz w:val="22"/>
          <w:szCs w:val="22"/>
        </w:rPr>
        <w:t xml:space="preserve"> Therefore, the straight</w:t>
      </w:r>
      <w:r w:rsidR="00281130" w:rsidRPr="00FF5E15">
        <w:rPr>
          <w:sz w:val="22"/>
          <w:szCs w:val="22"/>
        </w:rPr>
        <w:t>for</w:t>
      </w:r>
      <w:r w:rsidR="00FE4A32" w:rsidRPr="00FF5E15">
        <w:rPr>
          <w:sz w:val="22"/>
          <w:szCs w:val="22"/>
        </w:rPr>
        <w:t>ward</w:t>
      </w:r>
      <w:r w:rsidR="00281130" w:rsidRPr="00FF5E15">
        <w:rPr>
          <w:sz w:val="22"/>
          <w:szCs w:val="22"/>
        </w:rPr>
        <w:t xml:space="preserve"> utilization</w:t>
      </w:r>
      <w:r w:rsidR="007E40BE" w:rsidRPr="00FF5E15">
        <w:rPr>
          <w:sz w:val="22"/>
          <w:szCs w:val="22"/>
        </w:rPr>
        <w:t xml:space="preserve"> </w:t>
      </w:r>
      <w:r w:rsidR="00C2516E" w:rsidRPr="00FF5E15">
        <w:rPr>
          <w:sz w:val="22"/>
          <w:szCs w:val="22"/>
        </w:rPr>
        <w:t xml:space="preserve">of CRS for sTTI demodulation </w:t>
      </w:r>
      <w:r w:rsidR="00A23DFC" w:rsidRPr="00FF5E15">
        <w:rPr>
          <w:sz w:val="22"/>
          <w:szCs w:val="22"/>
        </w:rPr>
        <w:t>and support</w:t>
      </w:r>
      <w:r w:rsidR="00636B9B" w:rsidRPr="00FF5E15">
        <w:rPr>
          <w:sz w:val="22"/>
          <w:szCs w:val="22"/>
        </w:rPr>
        <w:t xml:space="preserve"> of CRS-based</w:t>
      </w:r>
      <w:r w:rsidR="00A23DFC" w:rsidRPr="00FF5E15">
        <w:rPr>
          <w:sz w:val="22"/>
          <w:szCs w:val="22"/>
        </w:rPr>
        <w:t xml:space="preserve"> </w:t>
      </w:r>
      <w:r w:rsidR="00FB1459" w:rsidRPr="00FF5E15">
        <w:rPr>
          <w:sz w:val="22"/>
          <w:szCs w:val="22"/>
        </w:rPr>
        <w:t xml:space="preserve">Transmission </w:t>
      </w:r>
      <w:r w:rsidR="004A0663" w:rsidRPr="00FF5E15">
        <w:rPr>
          <w:sz w:val="22"/>
          <w:szCs w:val="22"/>
        </w:rPr>
        <w:t>schemes</w:t>
      </w:r>
      <w:r w:rsidR="00FB1459" w:rsidRPr="00FF5E15">
        <w:rPr>
          <w:sz w:val="22"/>
          <w:szCs w:val="22"/>
        </w:rPr>
        <w:t xml:space="preserve"> </w:t>
      </w:r>
      <w:r w:rsidR="00C2516E" w:rsidRPr="00FF5E15">
        <w:rPr>
          <w:sz w:val="22"/>
          <w:szCs w:val="22"/>
        </w:rPr>
        <w:t xml:space="preserve">should be </w:t>
      </w:r>
      <w:r w:rsidR="00636B9B" w:rsidRPr="00FF5E15">
        <w:rPr>
          <w:sz w:val="22"/>
          <w:szCs w:val="22"/>
        </w:rPr>
        <w:t>a</w:t>
      </w:r>
      <w:r w:rsidR="00E46E0F" w:rsidRPr="00FF5E15">
        <w:rPr>
          <w:sz w:val="22"/>
          <w:szCs w:val="22"/>
        </w:rPr>
        <w:t xml:space="preserve"> baseline.</w:t>
      </w:r>
      <w:r w:rsidR="00763045" w:rsidRPr="00FF5E15">
        <w:rPr>
          <w:sz w:val="22"/>
          <w:szCs w:val="22"/>
        </w:rPr>
        <w:t xml:space="preserve"> </w:t>
      </w:r>
      <w:r w:rsidR="002622B6" w:rsidRPr="00FF5E15">
        <w:rPr>
          <w:sz w:val="22"/>
          <w:szCs w:val="22"/>
        </w:rPr>
        <w:t>T</w:t>
      </w:r>
      <w:r w:rsidR="00763045" w:rsidRPr="00FF5E15">
        <w:rPr>
          <w:sz w:val="22"/>
          <w:szCs w:val="22"/>
        </w:rPr>
        <w:t>he UE-specific DMRS has less constraints with backward compatibility requirements</w:t>
      </w:r>
      <w:r w:rsidR="00A26FC6" w:rsidRPr="00FF5E15">
        <w:rPr>
          <w:sz w:val="22"/>
          <w:szCs w:val="22"/>
        </w:rPr>
        <w:t xml:space="preserve"> as it is only present in actually PRBs </w:t>
      </w:r>
      <w:r w:rsidR="004E32B4" w:rsidRPr="00FF5E15">
        <w:rPr>
          <w:sz w:val="22"/>
          <w:szCs w:val="22"/>
        </w:rPr>
        <w:t xml:space="preserve">or REs </w:t>
      </w:r>
      <w:r w:rsidR="00A26FC6" w:rsidRPr="00FF5E15">
        <w:rPr>
          <w:sz w:val="22"/>
          <w:szCs w:val="22"/>
        </w:rPr>
        <w:t xml:space="preserve">scheduled with legacy DMRS based </w:t>
      </w:r>
      <w:r w:rsidR="00FB1459" w:rsidRPr="00FF5E15">
        <w:rPr>
          <w:sz w:val="22"/>
          <w:szCs w:val="22"/>
        </w:rPr>
        <w:t xml:space="preserve">Transmission </w:t>
      </w:r>
      <w:r w:rsidR="004A0663" w:rsidRPr="00FF5E15">
        <w:rPr>
          <w:sz w:val="22"/>
          <w:szCs w:val="22"/>
        </w:rPr>
        <w:t>schemes</w:t>
      </w:r>
      <w:r w:rsidR="00763045" w:rsidRPr="00FF5E15">
        <w:rPr>
          <w:sz w:val="22"/>
          <w:szCs w:val="22"/>
        </w:rPr>
        <w:t>.</w:t>
      </w:r>
      <w:r w:rsidR="00A23DFC" w:rsidRPr="00FF5E15">
        <w:rPr>
          <w:sz w:val="22"/>
          <w:szCs w:val="22"/>
        </w:rPr>
        <w:t xml:space="preserve"> </w:t>
      </w:r>
    </w:p>
    <w:p w14:paraId="59762AFA" w14:textId="266C59CC" w:rsidR="003C3174" w:rsidRPr="00FF5E15" w:rsidRDefault="00636B9B" w:rsidP="00043850">
      <w:pPr>
        <w:jc w:val="both"/>
        <w:rPr>
          <w:sz w:val="22"/>
          <w:szCs w:val="22"/>
        </w:rPr>
      </w:pPr>
      <w:r w:rsidRPr="00FF5E15">
        <w:rPr>
          <w:sz w:val="22"/>
          <w:szCs w:val="22"/>
        </w:rPr>
        <w:t>However, to support sTTI operation for</w:t>
      </w:r>
      <w:r w:rsidR="000F78E5" w:rsidRPr="00FF5E15">
        <w:rPr>
          <w:sz w:val="22"/>
          <w:szCs w:val="22"/>
        </w:rPr>
        <w:t xml:space="preserve"> DMRS</w:t>
      </w:r>
      <w:r w:rsidRPr="00FF5E15">
        <w:rPr>
          <w:sz w:val="22"/>
          <w:szCs w:val="22"/>
        </w:rPr>
        <w:t>-</w:t>
      </w:r>
      <w:r w:rsidR="000F78E5" w:rsidRPr="00FF5E15">
        <w:rPr>
          <w:sz w:val="22"/>
          <w:szCs w:val="22"/>
        </w:rPr>
        <w:t xml:space="preserve">based </w:t>
      </w:r>
      <w:r w:rsidR="008D18F4" w:rsidRPr="00FF5E15">
        <w:rPr>
          <w:sz w:val="22"/>
          <w:szCs w:val="22"/>
        </w:rPr>
        <w:t>t</w:t>
      </w:r>
      <w:r w:rsidR="00FB1459" w:rsidRPr="00FF5E15">
        <w:rPr>
          <w:sz w:val="22"/>
          <w:szCs w:val="22"/>
        </w:rPr>
        <w:t xml:space="preserve">ransmission </w:t>
      </w:r>
      <w:r w:rsidR="004A0663" w:rsidRPr="00FF5E15">
        <w:rPr>
          <w:sz w:val="22"/>
          <w:szCs w:val="22"/>
        </w:rPr>
        <w:t>schemes</w:t>
      </w:r>
      <w:r w:rsidR="000F78E5" w:rsidRPr="00FF5E15">
        <w:rPr>
          <w:sz w:val="22"/>
          <w:szCs w:val="22"/>
        </w:rPr>
        <w:t>,</w:t>
      </w:r>
      <w:r w:rsidR="00633C83" w:rsidRPr="00FF5E15">
        <w:rPr>
          <w:sz w:val="22"/>
          <w:szCs w:val="22"/>
        </w:rPr>
        <w:t xml:space="preserve"> a</w:t>
      </w:r>
      <w:r w:rsidR="00A23DFC" w:rsidRPr="00FF5E15">
        <w:rPr>
          <w:sz w:val="22"/>
          <w:szCs w:val="22"/>
        </w:rPr>
        <w:t xml:space="preserve"> new DMRS pattern </w:t>
      </w:r>
      <w:r w:rsidR="0093240D" w:rsidRPr="00FF5E15">
        <w:rPr>
          <w:sz w:val="22"/>
          <w:szCs w:val="22"/>
        </w:rPr>
        <w:t xml:space="preserve">might be </w:t>
      </w:r>
      <w:r w:rsidR="000F78E5" w:rsidRPr="00FF5E15">
        <w:rPr>
          <w:sz w:val="22"/>
          <w:szCs w:val="22"/>
        </w:rPr>
        <w:t xml:space="preserve">need to be defined for </w:t>
      </w:r>
      <w:r w:rsidR="00A23DFC" w:rsidRPr="00FF5E15">
        <w:rPr>
          <w:sz w:val="22"/>
          <w:szCs w:val="22"/>
        </w:rPr>
        <w:t>sTTI</w:t>
      </w:r>
      <w:r w:rsidR="00EA4E91" w:rsidRPr="00FF5E15">
        <w:rPr>
          <w:sz w:val="22"/>
          <w:szCs w:val="22"/>
        </w:rPr>
        <w:t xml:space="preserve">. </w:t>
      </w:r>
      <w:r w:rsidR="00F05A00" w:rsidRPr="00FF5E15">
        <w:rPr>
          <w:sz w:val="22"/>
          <w:szCs w:val="22"/>
        </w:rPr>
        <w:t>To reduce the overhead impact, new DMRS pattern</w:t>
      </w:r>
      <w:r w:rsidR="003D7C8B" w:rsidRPr="00FF5E15">
        <w:rPr>
          <w:sz w:val="22"/>
          <w:szCs w:val="22"/>
        </w:rPr>
        <w:t>s</w:t>
      </w:r>
      <w:r w:rsidR="00F05A00" w:rsidRPr="00FF5E15">
        <w:rPr>
          <w:sz w:val="22"/>
          <w:szCs w:val="22"/>
        </w:rPr>
        <w:t xml:space="preserve"> could be considered with </w:t>
      </w:r>
      <w:r w:rsidR="003D7C8B" w:rsidRPr="00FF5E15">
        <w:rPr>
          <w:sz w:val="22"/>
          <w:szCs w:val="22"/>
        </w:rPr>
        <w:t xml:space="preserve">lower </w:t>
      </w:r>
      <w:r w:rsidR="00F05A00" w:rsidRPr="00FF5E15">
        <w:rPr>
          <w:sz w:val="22"/>
          <w:szCs w:val="22"/>
        </w:rPr>
        <w:t>DMRS RE density either in frequency or time</w:t>
      </w:r>
      <w:r w:rsidR="003D7C8B" w:rsidRPr="00FF5E15">
        <w:rPr>
          <w:sz w:val="22"/>
          <w:szCs w:val="22"/>
        </w:rPr>
        <w:t>. H</w:t>
      </w:r>
      <w:r w:rsidR="00EA4E91" w:rsidRPr="00FF5E15">
        <w:rPr>
          <w:sz w:val="22"/>
          <w:szCs w:val="22"/>
        </w:rPr>
        <w:t>owever it should be ensured that</w:t>
      </w:r>
      <w:r w:rsidR="00633C83" w:rsidRPr="00FF5E15">
        <w:rPr>
          <w:sz w:val="22"/>
          <w:szCs w:val="22"/>
        </w:rPr>
        <w:t xml:space="preserve"> the</w:t>
      </w:r>
      <w:r w:rsidR="00EA4E91" w:rsidRPr="00FF5E15">
        <w:rPr>
          <w:sz w:val="22"/>
          <w:szCs w:val="22"/>
        </w:rPr>
        <w:t xml:space="preserve"> new </w:t>
      </w:r>
      <w:r w:rsidRPr="00FF5E15">
        <w:rPr>
          <w:sz w:val="22"/>
          <w:szCs w:val="22"/>
        </w:rPr>
        <w:t xml:space="preserve">DMRS </w:t>
      </w:r>
      <w:r w:rsidR="00EA4E91" w:rsidRPr="00FF5E15">
        <w:rPr>
          <w:sz w:val="22"/>
          <w:szCs w:val="22"/>
        </w:rPr>
        <w:t xml:space="preserve">pattern will </w:t>
      </w:r>
      <w:r w:rsidRPr="00FF5E15">
        <w:rPr>
          <w:sz w:val="22"/>
          <w:szCs w:val="22"/>
        </w:rPr>
        <w:t>guarantee</w:t>
      </w:r>
      <w:r w:rsidR="00EA4E91" w:rsidRPr="00FF5E15">
        <w:rPr>
          <w:sz w:val="22"/>
          <w:szCs w:val="22"/>
        </w:rPr>
        <w:t xml:space="preserve"> reliable channel estimat</w:t>
      </w:r>
      <w:r w:rsidR="003D7C8B" w:rsidRPr="00FF5E15">
        <w:rPr>
          <w:sz w:val="22"/>
          <w:szCs w:val="22"/>
        </w:rPr>
        <w:t>ion</w:t>
      </w:r>
      <w:r w:rsidR="00EA4E91" w:rsidRPr="00FF5E15">
        <w:rPr>
          <w:sz w:val="22"/>
          <w:szCs w:val="22"/>
        </w:rPr>
        <w:t xml:space="preserve"> </w:t>
      </w:r>
      <w:r w:rsidR="00E31B05" w:rsidRPr="00FF5E15">
        <w:rPr>
          <w:sz w:val="22"/>
          <w:szCs w:val="22"/>
        </w:rPr>
        <w:t xml:space="preserve">also for </w:t>
      </w:r>
      <w:r w:rsidR="00EA4E91" w:rsidRPr="00FF5E15">
        <w:rPr>
          <w:sz w:val="22"/>
          <w:szCs w:val="22"/>
        </w:rPr>
        <w:t>cell</w:t>
      </w:r>
      <w:r w:rsidR="00633C83" w:rsidRPr="00FF5E15">
        <w:rPr>
          <w:sz w:val="22"/>
          <w:szCs w:val="22"/>
        </w:rPr>
        <w:t>-</w:t>
      </w:r>
      <w:r w:rsidR="00EA4E91" w:rsidRPr="00FF5E15">
        <w:rPr>
          <w:sz w:val="22"/>
          <w:szCs w:val="22"/>
        </w:rPr>
        <w:t>e</w:t>
      </w:r>
      <w:r w:rsidR="00633C83" w:rsidRPr="00FF5E15">
        <w:rPr>
          <w:sz w:val="22"/>
          <w:szCs w:val="22"/>
        </w:rPr>
        <w:t>dge UE</w:t>
      </w:r>
      <w:r w:rsidR="00E31B05" w:rsidRPr="00FF5E15">
        <w:rPr>
          <w:sz w:val="22"/>
          <w:szCs w:val="22"/>
        </w:rPr>
        <w:t>s</w:t>
      </w:r>
      <w:r w:rsidR="00EA4E91" w:rsidRPr="00FF5E15">
        <w:rPr>
          <w:sz w:val="22"/>
          <w:szCs w:val="22"/>
        </w:rPr>
        <w:t xml:space="preserve"> as well as</w:t>
      </w:r>
      <w:r w:rsidRPr="00FF5E15">
        <w:rPr>
          <w:sz w:val="22"/>
          <w:szCs w:val="22"/>
        </w:rPr>
        <w:t xml:space="preserve"> </w:t>
      </w:r>
      <w:r w:rsidR="00E31B05" w:rsidRPr="00FF5E15">
        <w:rPr>
          <w:sz w:val="22"/>
          <w:szCs w:val="22"/>
        </w:rPr>
        <w:t xml:space="preserve">for </w:t>
      </w:r>
      <w:r w:rsidR="00EA4E91" w:rsidRPr="00FF5E15">
        <w:rPr>
          <w:sz w:val="22"/>
          <w:szCs w:val="22"/>
        </w:rPr>
        <w:t>UE</w:t>
      </w:r>
      <w:r w:rsidR="00E31B05" w:rsidRPr="00FF5E15">
        <w:rPr>
          <w:sz w:val="22"/>
          <w:szCs w:val="22"/>
        </w:rPr>
        <w:t>s</w:t>
      </w:r>
      <w:r w:rsidR="00EA4E91" w:rsidRPr="00FF5E15">
        <w:rPr>
          <w:sz w:val="22"/>
          <w:szCs w:val="22"/>
        </w:rPr>
        <w:t xml:space="preserve"> </w:t>
      </w:r>
      <w:r w:rsidRPr="00FF5E15">
        <w:rPr>
          <w:sz w:val="22"/>
          <w:szCs w:val="22"/>
        </w:rPr>
        <w:t>of moderate speed</w:t>
      </w:r>
      <w:r w:rsidR="00F05A00" w:rsidRPr="00FF5E15">
        <w:rPr>
          <w:sz w:val="22"/>
          <w:szCs w:val="22"/>
        </w:rPr>
        <w:t>.</w:t>
      </w:r>
      <w:r w:rsidR="00BC1762" w:rsidRPr="00FF5E15">
        <w:rPr>
          <w:sz w:val="22"/>
          <w:szCs w:val="22"/>
        </w:rPr>
        <w:t xml:space="preserve"> To </w:t>
      </w:r>
      <w:r w:rsidRPr="00FF5E15">
        <w:rPr>
          <w:sz w:val="22"/>
          <w:szCs w:val="22"/>
        </w:rPr>
        <w:t>verify that</w:t>
      </w:r>
      <w:r w:rsidR="0079484A" w:rsidRPr="00FF5E15">
        <w:rPr>
          <w:sz w:val="22"/>
          <w:szCs w:val="22"/>
        </w:rPr>
        <w:t xml:space="preserve"> new</w:t>
      </w:r>
      <w:r w:rsidRPr="00FF5E15">
        <w:rPr>
          <w:sz w:val="22"/>
          <w:szCs w:val="22"/>
        </w:rPr>
        <w:t xml:space="preserve"> </w:t>
      </w:r>
      <w:r w:rsidR="00BC1762" w:rsidRPr="00FF5E15">
        <w:rPr>
          <w:sz w:val="22"/>
          <w:szCs w:val="22"/>
        </w:rPr>
        <w:t>DMRS</w:t>
      </w:r>
      <w:r w:rsidR="00CE4622" w:rsidRPr="00FF5E15">
        <w:rPr>
          <w:sz w:val="22"/>
          <w:szCs w:val="22"/>
        </w:rPr>
        <w:t xml:space="preserve"> pattern</w:t>
      </w:r>
      <w:r w:rsidR="003D7C8B" w:rsidRPr="00FF5E15">
        <w:rPr>
          <w:sz w:val="22"/>
          <w:szCs w:val="22"/>
        </w:rPr>
        <w:t>s</w:t>
      </w:r>
      <w:r w:rsidR="00BC1762" w:rsidRPr="00FF5E15">
        <w:rPr>
          <w:sz w:val="22"/>
          <w:szCs w:val="22"/>
        </w:rPr>
        <w:t xml:space="preserve"> </w:t>
      </w:r>
      <w:r w:rsidR="002622B6" w:rsidRPr="00FF5E15">
        <w:rPr>
          <w:sz w:val="22"/>
          <w:szCs w:val="22"/>
        </w:rPr>
        <w:t>provide</w:t>
      </w:r>
      <w:r w:rsidR="008D18F4" w:rsidRPr="00FF5E15">
        <w:rPr>
          <w:sz w:val="22"/>
          <w:szCs w:val="22"/>
        </w:rPr>
        <w:t>s</w:t>
      </w:r>
      <w:r w:rsidR="002622B6" w:rsidRPr="00FF5E15">
        <w:rPr>
          <w:sz w:val="22"/>
          <w:szCs w:val="22"/>
        </w:rPr>
        <w:t xml:space="preserve"> actual benefits in terms of throughput</w:t>
      </w:r>
      <w:r w:rsidR="003D7C8B" w:rsidRPr="00FF5E15">
        <w:rPr>
          <w:sz w:val="22"/>
          <w:szCs w:val="22"/>
        </w:rPr>
        <w:t xml:space="preserve"> especially for very short sTTIs</w:t>
      </w:r>
      <w:r w:rsidR="0079484A" w:rsidRPr="00FF5E15">
        <w:rPr>
          <w:sz w:val="22"/>
          <w:szCs w:val="22"/>
        </w:rPr>
        <w:t xml:space="preserve">, </w:t>
      </w:r>
      <w:r w:rsidR="00E31B05" w:rsidRPr="00FF5E15">
        <w:rPr>
          <w:sz w:val="22"/>
          <w:szCs w:val="22"/>
        </w:rPr>
        <w:t xml:space="preserve">a </w:t>
      </w:r>
      <w:r w:rsidR="00BC1762" w:rsidRPr="00FF5E15">
        <w:rPr>
          <w:sz w:val="22"/>
          <w:szCs w:val="22"/>
        </w:rPr>
        <w:t xml:space="preserve">comparison of </w:t>
      </w:r>
      <w:r w:rsidR="0079484A" w:rsidRPr="00FF5E15">
        <w:rPr>
          <w:sz w:val="22"/>
          <w:szCs w:val="22"/>
        </w:rPr>
        <w:t xml:space="preserve">DMRS-based </w:t>
      </w:r>
      <w:r w:rsidR="008D18F4" w:rsidRPr="00FF5E15">
        <w:rPr>
          <w:sz w:val="22"/>
          <w:szCs w:val="22"/>
        </w:rPr>
        <w:t>transmission schemes</w:t>
      </w:r>
      <w:r w:rsidR="00FB1459" w:rsidRPr="00FF5E15">
        <w:rPr>
          <w:sz w:val="22"/>
          <w:szCs w:val="22"/>
        </w:rPr>
        <w:t xml:space="preserve"> </w:t>
      </w:r>
      <w:r w:rsidR="001B4F5F" w:rsidRPr="00FF5E15">
        <w:rPr>
          <w:sz w:val="22"/>
          <w:szCs w:val="22"/>
        </w:rPr>
        <w:t xml:space="preserve">against the CRS-based </w:t>
      </w:r>
      <w:r w:rsidR="008D18F4" w:rsidRPr="00FF5E15">
        <w:rPr>
          <w:sz w:val="22"/>
          <w:szCs w:val="22"/>
        </w:rPr>
        <w:t>transmission</w:t>
      </w:r>
      <w:r w:rsidR="007D24B8" w:rsidRPr="00FF5E15">
        <w:rPr>
          <w:sz w:val="22"/>
          <w:szCs w:val="22"/>
        </w:rPr>
        <w:t xml:space="preserve"> </w:t>
      </w:r>
      <w:r w:rsidR="008D18F4" w:rsidRPr="00FF5E15">
        <w:rPr>
          <w:sz w:val="22"/>
          <w:szCs w:val="22"/>
        </w:rPr>
        <w:t>schemes</w:t>
      </w:r>
      <w:r w:rsidR="001B4F5F" w:rsidRPr="00FF5E15">
        <w:rPr>
          <w:sz w:val="22"/>
          <w:szCs w:val="22"/>
        </w:rPr>
        <w:t xml:space="preserve"> by considering the performance, overhead impact and required specification efforts</w:t>
      </w:r>
      <w:r w:rsidR="00E31B05" w:rsidRPr="00FF5E15">
        <w:rPr>
          <w:sz w:val="22"/>
          <w:szCs w:val="22"/>
        </w:rPr>
        <w:t xml:space="preserve"> will be needed</w:t>
      </w:r>
      <w:r w:rsidR="00A23DFC" w:rsidRPr="00FF5E15">
        <w:rPr>
          <w:sz w:val="22"/>
          <w:szCs w:val="22"/>
        </w:rPr>
        <w:t>.</w:t>
      </w:r>
      <w:r w:rsidR="00AA18A2" w:rsidRPr="00FF5E15">
        <w:rPr>
          <w:sz w:val="22"/>
          <w:szCs w:val="22"/>
        </w:rPr>
        <w:t xml:space="preserve"> </w:t>
      </w:r>
    </w:p>
    <w:p w14:paraId="0EC3917E" w14:textId="7FB143F8" w:rsidR="003D7C8B" w:rsidRPr="00FF5E15" w:rsidRDefault="0093240D" w:rsidP="00043850">
      <w:pPr>
        <w:jc w:val="both"/>
        <w:rPr>
          <w:sz w:val="22"/>
          <w:szCs w:val="22"/>
        </w:rPr>
      </w:pPr>
      <w:r w:rsidRPr="00FF5E15">
        <w:rPr>
          <w:caps/>
          <w:sz w:val="22"/>
          <w:szCs w:val="22"/>
        </w:rPr>
        <w:t>a</w:t>
      </w:r>
      <w:r w:rsidRPr="00FF5E15">
        <w:rPr>
          <w:sz w:val="22"/>
          <w:szCs w:val="22"/>
        </w:rPr>
        <w:t>n earlier contribution</w:t>
      </w:r>
      <w:r w:rsidR="004A0663" w:rsidRPr="00FF5E15">
        <w:rPr>
          <w:sz w:val="22"/>
          <w:szCs w:val="22"/>
        </w:rPr>
        <w:t xml:space="preserve"> </w:t>
      </w:r>
      <w:r w:rsidR="001B0BE2" w:rsidRPr="00FF5E15">
        <w:rPr>
          <w:sz w:val="22"/>
          <w:szCs w:val="22"/>
        </w:rPr>
        <w:fldChar w:fldCharType="begin"/>
      </w:r>
      <w:r w:rsidR="001B0BE2" w:rsidRPr="00FF5E15">
        <w:rPr>
          <w:sz w:val="22"/>
          <w:szCs w:val="22"/>
        </w:rPr>
        <w:instrText xml:space="preserve"> REF _Ref442347233 \r \h </w:instrText>
      </w:r>
      <w:r w:rsidR="001B0BE2" w:rsidRPr="00FF5E15">
        <w:rPr>
          <w:sz w:val="22"/>
          <w:szCs w:val="22"/>
        </w:rPr>
      </w:r>
      <w:r w:rsidR="001B0BE2" w:rsidRPr="00FF5E15">
        <w:rPr>
          <w:sz w:val="22"/>
          <w:szCs w:val="22"/>
        </w:rPr>
        <w:fldChar w:fldCharType="separate"/>
      </w:r>
      <w:r w:rsidR="001B0BE2" w:rsidRPr="00FF5E15">
        <w:rPr>
          <w:sz w:val="22"/>
          <w:szCs w:val="22"/>
        </w:rPr>
        <w:t>[8]</w:t>
      </w:r>
      <w:r w:rsidR="001B0BE2" w:rsidRPr="00FF5E15">
        <w:rPr>
          <w:sz w:val="22"/>
          <w:szCs w:val="22"/>
        </w:rPr>
        <w:fldChar w:fldCharType="end"/>
      </w:r>
      <w:r w:rsidR="008765D8" w:rsidRPr="00FF5E15">
        <w:rPr>
          <w:sz w:val="22"/>
          <w:szCs w:val="22"/>
        </w:rPr>
        <w:t xml:space="preserve"> </w:t>
      </w:r>
      <w:r w:rsidR="00424BA9" w:rsidRPr="00FF5E15">
        <w:rPr>
          <w:sz w:val="22"/>
          <w:szCs w:val="22"/>
        </w:rPr>
        <w:t>argue</w:t>
      </w:r>
      <w:r w:rsidRPr="00FF5E15">
        <w:rPr>
          <w:sz w:val="22"/>
          <w:szCs w:val="22"/>
        </w:rPr>
        <w:t>s</w:t>
      </w:r>
      <w:r w:rsidR="00424BA9" w:rsidRPr="00FF5E15">
        <w:rPr>
          <w:sz w:val="22"/>
          <w:szCs w:val="22"/>
        </w:rPr>
        <w:t xml:space="preserve"> that the quality of </w:t>
      </w:r>
      <w:r w:rsidRPr="00FF5E15">
        <w:rPr>
          <w:sz w:val="22"/>
          <w:szCs w:val="22"/>
        </w:rPr>
        <w:t xml:space="preserve">the </w:t>
      </w:r>
      <w:r w:rsidR="00424BA9" w:rsidRPr="00FF5E15">
        <w:rPr>
          <w:sz w:val="22"/>
          <w:szCs w:val="22"/>
        </w:rPr>
        <w:t xml:space="preserve">channel estimate, reusing the legacy pattern from TM8-10, depends </w:t>
      </w:r>
      <w:r w:rsidRPr="00FF5E15">
        <w:rPr>
          <w:sz w:val="22"/>
          <w:szCs w:val="22"/>
        </w:rPr>
        <w:t xml:space="preserve">only </w:t>
      </w:r>
      <w:r w:rsidR="00424BA9" w:rsidRPr="00FF5E15">
        <w:rPr>
          <w:sz w:val="22"/>
          <w:szCs w:val="22"/>
        </w:rPr>
        <w:t xml:space="preserve">on the number of REs used for channel estimate. </w:t>
      </w:r>
      <w:r w:rsidR="003C3174" w:rsidRPr="00FF5E15">
        <w:rPr>
          <w:sz w:val="22"/>
          <w:szCs w:val="22"/>
        </w:rPr>
        <w:t>Indeed</w:t>
      </w:r>
      <w:r w:rsidR="008765D8" w:rsidRPr="00FF5E15">
        <w:rPr>
          <w:sz w:val="22"/>
          <w:szCs w:val="22"/>
        </w:rPr>
        <w:t>,</w:t>
      </w:r>
      <w:r w:rsidR="003C3174" w:rsidRPr="00FF5E15">
        <w:rPr>
          <w:sz w:val="22"/>
          <w:szCs w:val="22"/>
        </w:rPr>
        <w:t xml:space="preserve"> PRB bundling could partly compensate for halved amount of RE</w:t>
      </w:r>
      <w:r w:rsidR="008D18F4" w:rsidRPr="00FF5E15">
        <w:rPr>
          <w:sz w:val="22"/>
          <w:szCs w:val="22"/>
        </w:rPr>
        <w:t>s</w:t>
      </w:r>
      <w:r w:rsidR="003C3174" w:rsidRPr="00FF5E15">
        <w:rPr>
          <w:sz w:val="22"/>
          <w:szCs w:val="22"/>
        </w:rPr>
        <w:t xml:space="preserve"> per PRB. However, i</w:t>
      </w:r>
      <w:r w:rsidR="00424BA9" w:rsidRPr="00FF5E15">
        <w:rPr>
          <w:sz w:val="22"/>
          <w:szCs w:val="22"/>
        </w:rPr>
        <w:t xml:space="preserve">t should </w:t>
      </w:r>
      <w:r w:rsidR="003C3174" w:rsidRPr="00FF5E15">
        <w:rPr>
          <w:sz w:val="22"/>
          <w:szCs w:val="22"/>
        </w:rPr>
        <w:t xml:space="preserve">be as well noted that </w:t>
      </w:r>
      <w:r w:rsidRPr="00FF5E15">
        <w:rPr>
          <w:sz w:val="22"/>
          <w:szCs w:val="22"/>
        </w:rPr>
        <w:t xml:space="preserve">e.g. the </w:t>
      </w:r>
      <w:r w:rsidR="003C3174" w:rsidRPr="00FF5E15">
        <w:rPr>
          <w:sz w:val="22"/>
          <w:szCs w:val="22"/>
        </w:rPr>
        <w:t xml:space="preserve">DM-RS legacy pattern </w:t>
      </w:r>
      <w:r w:rsidRPr="00FF5E15">
        <w:rPr>
          <w:sz w:val="22"/>
          <w:szCs w:val="22"/>
        </w:rPr>
        <w:t xml:space="preserve">in a single slot for slot-based TTI operation </w:t>
      </w:r>
      <w:r w:rsidR="003C3174" w:rsidRPr="00FF5E15">
        <w:rPr>
          <w:sz w:val="22"/>
          <w:szCs w:val="22"/>
        </w:rPr>
        <w:t xml:space="preserve">is incapable of </w:t>
      </w:r>
      <w:r w:rsidR="00820856" w:rsidRPr="00FF5E15">
        <w:rPr>
          <w:sz w:val="22"/>
          <w:szCs w:val="22"/>
        </w:rPr>
        <w:t xml:space="preserve">proper </w:t>
      </w:r>
      <w:r w:rsidR="003C3174" w:rsidRPr="00FF5E15">
        <w:rPr>
          <w:sz w:val="22"/>
          <w:szCs w:val="22"/>
        </w:rPr>
        <w:t xml:space="preserve">channel tracking in time. Therefore, </w:t>
      </w:r>
      <w:r w:rsidRPr="00FF5E15">
        <w:rPr>
          <w:sz w:val="22"/>
          <w:szCs w:val="22"/>
        </w:rPr>
        <w:t xml:space="preserve">the </w:t>
      </w:r>
      <w:r w:rsidR="003C3174" w:rsidRPr="00FF5E15">
        <w:rPr>
          <w:sz w:val="22"/>
          <w:szCs w:val="22"/>
        </w:rPr>
        <w:t xml:space="preserve">robustness </w:t>
      </w:r>
      <w:r w:rsidRPr="00FF5E15">
        <w:rPr>
          <w:sz w:val="22"/>
          <w:szCs w:val="22"/>
        </w:rPr>
        <w:t>in terms of UE speeds will require new DM-RS design considerations</w:t>
      </w:r>
      <w:r w:rsidR="003C3174" w:rsidRPr="00FF5E15">
        <w:rPr>
          <w:sz w:val="22"/>
          <w:szCs w:val="22"/>
        </w:rPr>
        <w:t>.</w:t>
      </w:r>
    </w:p>
    <w:p w14:paraId="45B4F067" w14:textId="77777777" w:rsidR="00E20988" w:rsidRPr="00FF5E15" w:rsidRDefault="00E20988" w:rsidP="00E20988">
      <w:pPr>
        <w:jc w:val="both"/>
        <w:rPr>
          <w:b/>
          <w:i/>
          <w:sz w:val="22"/>
          <w:szCs w:val="22"/>
        </w:rPr>
      </w:pPr>
      <w:r w:rsidRPr="00FF5E15">
        <w:rPr>
          <w:b/>
          <w:i/>
          <w:sz w:val="22"/>
          <w:szCs w:val="22"/>
        </w:rPr>
        <w:lastRenderedPageBreak/>
        <w:t>Observation-3: DMRS pattern redesign for supporting DM-RS based PDSCH demodulation would be at least needed for sTTI lengths shorter than one slot. For slot-level, the current legacy DM-RS pattern can be used. However, worse channel estimation performance can be expected due to reduced number of DM-RS REs per PRB, as well as pattern’s inability to track the channel in time.</w:t>
      </w:r>
    </w:p>
    <w:p w14:paraId="7899F766" w14:textId="77777777" w:rsidR="00E20988" w:rsidRPr="00FF5E15" w:rsidRDefault="00E20988" w:rsidP="00043850">
      <w:pPr>
        <w:jc w:val="both"/>
        <w:rPr>
          <w:sz w:val="22"/>
          <w:szCs w:val="22"/>
        </w:rPr>
      </w:pPr>
    </w:p>
    <w:p w14:paraId="4E897FF2" w14:textId="1C2BD13E" w:rsidR="003D7C8B" w:rsidRPr="00FF5E15" w:rsidRDefault="003D7C8B" w:rsidP="00043850">
      <w:pPr>
        <w:jc w:val="both"/>
        <w:rPr>
          <w:sz w:val="22"/>
          <w:szCs w:val="22"/>
        </w:rPr>
      </w:pPr>
      <w:r w:rsidRPr="00FF5E15">
        <w:rPr>
          <w:sz w:val="22"/>
          <w:szCs w:val="22"/>
        </w:rPr>
        <w:t>We would like to summarize</w:t>
      </w:r>
      <w:r w:rsidR="00E20988" w:rsidRPr="00FF5E15">
        <w:rPr>
          <w:sz w:val="22"/>
          <w:szCs w:val="22"/>
        </w:rPr>
        <w:t xml:space="preserve"> our discussions </w:t>
      </w:r>
      <w:r w:rsidR="00450C51">
        <w:rPr>
          <w:sz w:val="22"/>
          <w:szCs w:val="22"/>
        </w:rPr>
        <w:t xml:space="preserve">on CRS vs DM-RS based transmission modes </w:t>
      </w:r>
      <w:r w:rsidR="00E20988" w:rsidRPr="00FF5E15">
        <w:rPr>
          <w:sz w:val="22"/>
          <w:szCs w:val="22"/>
        </w:rPr>
        <w:t>here with the following related observations and proposal:</w:t>
      </w:r>
    </w:p>
    <w:p w14:paraId="70DE0779" w14:textId="7978E3A2" w:rsidR="00F02A91" w:rsidRPr="00FF5E15" w:rsidRDefault="00B62DC0" w:rsidP="00F02A91">
      <w:pPr>
        <w:jc w:val="both"/>
        <w:rPr>
          <w:b/>
          <w:i/>
          <w:sz w:val="22"/>
          <w:szCs w:val="22"/>
        </w:rPr>
      </w:pPr>
      <w:r w:rsidRPr="00FF5E15">
        <w:rPr>
          <w:b/>
          <w:i/>
          <w:sz w:val="22"/>
          <w:szCs w:val="22"/>
        </w:rPr>
        <w:t>Proposal</w:t>
      </w:r>
      <w:r w:rsidR="001B4F5F" w:rsidRPr="00FF5E15">
        <w:rPr>
          <w:b/>
          <w:i/>
          <w:sz w:val="22"/>
          <w:szCs w:val="22"/>
        </w:rPr>
        <w:t>-</w:t>
      </w:r>
      <w:r w:rsidR="004B3EE0" w:rsidRPr="00FF5E15">
        <w:rPr>
          <w:b/>
          <w:i/>
          <w:sz w:val="22"/>
          <w:szCs w:val="22"/>
        </w:rPr>
        <w:t>6</w:t>
      </w:r>
      <w:r w:rsidR="001B4F5F" w:rsidRPr="00FF5E15">
        <w:rPr>
          <w:b/>
          <w:i/>
          <w:sz w:val="22"/>
          <w:szCs w:val="22"/>
        </w:rPr>
        <w:t>:</w:t>
      </w:r>
      <w:r w:rsidR="00C41D6E" w:rsidRPr="00FF5E15">
        <w:rPr>
          <w:b/>
          <w:i/>
          <w:sz w:val="22"/>
          <w:szCs w:val="22"/>
        </w:rPr>
        <w:t xml:space="preserve"> CRS-based </w:t>
      </w:r>
      <w:r w:rsidR="003D7C8B" w:rsidRPr="00FF5E15">
        <w:rPr>
          <w:b/>
          <w:i/>
          <w:sz w:val="22"/>
          <w:szCs w:val="22"/>
        </w:rPr>
        <w:t>downlink t</w:t>
      </w:r>
      <w:r w:rsidR="00FB1459" w:rsidRPr="00FF5E15">
        <w:rPr>
          <w:b/>
          <w:i/>
          <w:sz w:val="22"/>
          <w:szCs w:val="22"/>
        </w:rPr>
        <w:t xml:space="preserve">ransmission </w:t>
      </w:r>
      <w:r w:rsidR="00E20988" w:rsidRPr="00FF5E15">
        <w:rPr>
          <w:b/>
          <w:i/>
          <w:sz w:val="22"/>
          <w:szCs w:val="22"/>
        </w:rPr>
        <w:t xml:space="preserve">modes </w:t>
      </w:r>
      <w:r w:rsidR="00C41D6E" w:rsidRPr="00FF5E15">
        <w:rPr>
          <w:b/>
          <w:i/>
          <w:sz w:val="22"/>
          <w:szCs w:val="22"/>
        </w:rPr>
        <w:t xml:space="preserve">should </w:t>
      </w:r>
      <w:r w:rsidR="0022298E" w:rsidRPr="00FF5E15">
        <w:rPr>
          <w:b/>
          <w:i/>
          <w:sz w:val="22"/>
          <w:szCs w:val="22"/>
        </w:rPr>
        <w:t xml:space="preserve">be </w:t>
      </w:r>
      <w:r w:rsidR="00C41D6E" w:rsidRPr="00FF5E15">
        <w:rPr>
          <w:b/>
          <w:i/>
          <w:sz w:val="22"/>
          <w:szCs w:val="22"/>
        </w:rPr>
        <w:t>supported with sTTI and utilized as baseline reference.</w:t>
      </w:r>
    </w:p>
    <w:p w14:paraId="54746C18" w14:textId="57F280F1" w:rsidR="00F02A91" w:rsidRPr="00FF5E15" w:rsidRDefault="001B4F5F" w:rsidP="00F02A91">
      <w:pPr>
        <w:jc w:val="both"/>
        <w:rPr>
          <w:b/>
          <w:i/>
          <w:sz w:val="22"/>
          <w:szCs w:val="22"/>
        </w:rPr>
      </w:pPr>
      <w:r w:rsidRPr="00FF5E15">
        <w:rPr>
          <w:b/>
          <w:i/>
          <w:sz w:val="22"/>
          <w:szCs w:val="22"/>
        </w:rPr>
        <w:t>Observation</w:t>
      </w:r>
      <w:r w:rsidR="00C41D6E" w:rsidRPr="00FF5E15">
        <w:rPr>
          <w:b/>
          <w:i/>
          <w:sz w:val="22"/>
          <w:szCs w:val="22"/>
        </w:rPr>
        <w:t>-</w:t>
      </w:r>
      <w:r w:rsidR="00E20988" w:rsidRPr="00FF5E15">
        <w:rPr>
          <w:b/>
          <w:i/>
          <w:sz w:val="22"/>
          <w:szCs w:val="22"/>
        </w:rPr>
        <w:t>4</w:t>
      </w:r>
      <w:r w:rsidRPr="00FF5E15">
        <w:rPr>
          <w:b/>
          <w:i/>
          <w:sz w:val="22"/>
          <w:szCs w:val="22"/>
        </w:rPr>
        <w:t xml:space="preserve">: </w:t>
      </w:r>
      <w:r w:rsidR="000F78E5" w:rsidRPr="00FF5E15">
        <w:rPr>
          <w:b/>
          <w:i/>
          <w:sz w:val="22"/>
          <w:szCs w:val="22"/>
        </w:rPr>
        <w:t xml:space="preserve">The support of DMRS based </w:t>
      </w:r>
      <w:r w:rsidR="00E20988" w:rsidRPr="00FF5E15">
        <w:rPr>
          <w:b/>
          <w:i/>
          <w:sz w:val="22"/>
          <w:szCs w:val="22"/>
        </w:rPr>
        <w:t xml:space="preserve">PDSCH </w:t>
      </w:r>
      <w:r w:rsidR="000F78E5" w:rsidRPr="00FF5E15">
        <w:rPr>
          <w:b/>
          <w:i/>
          <w:sz w:val="22"/>
          <w:szCs w:val="22"/>
        </w:rPr>
        <w:t xml:space="preserve">requiring </w:t>
      </w:r>
      <w:r w:rsidRPr="00FF5E15">
        <w:rPr>
          <w:b/>
          <w:i/>
          <w:sz w:val="22"/>
          <w:szCs w:val="22"/>
        </w:rPr>
        <w:t xml:space="preserve">DMRS enhancements </w:t>
      </w:r>
      <w:r w:rsidR="00E20988" w:rsidRPr="00FF5E15">
        <w:rPr>
          <w:b/>
          <w:i/>
          <w:sz w:val="22"/>
          <w:szCs w:val="22"/>
        </w:rPr>
        <w:t xml:space="preserve">would need to be justified by evaluating </w:t>
      </w:r>
      <w:r w:rsidRPr="00FF5E15">
        <w:rPr>
          <w:b/>
          <w:i/>
          <w:sz w:val="22"/>
          <w:szCs w:val="22"/>
        </w:rPr>
        <w:t xml:space="preserve">performance, overhead, and </w:t>
      </w:r>
      <w:r w:rsidR="00E20988" w:rsidRPr="00FF5E15">
        <w:rPr>
          <w:b/>
          <w:i/>
          <w:sz w:val="22"/>
          <w:szCs w:val="22"/>
        </w:rPr>
        <w:t xml:space="preserve">the </w:t>
      </w:r>
      <w:r w:rsidRPr="00FF5E15">
        <w:rPr>
          <w:b/>
          <w:i/>
          <w:sz w:val="22"/>
          <w:szCs w:val="22"/>
        </w:rPr>
        <w:t xml:space="preserve">required specification </w:t>
      </w:r>
      <w:r w:rsidR="00CF50A0" w:rsidRPr="00FF5E15">
        <w:rPr>
          <w:b/>
          <w:i/>
          <w:sz w:val="22"/>
          <w:szCs w:val="22"/>
        </w:rPr>
        <w:t>efforts</w:t>
      </w:r>
      <w:r w:rsidR="00E20988" w:rsidRPr="00FF5E15">
        <w:rPr>
          <w:b/>
          <w:i/>
          <w:sz w:val="22"/>
          <w:szCs w:val="22"/>
        </w:rPr>
        <w:t xml:space="preserve"> compared to CRS-based PDSCH operation</w:t>
      </w:r>
      <w:r w:rsidR="00AE49F0" w:rsidRPr="00FF5E15">
        <w:rPr>
          <w:b/>
          <w:i/>
          <w:sz w:val="22"/>
          <w:szCs w:val="22"/>
        </w:rPr>
        <w:t xml:space="preserve">. </w:t>
      </w:r>
    </w:p>
    <w:p w14:paraId="1F0950F7" w14:textId="77777777" w:rsidR="00DB4386" w:rsidRPr="00FF5E15" w:rsidRDefault="00DB4386" w:rsidP="00F02A91">
      <w:pPr>
        <w:jc w:val="both"/>
        <w:rPr>
          <w:b/>
          <w:i/>
          <w:sz w:val="22"/>
          <w:szCs w:val="22"/>
        </w:rPr>
      </w:pPr>
    </w:p>
    <w:p w14:paraId="0DCA44C2" w14:textId="0BEC918B" w:rsidR="0034111C" w:rsidRPr="00FF5E15" w:rsidRDefault="00AF000D">
      <w:pPr>
        <w:pStyle w:val="Heading1"/>
        <w:rPr>
          <w:rFonts w:cs="Arial"/>
          <w:lang w:val="en-US"/>
        </w:rPr>
      </w:pPr>
      <w:r w:rsidRPr="00FF5E15">
        <w:rPr>
          <w:rFonts w:cs="Arial"/>
          <w:lang w:val="en-US"/>
        </w:rPr>
        <w:t>4</w:t>
      </w:r>
      <w:r w:rsidR="00FD0F4A" w:rsidRPr="00FF5E15">
        <w:rPr>
          <w:rFonts w:cs="Arial"/>
          <w:lang w:val="en-US"/>
        </w:rPr>
        <w:t xml:space="preserve">. </w:t>
      </w:r>
      <w:r w:rsidR="002951A5" w:rsidRPr="00FF5E15">
        <w:rPr>
          <w:rFonts w:cs="Arial"/>
          <w:lang w:val="en-US"/>
        </w:rPr>
        <w:t>Conclusions</w:t>
      </w:r>
    </w:p>
    <w:p w14:paraId="0F1030DD" w14:textId="79849D15" w:rsidR="002951A5" w:rsidRPr="00FF5E15" w:rsidRDefault="002951A5" w:rsidP="00995A07">
      <w:pPr>
        <w:jc w:val="both"/>
        <w:rPr>
          <w:bCs/>
          <w:sz w:val="22"/>
          <w:szCs w:val="22"/>
        </w:rPr>
      </w:pPr>
      <w:r w:rsidRPr="00FF5E15">
        <w:rPr>
          <w:bCs/>
          <w:sz w:val="22"/>
          <w:szCs w:val="22"/>
        </w:rPr>
        <w:t xml:space="preserve">In this document, we discussed the needed enhancements in downlink direction in order to enable shortened TTI operation for latency reduction. </w:t>
      </w:r>
    </w:p>
    <w:p w14:paraId="23BC90A8" w14:textId="192FAC9D" w:rsidR="00476CB4" w:rsidRPr="00FF5E15" w:rsidRDefault="00995A07" w:rsidP="00995A07">
      <w:pPr>
        <w:jc w:val="both"/>
        <w:rPr>
          <w:bCs/>
          <w:sz w:val="22"/>
          <w:szCs w:val="22"/>
        </w:rPr>
      </w:pPr>
      <w:r w:rsidRPr="00FF5E15">
        <w:rPr>
          <w:bCs/>
          <w:sz w:val="22"/>
          <w:szCs w:val="22"/>
        </w:rPr>
        <w:t>Based on the discussion</w:t>
      </w:r>
      <w:r w:rsidR="002951A5" w:rsidRPr="00FF5E15">
        <w:rPr>
          <w:bCs/>
          <w:sz w:val="22"/>
          <w:szCs w:val="22"/>
        </w:rPr>
        <w:t xml:space="preserve"> in this contribution</w:t>
      </w:r>
      <w:r w:rsidRPr="00FF5E15">
        <w:rPr>
          <w:bCs/>
          <w:sz w:val="22"/>
          <w:szCs w:val="22"/>
        </w:rPr>
        <w:t xml:space="preserve">, we </w:t>
      </w:r>
      <w:r w:rsidR="002951A5" w:rsidRPr="00FF5E15">
        <w:rPr>
          <w:bCs/>
          <w:sz w:val="22"/>
          <w:szCs w:val="22"/>
        </w:rPr>
        <w:t xml:space="preserve">make </w:t>
      </w:r>
      <w:r w:rsidR="001449FA" w:rsidRPr="00FF5E15">
        <w:rPr>
          <w:bCs/>
          <w:sz w:val="22"/>
          <w:szCs w:val="22"/>
        </w:rPr>
        <w:t>the following observation and proposals</w:t>
      </w:r>
      <w:r w:rsidR="00476CB4" w:rsidRPr="00FF5E15">
        <w:rPr>
          <w:bCs/>
          <w:sz w:val="22"/>
          <w:szCs w:val="22"/>
        </w:rPr>
        <w:t>:</w:t>
      </w:r>
    </w:p>
    <w:p w14:paraId="1AEDFB84" w14:textId="237171CB"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Proposal-1: No need to study sTTI enhancements for PBCH as legacy PBCH can be reused also for sTTI capable UEs.</w:t>
      </w:r>
    </w:p>
    <w:p w14:paraId="1CED1379" w14:textId="77777777"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Proposal-2: No need to study enhancements for CRS, PSS/SSS, PRS, DRS and ZP and NZP CSI-RS for sTTI operation. Cell-search, RRM measurements, positioning operation as well as CSI measurements are to be based on legacy RS and legacy operation.</w:t>
      </w:r>
    </w:p>
    <w:p w14:paraId="73DA5754" w14:textId="77777777"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Proposal-3: The shortened TTI downlink studies should focus on the required enhancements to PDSCH and (E)PDCCH.</w:t>
      </w:r>
    </w:p>
    <w:p w14:paraId="01472C0C" w14:textId="77777777"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Proposal-4: Asynchronous HARQ operation could be utilized for sTTI operation which would require no need to study sTTI enhancements for PHICH.</w:t>
      </w:r>
    </w:p>
    <w:p w14:paraId="74A8E96F" w14:textId="77777777" w:rsidR="002951A5" w:rsidRPr="00FF5E15" w:rsidRDefault="002951A5" w:rsidP="002951A5">
      <w:pPr>
        <w:numPr>
          <w:ilvl w:val="0"/>
          <w:numId w:val="44"/>
        </w:numPr>
        <w:ind w:left="426" w:hanging="426"/>
        <w:jc w:val="both"/>
        <w:rPr>
          <w:rFonts w:eastAsia="Times New Roman"/>
          <w:b/>
          <w:i/>
          <w:sz w:val="22"/>
        </w:rPr>
      </w:pPr>
      <w:r w:rsidRPr="00FF5E15">
        <w:rPr>
          <w:rFonts w:eastAsia="Times New Roman"/>
          <w:b/>
          <w:i/>
          <w:sz w:val="22"/>
        </w:rPr>
        <w:t>Observation-1: sEPDCCH provides more flexibility for FDM with legacy users compared to sPDCCH.</w:t>
      </w:r>
    </w:p>
    <w:p w14:paraId="156E50C2" w14:textId="77777777"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 xml:space="preserve">Proposal-5: Consider shortened EPDCCH (sEPDCCH) type of operation (i.e. through frequency domain multiplexing with legacy and short PDSCH) combined with CRS-based demodulation (borrowed from PDCCH operation) for sTTI downlink control channels.  </w:t>
      </w:r>
    </w:p>
    <w:p w14:paraId="4D9E3ED3" w14:textId="77777777" w:rsidR="002951A5" w:rsidRPr="00FF5E15" w:rsidRDefault="002951A5" w:rsidP="002951A5">
      <w:pPr>
        <w:numPr>
          <w:ilvl w:val="0"/>
          <w:numId w:val="44"/>
        </w:numPr>
        <w:ind w:left="426" w:hanging="426"/>
        <w:jc w:val="both"/>
        <w:rPr>
          <w:rFonts w:eastAsia="Times New Roman"/>
          <w:b/>
          <w:i/>
          <w:sz w:val="22"/>
        </w:rPr>
      </w:pPr>
      <w:r w:rsidRPr="00FF5E15">
        <w:rPr>
          <w:rFonts w:eastAsia="Times New Roman"/>
          <w:b/>
          <w:i/>
          <w:sz w:val="22"/>
        </w:rPr>
        <w:t>Observation-2: Studies are needed on the definition of sEPDCCH in terms of number of PRBs or REs per sEPDCCH set, RE/EREG/ECCE mapping as well as the applicable aggregation levels.</w:t>
      </w:r>
    </w:p>
    <w:p w14:paraId="510E7A24" w14:textId="77777777" w:rsidR="002951A5" w:rsidRPr="00FF5E15" w:rsidRDefault="002951A5" w:rsidP="002951A5">
      <w:pPr>
        <w:numPr>
          <w:ilvl w:val="0"/>
          <w:numId w:val="44"/>
        </w:numPr>
        <w:ind w:left="426" w:hanging="426"/>
        <w:jc w:val="both"/>
        <w:rPr>
          <w:rFonts w:eastAsia="Times New Roman"/>
          <w:b/>
          <w:i/>
          <w:sz w:val="22"/>
        </w:rPr>
      </w:pPr>
      <w:r w:rsidRPr="00FF5E15">
        <w:rPr>
          <w:rFonts w:eastAsia="Times New Roman"/>
          <w:b/>
          <w:i/>
          <w:sz w:val="22"/>
        </w:rPr>
        <w:t>Observation-3: DMRS pattern redesign for supporting DM-RS based PDSCH demodulation would be at least needed for sTTI lengths shorter than one slot. For slot-level, the current legacy DM-RS pattern can be used. However, worse channel estimation performance can be expected due to reduced number of DM-RS REs per PRB, as well as pattern’s inability to track the channel in time.</w:t>
      </w:r>
    </w:p>
    <w:p w14:paraId="5A844F14" w14:textId="77777777" w:rsidR="002951A5" w:rsidRPr="00FF5E15" w:rsidRDefault="002951A5" w:rsidP="002951A5">
      <w:pPr>
        <w:numPr>
          <w:ilvl w:val="0"/>
          <w:numId w:val="44"/>
        </w:numPr>
        <w:ind w:left="426" w:hanging="426"/>
        <w:jc w:val="both"/>
        <w:rPr>
          <w:rFonts w:eastAsia="Times New Roman"/>
          <w:b/>
          <w:sz w:val="22"/>
        </w:rPr>
      </w:pPr>
      <w:r w:rsidRPr="00FF5E15">
        <w:rPr>
          <w:rFonts w:eastAsia="Times New Roman"/>
          <w:b/>
          <w:sz w:val="22"/>
        </w:rPr>
        <w:t>Proposal-6: CRS-based downlink transmission modes should be supported with sTTI and utilized as baseline reference.</w:t>
      </w:r>
    </w:p>
    <w:p w14:paraId="20DA8836" w14:textId="77777777" w:rsidR="002951A5" w:rsidRPr="00FF5E15" w:rsidRDefault="002951A5" w:rsidP="002951A5">
      <w:pPr>
        <w:numPr>
          <w:ilvl w:val="0"/>
          <w:numId w:val="44"/>
        </w:numPr>
        <w:ind w:left="426" w:hanging="426"/>
        <w:jc w:val="both"/>
        <w:rPr>
          <w:rFonts w:eastAsia="Times New Roman"/>
          <w:b/>
          <w:i/>
          <w:sz w:val="22"/>
        </w:rPr>
      </w:pPr>
      <w:r w:rsidRPr="00FF5E15">
        <w:rPr>
          <w:rFonts w:eastAsia="Times New Roman"/>
          <w:b/>
          <w:i/>
          <w:sz w:val="22"/>
        </w:rPr>
        <w:t xml:space="preserve">Observation-4: The support of DMRS based PDSCH requiring DMRS enhancements would need to be justified by evaluating performance, overhead, and the required specification efforts compared to CRS-based PDSCH operation. </w:t>
      </w:r>
    </w:p>
    <w:p w14:paraId="513CC652" w14:textId="1A59A6EF" w:rsidR="0034111C" w:rsidRPr="00FF5E15" w:rsidRDefault="00AF000D">
      <w:pPr>
        <w:pStyle w:val="Heading1"/>
        <w:rPr>
          <w:rFonts w:cs="Arial"/>
          <w:lang w:val="en-US"/>
        </w:rPr>
      </w:pPr>
      <w:r w:rsidRPr="00FF5E15">
        <w:rPr>
          <w:rFonts w:cs="Arial"/>
          <w:lang w:val="en-US"/>
        </w:rPr>
        <w:lastRenderedPageBreak/>
        <w:t>5</w:t>
      </w:r>
      <w:r w:rsidR="00F609BB" w:rsidRPr="00FF5E15">
        <w:rPr>
          <w:rFonts w:cs="Arial"/>
          <w:lang w:val="en-US"/>
        </w:rPr>
        <w:t xml:space="preserve">. </w:t>
      </w:r>
      <w:r w:rsidR="0034111C" w:rsidRPr="00FF5E15">
        <w:rPr>
          <w:rFonts w:cs="Arial"/>
          <w:lang w:val="en-US"/>
        </w:rPr>
        <w:t>References</w:t>
      </w:r>
    </w:p>
    <w:p w14:paraId="23912ACE" w14:textId="77777777" w:rsidR="0037365A" w:rsidRPr="00FF5E15" w:rsidRDefault="000B75EC" w:rsidP="003B0A4D">
      <w:pPr>
        <w:numPr>
          <w:ilvl w:val="0"/>
          <w:numId w:val="1"/>
        </w:numPr>
        <w:rPr>
          <w:rFonts w:ascii="Arial" w:hAnsi="Arial" w:cs="Arial"/>
        </w:rPr>
      </w:pPr>
      <w:r w:rsidRPr="00FF5E15">
        <w:rPr>
          <w:rFonts w:ascii="Arial" w:hAnsi="Arial" w:cs="Arial"/>
        </w:rPr>
        <w:t>RP-150465, “New SI proposal: Study on Latency reduction techniques for LTE”, RAN Meeting #67, Shanghai, China, March. 9-12, 2015.</w:t>
      </w:r>
    </w:p>
    <w:p w14:paraId="185F6043" w14:textId="4892B63A" w:rsidR="00A25E3C" w:rsidRPr="00FF5E15" w:rsidRDefault="003A5A79" w:rsidP="00A25E3C">
      <w:pPr>
        <w:pStyle w:val="Reference"/>
        <w:keepNext/>
        <w:keepLines/>
        <w:numPr>
          <w:ilvl w:val="0"/>
          <w:numId w:val="1"/>
        </w:numPr>
        <w:rPr>
          <w:lang w:val="en-US"/>
        </w:rPr>
      </w:pPr>
      <w:bookmarkStart w:id="2" w:name="_Ref441751908"/>
      <w:r w:rsidRPr="00FF5E15">
        <w:rPr>
          <w:lang w:val="en-US"/>
        </w:rPr>
        <w:t>R1-160785</w:t>
      </w:r>
      <w:r w:rsidRPr="00FF5E15" w:rsidDel="003A5A79">
        <w:rPr>
          <w:lang w:val="en-US"/>
        </w:rPr>
        <w:t xml:space="preserve"> </w:t>
      </w:r>
      <w:r w:rsidR="00A25E3C" w:rsidRPr="00FF5E15">
        <w:rPr>
          <w:lang w:val="en-US"/>
        </w:rPr>
        <w:t>, “On shorter TTI for latency reduction”, Nokia Networks, Alcatel-Lucent, Alcatel-Lucent Shanghai Bell, RAN1#84,</w:t>
      </w:r>
      <w:r w:rsidR="00A25E3C" w:rsidRPr="00FF5E15">
        <w:rPr>
          <w:rFonts w:cs="Arial"/>
          <w:bCs/>
          <w:lang w:val="en-US"/>
        </w:rPr>
        <w:t xml:space="preserve"> St Julian’s,</w:t>
      </w:r>
      <w:r w:rsidR="00A25E3C" w:rsidRPr="00FF5E15">
        <w:rPr>
          <w:lang w:val="en-US"/>
        </w:rPr>
        <w:t xml:space="preserve"> Malta, 15-19 February 2015</w:t>
      </w:r>
    </w:p>
    <w:bookmarkEnd w:id="2"/>
    <w:p w14:paraId="1DFCA6E2" w14:textId="6F30FD7A" w:rsidR="00A25E3C" w:rsidRPr="00FF5E15" w:rsidRDefault="00A25E3C" w:rsidP="00A25E3C">
      <w:pPr>
        <w:pStyle w:val="Reference"/>
        <w:keepNext/>
        <w:keepLines/>
        <w:numPr>
          <w:ilvl w:val="0"/>
          <w:numId w:val="1"/>
        </w:numPr>
        <w:rPr>
          <w:lang w:val="en-US"/>
        </w:rPr>
      </w:pPr>
      <w:r w:rsidRPr="00FF5E15">
        <w:rPr>
          <w:lang w:val="en-US"/>
        </w:rPr>
        <w:t>R1-16</w:t>
      </w:r>
      <w:r w:rsidR="007F5511" w:rsidRPr="00FF5E15">
        <w:rPr>
          <w:lang w:val="en-US"/>
        </w:rPr>
        <w:t>0798</w:t>
      </w:r>
      <w:r w:rsidRPr="00FF5E15">
        <w:rPr>
          <w:lang w:val="en-US"/>
        </w:rPr>
        <w:t>, “Considerations of FDD DL HARQ for supporting latency reduction”, Nokia Networks, Alcatel-Lucent, Alcatel-Lucent Shanghai Bell, RAN1#84,</w:t>
      </w:r>
      <w:r w:rsidRPr="00FF5E15">
        <w:rPr>
          <w:rFonts w:cs="Arial"/>
          <w:bCs/>
          <w:lang w:val="en-US"/>
        </w:rPr>
        <w:t xml:space="preserve"> St Julian’s,</w:t>
      </w:r>
      <w:r w:rsidRPr="00FF5E15">
        <w:rPr>
          <w:lang w:val="en-US"/>
        </w:rPr>
        <w:t xml:space="preserve"> Malta, 15-19 February 2015</w:t>
      </w:r>
    </w:p>
    <w:p w14:paraId="009AFCF4" w14:textId="457917D2" w:rsidR="00A25E3C" w:rsidRPr="00FF5E15" w:rsidRDefault="00A25E3C" w:rsidP="00A25E3C">
      <w:pPr>
        <w:pStyle w:val="Reference"/>
        <w:keepNext/>
        <w:keepLines/>
        <w:numPr>
          <w:ilvl w:val="0"/>
          <w:numId w:val="1"/>
        </w:numPr>
        <w:rPr>
          <w:lang w:val="en-US"/>
        </w:rPr>
      </w:pPr>
      <w:bookmarkStart w:id="3" w:name="_Ref441751909"/>
      <w:r w:rsidRPr="00FF5E15">
        <w:rPr>
          <w:lang w:val="en-US"/>
        </w:rPr>
        <w:t>R1-16</w:t>
      </w:r>
      <w:r w:rsidR="007F5511" w:rsidRPr="00FF5E15">
        <w:rPr>
          <w:lang w:val="en-US"/>
        </w:rPr>
        <w:t>0799</w:t>
      </w:r>
      <w:r w:rsidRPr="00FF5E15">
        <w:rPr>
          <w:lang w:val="en-US"/>
        </w:rPr>
        <w:t>, “Considerations on UL HARQ for supporting latency reduction”, Nokia Networks, Alcatel-Lucent, Alcatel-Lucent Shanghai Bell, RAN1#84,</w:t>
      </w:r>
      <w:r w:rsidRPr="00FF5E15">
        <w:rPr>
          <w:rFonts w:cs="Arial"/>
          <w:bCs/>
          <w:lang w:val="en-US"/>
        </w:rPr>
        <w:t xml:space="preserve"> St Julian’s,</w:t>
      </w:r>
      <w:r w:rsidRPr="00FF5E15">
        <w:rPr>
          <w:lang w:val="en-US"/>
        </w:rPr>
        <w:t xml:space="preserve"> Malta, 15-19 February 2015</w:t>
      </w:r>
      <w:bookmarkEnd w:id="3"/>
    </w:p>
    <w:p w14:paraId="54E6CFBE" w14:textId="06B6495B" w:rsidR="00A25E3C" w:rsidRPr="00FF5E15" w:rsidRDefault="00A25E3C" w:rsidP="00A25E3C">
      <w:pPr>
        <w:pStyle w:val="Reference"/>
        <w:keepNext/>
        <w:keepLines/>
        <w:numPr>
          <w:ilvl w:val="0"/>
          <w:numId w:val="1"/>
        </w:numPr>
        <w:rPr>
          <w:lang w:val="en-US"/>
        </w:rPr>
      </w:pPr>
      <w:bookmarkStart w:id="4" w:name="_Ref441751911"/>
      <w:r w:rsidRPr="00FF5E15">
        <w:rPr>
          <w:lang w:val="en-US"/>
        </w:rPr>
        <w:t>R1-16</w:t>
      </w:r>
      <w:r w:rsidR="009E2A77" w:rsidRPr="00FF5E15">
        <w:rPr>
          <w:lang w:val="en-US"/>
        </w:rPr>
        <w:t>0779</w:t>
      </w:r>
      <w:r w:rsidRPr="00FF5E15">
        <w:rPr>
          <w:lang w:val="en-US"/>
        </w:rPr>
        <w:t xml:space="preserve">, “UL aspects related to TTI shortening”, Nokia Networks, Alcatel-Lucent, Alcatel-Lucent Shanghai Bell, RAN1#84, </w:t>
      </w:r>
      <w:r w:rsidRPr="00FF5E15">
        <w:rPr>
          <w:rFonts w:cs="Arial"/>
          <w:bCs/>
          <w:lang w:val="en-US"/>
        </w:rPr>
        <w:t>St Julian’s,</w:t>
      </w:r>
      <w:r w:rsidRPr="00FF5E15">
        <w:rPr>
          <w:lang w:val="en-US"/>
        </w:rPr>
        <w:t xml:space="preserve"> Malta, 15-19 February 2015</w:t>
      </w:r>
      <w:bookmarkEnd w:id="4"/>
    </w:p>
    <w:p w14:paraId="2590C82E" w14:textId="4BB8C91D" w:rsidR="003A5A79" w:rsidRPr="00FF5E15" w:rsidRDefault="00A25E3C">
      <w:pPr>
        <w:pStyle w:val="Reference"/>
        <w:keepNext/>
        <w:keepLines/>
        <w:numPr>
          <w:ilvl w:val="0"/>
          <w:numId w:val="1"/>
        </w:numPr>
        <w:rPr>
          <w:lang w:val="en-US"/>
        </w:rPr>
      </w:pPr>
      <w:bookmarkStart w:id="5" w:name="_Ref441751912"/>
      <w:r w:rsidRPr="00FF5E15">
        <w:rPr>
          <w:lang w:val="en-US"/>
        </w:rPr>
        <w:t>R1-16</w:t>
      </w:r>
      <w:r w:rsidR="009E2A77" w:rsidRPr="00FF5E15">
        <w:rPr>
          <w:lang w:val="en-US"/>
        </w:rPr>
        <w:t>0780</w:t>
      </w:r>
      <w:r w:rsidRPr="00FF5E15">
        <w:rPr>
          <w:lang w:val="en-US"/>
        </w:rPr>
        <w:t>, “</w:t>
      </w:r>
      <w:r w:rsidR="009E2A77" w:rsidRPr="00FF5E15">
        <w:rPr>
          <w:lang w:val="en-US"/>
        </w:rPr>
        <w:t>S</w:t>
      </w:r>
      <w:r w:rsidRPr="00FF5E15">
        <w:rPr>
          <w:lang w:val="en-US"/>
        </w:rPr>
        <w:t xml:space="preserve">horter TTI </w:t>
      </w:r>
      <w:r w:rsidR="009E2A77" w:rsidRPr="00FF5E15">
        <w:rPr>
          <w:lang w:val="en-US"/>
        </w:rPr>
        <w:t xml:space="preserve">enhancements for </w:t>
      </w:r>
      <w:r w:rsidRPr="00FF5E15">
        <w:rPr>
          <w:lang w:val="en-US"/>
        </w:rPr>
        <w:t>TDD”, Nokia Networks, Alcatel-Lucent, Alcatel-Lucent Shanghai Bell, RAN1#84,</w:t>
      </w:r>
      <w:r w:rsidRPr="00FF5E15">
        <w:rPr>
          <w:rFonts w:cs="Arial"/>
          <w:bCs/>
          <w:lang w:val="en-US"/>
        </w:rPr>
        <w:t xml:space="preserve"> St Julian’s,</w:t>
      </w:r>
      <w:r w:rsidRPr="00FF5E15">
        <w:rPr>
          <w:lang w:val="en-US"/>
        </w:rPr>
        <w:t xml:space="preserve"> Malta, 15-19 February 2015</w:t>
      </w:r>
      <w:bookmarkEnd w:id="5"/>
    </w:p>
    <w:p w14:paraId="31D42E51" w14:textId="3E5C5372" w:rsidR="003A5A79" w:rsidRPr="00FF5E15" w:rsidRDefault="003A5A79">
      <w:pPr>
        <w:pStyle w:val="Reference"/>
        <w:keepNext/>
        <w:keepLines/>
        <w:numPr>
          <w:ilvl w:val="0"/>
          <w:numId w:val="1"/>
        </w:numPr>
        <w:rPr>
          <w:lang w:val="en-US"/>
        </w:rPr>
      </w:pPr>
      <w:r w:rsidRPr="00FF5E15">
        <w:rPr>
          <w:lang w:val="en-US"/>
        </w:rPr>
        <w:t>R1-1</w:t>
      </w:r>
      <w:r w:rsidRPr="00FF5E15">
        <w:rPr>
          <w:color w:val="000000" w:themeColor="text1"/>
          <w:lang w:val="en-US"/>
        </w:rPr>
        <w:t>6079</w:t>
      </w:r>
      <w:r w:rsidRPr="00FF5E15">
        <w:rPr>
          <w:lang w:val="en-US"/>
        </w:rPr>
        <w:t>0, “System-level evaluation of TTI shortening”, Nokia Networks, Alcatel-Lucent, Alcatel-Lucent Shanghai Bell, RAN1#84,</w:t>
      </w:r>
      <w:r w:rsidRPr="00FF5E15">
        <w:rPr>
          <w:rFonts w:cs="Arial"/>
          <w:bCs/>
          <w:lang w:val="en-US"/>
        </w:rPr>
        <w:t xml:space="preserve"> St Julian’s,</w:t>
      </w:r>
      <w:r w:rsidRPr="00FF5E15">
        <w:rPr>
          <w:lang w:val="en-US"/>
        </w:rPr>
        <w:t xml:space="preserve"> Malta, 15-19 February 2015</w:t>
      </w:r>
    </w:p>
    <w:p w14:paraId="61798EDD" w14:textId="77777777" w:rsidR="008765D8" w:rsidRPr="00FF5E15" w:rsidRDefault="008765D8" w:rsidP="008765D8">
      <w:pPr>
        <w:numPr>
          <w:ilvl w:val="0"/>
          <w:numId w:val="1"/>
        </w:numPr>
        <w:rPr>
          <w:rFonts w:ascii="Arial" w:hAnsi="Arial" w:cs="Arial"/>
        </w:rPr>
      </w:pPr>
      <w:bookmarkStart w:id="6" w:name="_Ref442347233"/>
      <w:r w:rsidRPr="00FF5E15">
        <w:rPr>
          <w:rFonts w:ascii="Arial" w:hAnsi="Arial" w:cs="Arial"/>
        </w:rPr>
        <w:t>R1-157148, “Physical layer aspects of TTI shortening for downlink transmissions”, Ericsson, RAN1#83, Anaheim, USA, 15-22 November 2015</w:t>
      </w:r>
      <w:bookmarkEnd w:id="6"/>
    </w:p>
    <w:p w14:paraId="074F72BA" w14:textId="5111C7D5" w:rsidR="008765D8" w:rsidRPr="00FF5E15" w:rsidRDefault="008765D8" w:rsidP="00F02A91">
      <w:pPr>
        <w:pStyle w:val="Reference"/>
        <w:keepNext/>
        <w:keepLines/>
        <w:numPr>
          <w:ilvl w:val="0"/>
          <w:numId w:val="0"/>
        </w:numPr>
        <w:ind w:left="357"/>
        <w:rPr>
          <w:lang w:val="en-US"/>
        </w:rPr>
      </w:pPr>
    </w:p>
    <w:p w14:paraId="45A49FE0" w14:textId="77777777" w:rsidR="00DD528E" w:rsidRPr="00FF5E15" w:rsidRDefault="00DD528E" w:rsidP="00DD528E">
      <w:pPr>
        <w:ind w:left="357"/>
        <w:rPr>
          <w:rFonts w:ascii="Arial" w:hAnsi="Arial" w:cs="Arial"/>
        </w:rPr>
      </w:pPr>
    </w:p>
    <w:p w14:paraId="0331C4DF" w14:textId="77777777" w:rsidR="00B018FF" w:rsidRPr="00FF5E15" w:rsidRDefault="00B018FF" w:rsidP="0091066A">
      <w:pPr>
        <w:rPr>
          <w:rFonts w:ascii="Arial" w:hAnsi="Arial" w:cs="Arial"/>
          <w:sz w:val="22"/>
          <w:szCs w:val="22"/>
        </w:rPr>
      </w:pPr>
      <w:bookmarkStart w:id="7" w:name="_GoBack"/>
      <w:bookmarkEnd w:id="7"/>
    </w:p>
    <w:sectPr w:rsidR="00B018FF" w:rsidRPr="00FF5E15"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F3AE9" w14:textId="77777777" w:rsidR="00EB1A46" w:rsidRDefault="00EB1A46">
      <w:r>
        <w:separator/>
      </w:r>
    </w:p>
  </w:endnote>
  <w:endnote w:type="continuationSeparator" w:id="0">
    <w:p w14:paraId="0E198F75" w14:textId="77777777" w:rsidR="00EB1A46" w:rsidRDefault="00EB1A46">
      <w:r>
        <w:continuationSeparator/>
      </w:r>
    </w:p>
  </w:endnote>
  <w:endnote w:type="continuationNotice" w:id="1">
    <w:p w14:paraId="13074B32" w14:textId="77777777" w:rsidR="00EB1A46" w:rsidRDefault="00EB1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3F88" w14:textId="77777777" w:rsidR="001A4CF5" w:rsidRDefault="000B75EC">
    <w:pPr>
      <w:pStyle w:val="Footer"/>
      <w:jc w:val="right"/>
    </w:pPr>
    <w:r>
      <w:fldChar w:fldCharType="begin"/>
    </w:r>
    <w:r w:rsidR="00575DCC">
      <w:instrText xml:space="preserve"> PAGE   \* MERGEFORMAT </w:instrText>
    </w:r>
    <w:r>
      <w:fldChar w:fldCharType="separate"/>
    </w:r>
    <w:r w:rsidR="00450C51">
      <w:t>6</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A0DC8" w14:textId="77777777" w:rsidR="00EB1A46" w:rsidRDefault="00EB1A46">
      <w:r>
        <w:separator/>
      </w:r>
    </w:p>
  </w:footnote>
  <w:footnote w:type="continuationSeparator" w:id="0">
    <w:p w14:paraId="3F38472A" w14:textId="77777777" w:rsidR="00EB1A46" w:rsidRDefault="00EB1A46">
      <w:r>
        <w:continuationSeparator/>
      </w:r>
    </w:p>
  </w:footnote>
  <w:footnote w:type="continuationNotice" w:id="1">
    <w:p w14:paraId="709C6692" w14:textId="77777777" w:rsidR="00EB1A46" w:rsidRDefault="00EB1A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008E5"/>
    <w:multiLevelType w:val="hybridMultilevel"/>
    <w:tmpl w:val="1980B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FD2338"/>
    <w:multiLevelType w:val="hybridMultilevel"/>
    <w:tmpl w:val="A5AA0F8C"/>
    <w:lvl w:ilvl="0" w:tplc="04090001">
      <w:start w:val="1"/>
      <w:numFmt w:val="bullet"/>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7"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8"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1"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07404F"/>
    <w:multiLevelType w:val="hybridMultilevel"/>
    <w:tmpl w:val="D6540E8A"/>
    <w:lvl w:ilvl="0" w:tplc="445839DC">
      <w:start w:val="1"/>
      <w:numFmt w:val="bullet"/>
      <w:lvlText w:val="•"/>
      <w:lvlJc w:val="left"/>
      <w:pPr>
        <w:tabs>
          <w:tab w:val="num" w:pos="360"/>
        </w:tabs>
        <w:ind w:left="360" w:hanging="360"/>
      </w:pPr>
      <w:rPr>
        <w:rFonts w:ascii="Arial" w:hAnsi="Arial" w:hint="default"/>
      </w:rPr>
    </w:lvl>
    <w:lvl w:ilvl="1" w:tplc="1186A71A">
      <w:start w:val="1"/>
      <w:numFmt w:val="bullet"/>
      <w:lvlText w:val="•"/>
      <w:lvlJc w:val="left"/>
      <w:pPr>
        <w:tabs>
          <w:tab w:val="num" w:pos="1080"/>
        </w:tabs>
        <w:ind w:left="1080" w:hanging="360"/>
      </w:pPr>
      <w:rPr>
        <w:rFonts w:ascii="Arial" w:hAnsi="Arial" w:hint="default"/>
      </w:rPr>
    </w:lvl>
    <w:lvl w:ilvl="2" w:tplc="FA428346">
      <w:start w:val="1"/>
      <w:numFmt w:val="bullet"/>
      <w:lvlText w:val="•"/>
      <w:lvlJc w:val="left"/>
      <w:pPr>
        <w:tabs>
          <w:tab w:val="num" w:pos="1800"/>
        </w:tabs>
        <w:ind w:left="1800" w:hanging="360"/>
      </w:pPr>
      <w:rPr>
        <w:rFonts w:ascii="Arial" w:hAnsi="Arial" w:hint="default"/>
      </w:rPr>
    </w:lvl>
    <w:lvl w:ilvl="3" w:tplc="8BA228F4" w:tentative="1">
      <w:start w:val="1"/>
      <w:numFmt w:val="bullet"/>
      <w:lvlText w:val="•"/>
      <w:lvlJc w:val="left"/>
      <w:pPr>
        <w:tabs>
          <w:tab w:val="num" w:pos="2520"/>
        </w:tabs>
        <w:ind w:left="2520" w:hanging="360"/>
      </w:pPr>
      <w:rPr>
        <w:rFonts w:ascii="Arial" w:hAnsi="Arial" w:hint="default"/>
      </w:rPr>
    </w:lvl>
    <w:lvl w:ilvl="4" w:tplc="6C02261E" w:tentative="1">
      <w:start w:val="1"/>
      <w:numFmt w:val="bullet"/>
      <w:lvlText w:val="•"/>
      <w:lvlJc w:val="left"/>
      <w:pPr>
        <w:tabs>
          <w:tab w:val="num" w:pos="3240"/>
        </w:tabs>
        <w:ind w:left="3240" w:hanging="360"/>
      </w:pPr>
      <w:rPr>
        <w:rFonts w:ascii="Arial" w:hAnsi="Arial" w:hint="default"/>
      </w:rPr>
    </w:lvl>
    <w:lvl w:ilvl="5" w:tplc="CCB4BA66" w:tentative="1">
      <w:start w:val="1"/>
      <w:numFmt w:val="bullet"/>
      <w:lvlText w:val="•"/>
      <w:lvlJc w:val="left"/>
      <w:pPr>
        <w:tabs>
          <w:tab w:val="num" w:pos="3960"/>
        </w:tabs>
        <w:ind w:left="3960" w:hanging="360"/>
      </w:pPr>
      <w:rPr>
        <w:rFonts w:ascii="Arial" w:hAnsi="Arial" w:hint="default"/>
      </w:rPr>
    </w:lvl>
    <w:lvl w:ilvl="6" w:tplc="63DC7D14" w:tentative="1">
      <w:start w:val="1"/>
      <w:numFmt w:val="bullet"/>
      <w:lvlText w:val="•"/>
      <w:lvlJc w:val="left"/>
      <w:pPr>
        <w:tabs>
          <w:tab w:val="num" w:pos="4680"/>
        </w:tabs>
        <w:ind w:left="4680" w:hanging="360"/>
      </w:pPr>
      <w:rPr>
        <w:rFonts w:ascii="Arial" w:hAnsi="Arial" w:hint="default"/>
      </w:rPr>
    </w:lvl>
    <w:lvl w:ilvl="7" w:tplc="EABCDD58" w:tentative="1">
      <w:start w:val="1"/>
      <w:numFmt w:val="bullet"/>
      <w:lvlText w:val="•"/>
      <w:lvlJc w:val="left"/>
      <w:pPr>
        <w:tabs>
          <w:tab w:val="num" w:pos="5400"/>
        </w:tabs>
        <w:ind w:left="5400" w:hanging="360"/>
      </w:pPr>
      <w:rPr>
        <w:rFonts w:ascii="Arial" w:hAnsi="Arial" w:hint="default"/>
      </w:rPr>
    </w:lvl>
    <w:lvl w:ilvl="8" w:tplc="383A670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5"/>
  </w:num>
  <w:num w:numId="4">
    <w:abstractNumId w:val="36"/>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2"/>
  </w:num>
  <w:num w:numId="12">
    <w:abstractNumId w:val="28"/>
  </w:num>
  <w:num w:numId="13">
    <w:abstractNumId w:val="34"/>
  </w:num>
  <w:num w:numId="14">
    <w:abstractNumId w:val="32"/>
  </w:num>
  <w:num w:numId="15">
    <w:abstractNumId w:val="22"/>
  </w:num>
  <w:num w:numId="16">
    <w:abstractNumId w:val="38"/>
  </w:num>
  <w:num w:numId="17">
    <w:abstractNumId w:val="14"/>
  </w:num>
  <w:num w:numId="18">
    <w:abstractNumId w:val="11"/>
  </w:num>
  <w:num w:numId="19">
    <w:abstractNumId w:val="8"/>
  </w:num>
  <w:num w:numId="20">
    <w:abstractNumId w:val="41"/>
  </w:num>
  <w:num w:numId="21">
    <w:abstractNumId w:val="15"/>
  </w:num>
  <w:num w:numId="22">
    <w:abstractNumId w:val="10"/>
  </w:num>
  <w:num w:numId="23">
    <w:abstractNumId w:val="18"/>
  </w:num>
  <w:num w:numId="24">
    <w:abstractNumId w:val="33"/>
  </w:num>
  <w:num w:numId="25">
    <w:abstractNumId w:val="21"/>
  </w:num>
  <w:num w:numId="26">
    <w:abstractNumId w:val="4"/>
  </w:num>
  <w:num w:numId="27">
    <w:abstractNumId w:val="39"/>
  </w:num>
  <w:num w:numId="28">
    <w:abstractNumId w:val="25"/>
  </w:num>
  <w:num w:numId="29">
    <w:abstractNumId w:val="20"/>
  </w:num>
  <w:num w:numId="30">
    <w:abstractNumId w:val="0"/>
  </w:num>
  <w:num w:numId="31">
    <w:abstractNumId w:val="1"/>
  </w:num>
  <w:num w:numId="32">
    <w:abstractNumId w:val="3"/>
  </w:num>
  <w:num w:numId="33">
    <w:abstractNumId w:val="26"/>
  </w:num>
  <w:num w:numId="34">
    <w:abstractNumId w:val="9"/>
  </w:num>
  <w:num w:numId="35">
    <w:abstractNumId w:val="35"/>
  </w:num>
  <w:num w:numId="36">
    <w:abstractNumId w:val="6"/>
  </w:num>
  <w:num w:numId="37">
    <w:abstractNumId w:val="43"/>
  </w:num>
  <w:num w:numId="38">
    <w:abstractNumId w:val="13"/>
  </w:num>
  <w:num w:numId="39">
    <w:abstractNumId w:val="31"/>
  </w:num>
  <w:num w:numId="40">
    <w:abstractNumId w:val="40"/>
  </w:num>
  <w:num w:numId="41">
    <w:abstractNumId w:val="27"/>
  </w:num>
  <w:num w:numId="42">
    <w:abstractNumId w:val="42"/>
  </w:num>
  <w:num w:numId="43">
    <w:abstractNumId w:val="7"/>
  </w:num>
  <w:num w:numId="44">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106D7"/>
    <w:rsid w:val="00010772"/>
    <w:rsid w:val="000112B3"/>
    <w:rsid w:val="00012252"/>
    <w:rsid w:val="00012CB6"/>
    <w:rsid w:val="00012F7D"/>
    <w:rsid w:val="00012F9C"/>
    <w:rsid w:val="00013E39"/>
    <w:rsid w:val="000144A0"/>
    <w:rsid w:val="0001564F"/>
    <w:rsid w:val="00016555"/>
    <w:rsid w:val="00016847"/>
    <w:rsid w:val="00016DEC"/>
    <w:rsid w:val="00017688"/>
    <w:rsid w:val="00020195"/>
    <w:rsid w:val="00020BD7"/>
    <w:rsid w:val="00020FCD"/>
    <w:rsid w:val="00022902"/>
    <w:rsid w:val="000229A6"/>
    <w:rsid w:val="00024CD1"/>
    <w:rsid w:val="00026250"/>
    <w:rsid w:val="00026FBC"/>
    <w:rsid w:val="0002702F"/>
    <w:rsid w:val="000274FA"/>
    <w:rsid w:val="00027527"/>
    <w:rsid w:val="000279A2"/>
    <w:rsid w:val="00027C6B"/>
    <w:rsid w:val="00027F46"/>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4120B"/>
    <w:rsid w:val="0004196F"/>
    <w:rsid w:val="00041D4C"/>
    <w:rsid w:val="00042AF5"/>
    <w:rsid w:val="00042E09"/>
    <w:rsid w:val="0004347C"/>
    <w:rsid w:val="00043850"/>
    <w:rsid w:val="000438DD"/>
    <w:rsid w:val="00043D01"/>
    <w:rsid w:val="00043EF3"/>
    <w:rsid w:val="000443CD"/>
    <w:rsid w:val="00044A26"/>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32E"/>
    <w:rsid w:val="00077E3D"/>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981"/>
    <w:rsid w:val="0009552B"/>
    <w:rsid w:val="00095676"/>
    <w:rsid w:val="00095AE5"/>
    <w:rsid w:val="00097FD3"/>
    <w:rsid w:val="000A0AC3"/>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3A35"/>
    <w:rsid w:val="000D4A41"/>
    <w:rsid w:val="000D58F8"/>
    <w:rsid w:val="000E035F"/>
    <w:rsid w:val="000E11AE"/>
    <w:rsid w:val="000E1865"/>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213A"/>
    <w:rsid w:val="000F235C"/>
    <w:rsid w:val="000F2627"/>
    <w:rsid w:val="000F2D2B"/>
    <w:rsid w:val="000F3616"/>
    <w:rsid w:val="000F4F19"/>
    <w:rsid w:val="000F522F"/>
    <w:rsid w:val="000F598D"/>
    <w:rsid w:val="000F5EEA"/>
    <w:rsid w:val="000F6AC4"/>
    <w:rsid w:val="000F6DFF"/>
    <w:rsid w:val="000F78E5"/>
    <w:rsid w:val="000F7AAB"/>
    <w:rsid w:val="000F7C02"/>
    <w:rsid w:val="000F7E39"/>
    <w:rsid w:val="001003E6"/>
    <w:rsid w:val="00100DCF"/>
    <w:rsid w:val="001015AF"/>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6BF1"/>
    <w:rsid w:val="00126D55"/>
    <w:rsid w:val="00127AEB"/>
    <w:rsid w:val="00130650"/>
    <w:rsid w:val="00130716"/>
    <w:rsid w:val="00130CD1"/>
    <w:rsid w:val="00132923"/>
    <w:rsid w:val="00135894"/>
    <w:rsid w:val="001360A5"/>
    <w:rsid w:val="00137EBC"/>
    <w:rsid w:val="00140132"/>
    <w:rsid w:val="00140938"/>
    <w:rsid w:val="00141316"/>
    <w:rsid w:val="001423FA"/>
    <w:rsid w:val="001424C5"/>
    <w:rsid w:val="00143119"/>
    <w:rsid w:val="001449FA"/>
    <w:rsid w:val="00145076"/>
    <w:rsid w:val="001454ED"/>
    <w:rsid w:val="001466B4"/>
    <w:rsid w:val="00146BD3"/>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1F91"/>
    <w:rsid w:val="001622A6"/>
    <w:rsid w:val="001625DF"/>
    <w:rsid w:val="00163B14"/>
    <w:rsid w:val="00164371"/>
    <w:rsid w:val="00165E99"/>
    <w:rsid w:val="0017014A"/>
    <w:rsid w:val="0017031C"/>
    <w:rsid w:val="0017059D"/>
    <w:rsid w:val="00170F6F"/>
    <w:rsid w:val="001712BE"/>
    <w:rsid w:val="001717FC"/>
    <w:rsid w:val="001732DA"/>
    <w:rsid w:val="0017420E"/>
    <w:rsid w:val="00174CC4"/>
    <w:rsid w:val="001751F0"/>
    <w:rsid w:val="00175A58"/>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84D"/>
    <w:rsid w:val="00187AF5"/>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7241"/>
    <w:rsid w:val="00197931"/>
    <w:rsid w:val="001A07A1"/>
    <w:rsid w:val="001A0EF5"/>
    <w:rsid w:val="001A1062"/>
    <w:rsid w:val="001A23A3"/>
    <w:rsid w:val="001A312D"/>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527"/>
    <w:rsid w:val="001E2CB5"/>
    <w:rsid w:val="001E2D49"/>
    <w:rsid w:val="001E3437"/>
    <w:rsid w:val="001E436D"/>
    <w:rsid w:val="001E455E"/>
    <w:rsid w:val="001E4B08"/>
    <w:rsid w:val="001E4DB1"/>
    <w:rsid w:val="001E4E90"/>
    <w:rsid w:val="001E5894"/>
    <w:rsid w:val="001E5B3E"/>
    <w:rsid w:val="001E5D83"/>
    <w:rsid w:val="001E7354"/>
    <w:rsid w:val="001E7576"/>
    <w:rsid w:val="001E771E"/>
    <w:rsid w:val="001E7ED9"/>
    <w:rsid w:val="001F2007"/>
    <w:rsid w:val="001F20A6"/>
    <w:rsid w:val="001F2625"/>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7715"/>
    <w:rsid w:val="002279A6"/>
    <w:rsid w:val="00232209"/>
    <w:rsid w:val="00232723"/>
    <w:rsid w:val="00232BF1"/>
    <w:rsid w:val="00232F29"/>
    <w:rsid w:val="00233684"/>
    <w:rsid w:val="00233BB4"/>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61438"/>
    <w:rsid w:val="00261A89"/>
    <w:rsid w:val="00261CC2"/>
    <w:rsid w:val="002622B6"/>
    <w:rsid w:val="002624B6"/>
    <w:rsid w:val="0026258C"/>
    <w:rsid w:val="002626AC"/>
    <w:rsid w:val="0026272E"/>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130"/>
    <w:rsid w:val="0028136A"/>
    <w:rsid w:val="00281CD4"/>
    <w:rsid w:val="00282072"/>
    <w:rsid w:val="00282588"/>
    <w:rsid w:val="00282A39"/>
    <w:rsid w:val="00283431"/>
    <w:rsid w:val="00283802"/>
    <w:rsid w:val="00284092"/>
    <w:rsid w:val="002847CB"/>
    <w:rsid w:val="002851EF"/>
    <w:rsid w:val="002853FE"/>
    <w:rsid w:val="002902FE"/>
    <w:rsid w:val="00290970"/>
    <w:rsid w:val="0029119D"/>
    <w:rsid w:val="002916C9"/>
    <w:rsid w:val="002927B5"/>
    <w:rsid w:val="00292841"/>
    <w:rsid w:val="0029342D"/>
    <w:rsid w:val="002945BD"/>
    <w:rsid w:val="002951A5"/>
    <w:rsid w:val="002958A7"/>
    <w:rsid w:val="00295C14"/>
    <w:rsid w:val="002965F6"/>
    <w:rsid w:val="00296805"/>
    <w:rsid w:val="002968EF"/>
    <w:rsid w:val="00296F2A"/>
    <w:rsid w:val="00297ED8"/>
    <w:rsid w:val="002A0709"/>
    <w:rsid w:val="002A0B81"/>
    <w:rsid w:val="002A1C97"/>
    <w:rsid w:val="002A2206"/>
    <w:rsid w:val="002A2226"/>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79A"/>
    <w:rsid w:val="002B3928"/>
    <w:rsid w:val="002B3D5B"/>
    <w:rsid w:val="002B4629"/>
    <w:rsid w:val="002B4922"/>
    <w:rsid w:val="002B4FEA"/>
    <w:rsid w:val="002B5585"/>
    <w:rsid w:val="002B66F5"/>
    <w:rsid w:val="002B7270"/>
    <w:rsid w:val="002B779A"/>
    <w:rsid w:val="002B79D0"/>
    <w:rsid w:val="002B7A22"/>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B93"/>
    <w:rsid w:val="002F5A62"/>
    <w:rsid w:val="002F610A"/>
    <w:rsid w:val="002F6233"/>
    <w:rsid w:val="002F7758"/>
    <w:rsid w:val="00300CC2"/>
    <w:rsid w:val="003017A0"/>
    <w:rsid w:val="00301DFC"/>
    <w:rsid w:val="0030262B"/>
    <w:rsid w:val="00302895"/>
    <w:rsid w:val="00302E0B"/>
    <w:rsid w:val="003032FF"/>
    <w:rsid w:val="0030546B"/>
    <w:rsid w:val="00305EE3"/>
    <w:rsid w:val="00305EF2"/>
    <w:rsid w:val="003063E3"/>
    <w:rsid w:val="00306474"/>
    <w:rsid w:val="003068C1"/>
    <w:rsid w:val="00306B59"/>
    <w:rsid w:val="00306CEB"/>
    <w:rsid w:val="00306F55"/>
    <w:rsid w:val="003071AB"/>
    <w:rsid w:val="00307835"/>
    <w:rsid w:val="003105BF"/>
    <w:rsid w:val="003105CA"/>
    <w:rsid w:val="0031117B"/>
    <w:rsid w:val="0031172D"/>
    <w:rsid w:val="003120D9"/>
    <w:rsid w:val="003135BC"/>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71D2"/>
    <w:rsid w:val="003278F7"/>
    <w:rsid w:val="00327E44"/>
    <w:rsid w:val="00330578"/>
    <w:rsid w:val="003310CF"/>
    <w:rsid w:val="00331A5B"/>
    <w:rsid w:val="00332507"/>
    <w:rsid w:val="00332519"/>
    <w:rsid w:val="003328AB"/>
    <w:rsid w:val="00332CB5"/>
    <w:rsid w:val="00332CCB"/>
    <w:rsid w:val="00332E81"/>
    <w:rsid w:val="003338AF"/>
    <w:rsid w:val="00333B7D"/>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D35"/>
    <w:rsid w:val="0035065D"/>
    <w:rsid w:val="00350858"/>
    <w:rsid w:val="00350B10"/>
    <w:rsid w:val="00350B63"/>
    <w:rsid w:val="00350E34"/>
    <w:rsid w:val="00351143"/>
    <w:rsid w:val="00351EEE"/>
    <w:rsid w:val="00352532"/>
    <w:rsid w:val="003526E7"/>
    <w:rsid w:val="00352BFC"/>
    <w:rsid w:val="00352D21"/>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E9"/>
    <w:rsid w:val="003676BF"/>
    <w:rsid w:val="003676C5"/>
    <w:rsid w:val="00367811"/>
    <w:rsid w:val="003708AE"/>
    <w:rsid w:val="003709E3"/>
    <w:rsid w:val="00371DC6"/>
    <w:rsid w:val="0037365A"/>
    <w:rsid w:val="00374814"/>
    <w:rsid w:val="003750BB"/>
    <w:rsid w:val="003756AA"/>
    <w:rsid w:val="00376973"/>
    <w:rsid w:val="0037775C"/>
    <w:rsid w:val="00380133"/>
    <w:rsid w:val="00380473"/>
    <w:rsid w:val="0038067B"/>
    <w:rsid w:val="00380FC1"/>
    <w:rsid w:val="00381D69"/>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708"/>
    <w:rsid w:val="003A0BF6"/>
    <w:rsid w:val="003A160A"/>
    <w:rsid w:val="003A2848"/>
    <w:rsid w:val="003A2C6D"/>
    <w:rsid w:val="003A333C"/>
    <w:rsid w:val="003A3407"/>
    <w:rsid w:val="003A3807"/>
    <w:rsid w:val="003A42A1"/>
    <w:rsid w:val="003A4914"/>
    <w:rsid w:val="003A518C"/>
    <w:rsid w:val="003A5A79"/>
    <w:rsid w:val="003A60A6"/>
    <w:rsid w:val="003A6CBC"/>
    <w:rsid w:val="003A75B7"/>
    <w:rsid w:val="003A75FC"/>
    <w:rsid w:val="003A78F0"/>
    <w:rsid w:val="003B0A4D"/>
    <w:rsid w:val="003B0C60"/>
    <w:rsid w:val="003B360D"/>
    <w:rsid w:val="003B4492"/>
    <w:rsid w:val="003B468F"/>
    <w:rsid w:val="003B4FAA"/>
    <w:rsid w:val="003B55CE"/>
    <w:rsid w:val="003B6B3F"/>
    <w:rsid w:val="003B7394"/>
    <w:rsid w:val="003B7549"/>
    <w:rsid w:val="003C1B33"/>
    <w:rsid w:val="003C3174"/>
    <w:rsid w:val="003C44EB"/>
    <w:rsid w:val="003C5437"/>
    <w:rsid w:val="003C5E6E"/>
    <w:rsid w:val="003C6A1B"/>
    <w:rsid w:val="003C6BAF"/>
    <w:rsid w:val="003C6CAA"/>
    <w:rsid w:val="003C75DB"/>
    <w:rsid w:val="003C75E2"/>
    <w:rsid w:val="003D0A8B"/>
    <w:rsid w:val="003D1856"/>
    <w:rsid w:val="003D38F3"/>
    <w:rsid w:val="003D46BC"/>
    <w:rsid w:val="003D48FE"/>
    <w:rsid w:val="003D4DDE"/>
    <w:rsid w:val="003D6511"/>
    <w:rsid w:val="003D6B5D"/>
    <w:rsid w:val="003D75FA"/>
    <w:rsid w:val="003D7C8B"/>
    <w:rsid w:val="003E19E0"/>
    <w:rsid w:val="003E27E7"/>
    <w:rsid w:val="003E2F64"/>
    <w:rsid w:val="003E300E"/>
    <w:rsid w:val="003E30D8"/>
    <w:rsid w:val="003E30F2"/>
    <w:rsid w:val="003E3611"/>
    <w:rsid w:val="003E3A44"/>
    <w:rsid w:val="003E3DAC"/>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392E"/>
    <w:rsid w:val="00404630"/>
    <w:rsid w:val="00404E9F"/>
    <w:rsid w:val="00404F05"/>
    <w:rsid w:val="004056F5"/>
    <w:rsid w:val="00405803"/>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49B3"/>
    <w:rsid w:val="00424BA9"/>
    <w:rsid w:val="00425143"/>
    <w:rsid w:val="00425DAC"/>
    <w:rsid w:val="004260D5"/>
    <w:rsid w:val="00426DA5"/>
    <w:rsid w:val="00427ED2"/>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77A2"/>
    <w:rsid w:val="00447E01"/>
    <w:rsid w:val="00450769"/>
    <w:rsid w:val="00450C51"/>
    <w:rsid w:val="0045140D"/>
    <w:rsid w:val="00451697"/>
    <w:rsid w:val="00451840"/>
    <w:rsid w:val="00451EC4"/>
    <w:rsid w:val="00452AF8"/>
    <w:rsid w:val="00452C2C"/>
    <w:rsid w:val="00453341"/>
    <w:rsid w:val="00453382"/>
    <w:rsid w:val="00453604"/>
    <w:rsid w:val="00453B59"/>
    <w:rsid w:val="004548B0"/>
    <w:rsid w:val="00454FAB"/>
    <w:rsid w:val="004575CF"/>
    <w:rsid w:val="004577D4"/>
    <w:rsid w:val="004606A0"/>
    <w:rsid w:val="00460F1B"/>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5748"/>
    <w:rsid w:val="0049614B"/>
    <w:rsid w:val="00496405"/>
    <w:rsid w:val="0049644C"/>
    <w:rsid w:val="004966D1"/>
    <w:rsid w:val="004A0663"/>
    <w:rsid w:val="004A07C4"/>
    <w:rsid w:val="004A1F67"/>
    <w:rsid w:val="004A31DC"/>
    <w:rsid w:val="004A361D"/>
    <w:rsid w:val="004A372E"/>
    <w:rsid w:val="004A3DC8"/>
    <w:rsid w:val="004A445E"/>
    <w:rsid w:val="004A56CD"/>
    <w:rsid w:val="004A5A42"/>
    <w:rsid w:val="004A5E71"/>
    <w:rsid w:val="004A6022"/>
    <w:rsid w:val="004A608E"/>
    <w:rsid w:val="004A66F1"/>
    <w:rsid w:val="004A7882"/>
    <w:rsid w:val="004B0A84"/>
    <w:rsid w:val="004B1CF2"/>
    <w:rsid w:val="004B1D8E"/>
    <w:rsid w:val="004B230B"/>
    <w:rsid w:val="004B2CA3"/>
    <w:rsid w:val="004B2F45"/>
    <w:rsid w:val="004B31A7"/>
    <w:rsid w:val="004B329D"/>
    <w:rsid w:val="004B3677"/>
    <w:rsid w:val="004B3B68"/>
    <w:rsid w:val="004B3EE0"/>
    <w:rsid w:val="004B446E"/>
    <w:rsid w:val="004B4927"/>
    <w:rsid w:val="004B5411"/>
    <w:rsid w:val="004B65D6"/>
    <w:rsid w:val="004B663F"/>
    <w:rsid w:val="004B66AA"/>
    <w:rsid w:val="004B68E5"/>
    <w:rsid w:val="004B7A5C"/>
    <w:rsid w:val="004B7E5A"/>
    <w:rsid w:val="004B7F01"/>
    <w:rsid w:val="004C10F8"/>
    <w:rsid w:val="004C243B"/>
    <w:rsid w:val="004C28FB"/>
    <w:rsid w:val="004C30E1"/>
    <w:rsid w:val="004C3DAA"/>
    <w:rsid w:val="004C4553"/>
    <w:rsid w:val="004C4EF8"/>
    <w:rsid w:val="004C4FB3"/>
    <w:rsid w:val="004C6732"/>
    <w:rsid w:val="004C6DA3"/>
    <w:rsid w:val="004C7585"/>
    <w:rsid w:val="004D080C"/>
    <w:rsid w:val="004D126C"/>
    <w:rsid w:val="004D1274"/>
    <w:rsid w:val="004D2EF2"/>
    <w:rsid w:val="004D48FF"/>
    <w:rsid w:val="004D4F47"/>
    <w:rsid w:val="004D5130"/>
    <w:rsid w:val="004D54AE"/>
    <w:rsid w:val="004D647A"/>
    <w:rsid w:val="004D719E"/>
    <w:rsid w:val="004D7209"/>
    <w:rsid w:val="004D7259"/>
    <w:rsid w:val="004D73DE"/>
    <w:rsid w:val="004E092A"/>
    <w:rsid w:val="004E0AF2"/>
    <w:rsid w:val="004E1553"/>
    <w:rsid w:val="004E19D5"/>
    <w:rsid w:val="004E24B7"/>
    <w:rsid w:val="004E2B33"/>
    <w:rsid w:val="004E2BB6"/>
    <w:rsid w:val="004E32B4"/>
    <w:rsid w:val="004E34E0"/>
    <w:rsid w:val="004E4575"/>
    <w:rsid w:val="004E6FFF"/>
    <w:rsid w:val="004E779D"/>
    <w:rsid w:val="004E790B"/>
    <w:rsid w:val="004F0DB4"/>
    <w:rsid w:val="004F15C3"/>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3F1"/>
    <w:rsid w:val="00503B57"/>
    <w:rsid w:val="00503CE3"/>
    <w:rsid w:val="005041B3"/>
    <w:rsid w:val="00505B6C"/>
    <w:rsid w:val="00506A4F"/>
    <w:rsid w:val="00507982"/>
    <w:rsid w:val="005106D6"/>
    <w:rsid w:val="005110FD"/>
    <w:rsid w:val="00512979"/>
    <w:rsid w:val="0051351F"/>
    <w:rsid w:val="005138EF"/>
    <w:rsid w:val="0051423C"/>
    <w:rsid w:val="00514999"/>
    <w:rsid w:val="005156C7"/>
    <w:rsid w:val="00515ACC"/>
    <w:rsid w:val="00515E9C"/>
    <w:rsid w:val="00517072"/>
    <w:rsid w:val="00520534"/>
    <w:rsid w:val="00522089"/>
    <w:rsid w:val="00522BBD"/>
    <w:rsid w:val="005274A8"/>
    <w:rsid w:val="00527F4A"/>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FD4"/>
    <w:rsid w:val="005556F2"/>
    <w:rsid w:val="00555D10"/>
    <w:rsid w:val="005561FB"/>
    <w:rsid w:val="00556D67"/>
    <w:rsid w:val="00557731"/>
    <w:rsid w:val="0056065A"/>
    <w:rsid w:val="00560D76"/>
    <w:rsid w:val="005610E4"/>
    <w:rsid w:val="005612BE"/>
    <w:rsid w:val="0056224C"/>
    <w:rsid w:val="00563094"/>
    <w:rsid w:val="00563272"/>
    <w:rsid w:val="005647BA"/>
    <w:rsid w:val="00565237"/>
    <w:rsid w:val="005652F6"/>
    <w:rsid w:val="005655CB"/>
    <w:rsid w:val="00565E70"/>
    <w:rsid w:val="0056750A"/>
    <w:rsid w:val="005679FB"/>
    <w:rsid w:val="00570930"/>
    <w:rsid w:val="00570945"/>
    <w:rsid w:val="0057103B"/>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317"/>
    <w:rsid w:val="005856DF"/>
    <w:rsid w:val="00585BB8"/>
    <w:rsid w:val="00585D02"/>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B0D2D"/>
    <w:rsid w:val="005B1521"/>
    <w:rsid w:val="005B1BDB"/>
    <w:rsid w:val="005B309C"/>
    <w:rsid w:val="005B3CA5"/>
    <w:rsid w:val="005B43B4"/>
    <w:rsid w:val="005B4777"/>
    <w:rsid w:val="005B48C5"/>
    <w:rsid w:val="005B4F5A"/>
    <w:rsid w:val="005B55F4"/>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40DD"/>
    <w:rsid w:val="005D4974"/>
    <w:rsid w:val="005D57F8"/>
    <w:rsid w:val="005D5EC1"/>
    <w:rsid w:val="005D5FAD"/>
    <w:rsid w:val="005D737F"/>
    <w:rsid w:val="005E0A3E"/>
    <w:rsid w:val="005E27E9"/>
    <w:rsid w:val="005E30ED"/>
    <w:rsid w:val="005E3721"/>
    <w:rsid w:val="005E40E1"/>
    <w:rsid w:val="005E4964"/>
    <w:rsid w:val="005E4F10"/>
    <w:rsid w:val="005E6180"/>
    <w:rsid w:val="005E64DE"/>
    <w:rsid w:val="005E700E"/>
    <w:rsid w:val="005E7082"/>
    <w:rsid w:val="005E791C"/>
    <w:rsid w:val="005E7CA1"/>
    <w:rsid w:val="005E7E12"/>
    <w:rsid w:val="005E7EE4"/>
    <w:rsid w:val="005F2048"/>
    <w:rsid w:val="005F3020"/>
    <w:rsid w:val="005F34CE"/>
    <w:rsid w:val="005F3F8F"/>
    <w:rsid w:val="005F43D1"/>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52CE"/>
    <w:rsid w:val="00605B17"/>
    <w:rsid w:val="00606128"/>
    <w:rsid w:val="00606343"/>
    <w:rsid w:val="00606383"/>
    <w:rsid w:val="00606EF6"/>
    <w:rsid w:val="00607778"/>
    <w:rsid w:val="0061048D"/>
    <w:rsid w:val="0061242C"/>
    <w:rsid w:val="006125FE"/>
    <w:rsid w:val="00612B6D"/>
    <w:rsid w:val="00613681"/>
    <w:rsid w:val="00613DCA"/>
    <w:rsid w:val="00615255"/>
    <w:rsid w:val="00615EFA"/>
    <w:rsid w:val="00616AD2"/>
    <w:rsid w:val="0061750F"/>
    <w:rsid w:val="00620C41"/>
    <w:rsid w:val="006227F6"/>
    <w:rsid w:val="00623036"/>
    <w:rsid w:val="006231D9"/>
    <w:rsid w:val="0062362B"/>
    <w:rsid w:val="006238ED"/>
    <w:rsid w:val="0062412F"/>
    <w:rsid w:val="0062454F"/>
    <w:rsid w:val="006247C4"/>
    <w:rsid w:val="00626E0D"/>
    <w:rsid w:val="00627608"/>
    <w:rsid w:val="00630686"/>
    <w:rsid w:val="0063123C"/>
    <w:rsid w:val="00631CC2"/>
    <w:rsid w:val="00633C83"/>
    <w:rsid w:val="006341CB"/>
    <w:rsid w:val="006352E8"/>
    <w:rsid w:val="00635515"/>
    <w:rsid w:val="00636B9B"/>
    <w:rsid w:val="00641459"/>
    <w:rsid w:val="00641C1F"/>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1F08"/>
    <w:rsid w:val="0065366F"/>
    <w:rsid w:val="00653DCD"/>
    <w:rsid w:val="00653FFD"/>
    <w:rsid w:val="00654546"/>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70290"/>
    <w:rsid w:val="006705E4"/>
    <w:rsid w:val="006722CB"/>
    <w:rsid w:val="006722CD"/>
    <w:rsid w:val="00672379"/>
    <w:rsid w:val="00672485"/>
    <w:rsid w:val="00672EE1"/>
    <w:rsid w:val="00674265"/>
    <w:rsid w:val="00674C1A"/>
    <w:rsid w:val="0067539D"/>
    <w:rsid w:val="00677151"/>
    <w:rsid w:val="006773E4"/>
    <w:rsid w:val="00677D8D"/>
    <w:rsid w:val="00680A9A"/>
    <w:rsid w:val="00680FD4"/>
    <w:rsid w:val="0068160C"/>
    <w:rsid w:val="0068177A"/>
    <w:rsid w:val="006819A1"/>
    <w:rsid w:val="00682C0E"/>
    <w:rsid w:val="00682D3B"/>
    <w:rsid w:val="006830F9"/>
    <w:rsid w:val="006833FA"/>
    <w:rsid w:val="006869FE"/>
    <w:rsid w:val="00686D6E"/>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E01"/>
    <w:rsid w:val="006A5299"/>
    <w:rsid w:val="006A54CA"/>
    <w:rsid w:val="006A61C7"/>
    <w:rsid w:val="006B0114"/>
    <w:rsid w:val="006B0353"/>
    <w:rsid w:val="006B03F4"/>
    <w:rsid w:val="006B07EC"/>
    <w:rsid w:val="006B0B0A"/>
    <w:rsid w:val="006B1A27"/>
    <w:rsid w:val="006B1D64"/>
    <w:rsid w:val="006B2451"/>
    <w:rsid w:val="006B2795"/>
    <w:rsid w:val="006B3AE8"/>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612A"/>
    <w:rsid w:val="006E114D"/>
    <w:rsid w:val="006E164B"/>
    <w:rsid w:val="006E25E5"/>
    <w:rsid w:val="006E300E"/>
    <w:rsid w:val="006E3BFC"/>
    <w:rsid w:val="006E3E17"/>
    <w:rsid w:val="006E48D6"/>
    <w:rsid w:val="006E502A"/>
    <w:rsid w:val="006E53A1"/>
    <w:rsid w:val="006E572B"/>
    <w:rsid w:val="006E5F3D"/>
    <w:rsid w:val="006E77C7"/>
    <w:rsid w:val="006E7A3C"/>
    <w:rsid w:val="006F0494"/>
    <w:rsid w:val="006F099D"/>
    <w:rsid w:val="006F18C8"/>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C1C"/>
    <w:rsid w:val="00704D3F"/>
    <w:rsid w:val="0070631E"/>
    <w:rsid w:val="00706FD8"/>
    <w:rsid w:val="007072E2"/>
    <w:rsid w:val="00707C0F"/>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4F25"/>
    <w:rsid w:val="00745BB8"/>
    <w:rsid w:val="00746230"/>
    <w:rsid w:val="007473B9"/>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63A8"/>
    <w:rsid w:val="0076691E"/>
    <w:rsid w:val="00766DA8"/>
    <w:rsid w:val="007711FE"/>
    <w:rsid w:val="00772ECA"/>
    <w:rsid w:val="007731CB"/>
    <w:rsid w:val="00773397"/>
    <w:rsid w:val="00773D95"/>
    <w:rsid w:val="00774681"/>
    <w:rsid w:val="00774C09"/>
    <w:rsid w:val="00774C78"/>
    <w:rsid w:val="00774D3B"/>
    <w:rsid w:val="0077548E"/>
    <w:rsid w:val="007755D4"/>
    <w:rsid w:val="00775B99"/>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60C3"/>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50"/>
    <w:rsid w:val="00797AE2"/>
    <w:rsid w:val="00797D7C"/>
    <w:rsid w:val="007A01AA"/>
    <w:rsid w:val="007A0326"/>
    <w:rsid w:val="007A0876"/>
    <w:rsid w:val="007A1057"/>
    <w:rsid w:val="007A2DA9"/>
    <w:rsid w:val="007A4B22"/>
    <w:rsid w:val="007A4ED5"/>
    <w:rsid w:val="007A5502"/>
    <w:rsid w:val="007A5808"/>
    <w:rsid w:val="007A58B2"/>
    <w:rsid w:val="007A5BE7"/>
    <w:rsid w:val="007A642D"/>
    <w:rsid w:val="007A6E0E"/>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607"/>
    <w:rsid w:val="007D280D"/>
    <w:rsid w:val="007D2A28"/>
    <w:rsid w:val="007D2D54"/>
    <w:rsid w:val="007D33EB"/>
    <w:rsid w:val="007D47A2"/>
    <w:rsid w:val="007D6000"/>
    <w:rsid w:val="007D659E"/>
    <w:rsid w:val="007D685A"/>
    <w:rsid w:val="007D6D46"/>
    <w:rsid w:val="007D6E17"/>
    <w:rsid w:val="007D71D3"/>
    <w:rsid w:val="007D7D39"/>
    <w:rsid w:val="007E0EEC"/>
    <w:rsid w:val="007E29CF"/>
    <w:rsid w:val="007E2B0A"/>
    <w:rsid w:val="007E2E36"/>
    <w:rsid w:val="007E32BB"/>
    <w:rsid w:val="007E4049"/>
    <w:rsid w:val="007E40BE"/>
    <w:rsid w:val="007E4340"/>
    <w:rsid w:val="007E4EB3"/>
    <w:rsid w:val="007E5CC0"/>
    <w:rsid w:val="007E66BF"/>
    <w:rsid w:val="007E7DA5"/>
    <w:rsid w:val="007F0841"/>
    <w:rsid w:val="007F11CA"/>
    <w:rsid w:val="007F13C5"/>
    <w:rsid w:val="007F1838"/>
    <w:rsid w:val="007F1B73"/>
    <w:rsid w:val="007F24F2"/>
    <w:rsid w:val="007F27C1"/>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3901"/>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BFF"/>
    <w:rsid w:val="00833FB0"/>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1BD2"/>
    <w:rsid w:val="008636B3"/>
    <w:rsid w:val="00863B20"/>
    <w:rsid w:val="00863F2E"/>
    <w:rsid w:val="008640F2"/>
    <w:rsid w:val="00864979"/>
    <w:rsid w:val="00864ED1"/>
    <w:rsid w:val="00865048"/>
    <w:rsid w:val="00865084"/>
    <w:rsid w:val="00865F0D"/>
    <w:rsid w:val="00865F41"/>
    <w:rsid w:val="00866AEB"/>
    <w:rsid w:val="0086738A"/>
    <w:rsid w:val="0087023D"/>
    <w:rsid w:val="0087080E"/>
    <w:rsid w:val="00872FC6"/>
    <w:rsid w:val="008734E7"/>
    <w:rsid w:val="00873BEF"/>
    <w:rsid w:val="00873EA2"/>
    <w:rsid w:val="00874183"/>
    <w:rsid w:val="008741D7"/>
    <w:rsid w:val="00874532"/>
    <w:rsid w:val="00874BA5"/>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6371"/>
    <w:rsid w:val="00887037"/>
    <w:rsid w:val="00887A57"/>
    <w:rsid w:val="008908CC"/>
    <w:rsid w:val="008912DB"/>
    <w:rsid w:val="008913C6"/>
    <w:rsid w:val="00894D5F"/>
    <w:rsid w:val="0089570D"/>
    <w:rsid w:val="0089659E"/>
    <w:rsid w:val="00896820"/>
    <w:rsid w:val="008976EF"/>
    <w:rsid w:val="00897AF4"/>
    <w:rsid w:val="008A03A4"/>
    <w:rsid w:val="008A04CB"/>
    <w:rsid w:val="008A1BA9"/>
    <w:rsid w:val="008A1BBE"/>
    <w:rsid w:val="008A2BE0"/>
    <w:rsid w:val="008A3A91"/>
    <w:rsid w:val="008A4F00"/>
    <w:rsid w:val="008A523B"/>
    <w:rsid w:val="008A6474"/>
    <w:rsid w:val="008A66D7"/>
    <w:rsid w:val="008A74A0"/>
    <w:rsid w:val="008B00D7"/>
    <w:rsid w:val="008B0A56"/>
    <w:rsid w:val="008B0D64"/>
    <w:rsid w:val="008B175E"/>
    <w:rsid w:val="008B19DE"/>
    <w:rsid w:val="008B2C63"/>
    <w:rsid w:val="008B34C4"/>
    <w:rsid w:val="008B3783"/>
    <w:rsid w:val="008B4B42"/>
    <w:rsid w:val="008B4E96"/>
    <w:rsid w:val="008B57C4"/>
    <w:rsid w:val="008B5897"/>
    <w:rsid w:val="008B5F8D"/>
    <w:rsid w:val="008B6BFB"/>
    <w:rsid w:val="008B6FD9"/>
    <w:rsid w:val="008B728D"/>
    <w:rsid w:val="008B7666"/>
    <w:rsid w:val="008C164C"/>
    <w:rsid w:val="008C22DF"/>
    <w:rsid w:val="008C329B"/>
    <w:rsid w:val="008C35B8"/>
    <w:rsid w:val="008C5406"/>
    <w:rsid w:val="008C6A05"/>
    <w:rsid w:val="008C6BFD"/>
    <w:rsid w:val="008C6D62"/>
    <w:rsid w:val="008C6E28"/>
    <w:rsid w:val="008D18F4"/>
    <w:rsid w:val="008D1976"/>
    <w:rsid w:val="008D1BEE"/>
    <w:rsid w:val="008D20EA"/>
    <w:rsid w:val="008D26E4"/>
    <w:rsid w:val="008D28DA"/>
    <w:rsid w:val="008D2D6F"/>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CD7"/>
    <w:rsid w:val="008F3239"/>
    <w:rsid w:val="008F3CCF"/>
    <w:rsid w:val="008F436C"/>
    <w:rsid w:val="008F4974"/>
    <w:rsid w:val="008F4E9E"/>
    <w:rsid w:val="008F539E"/>
    <w:rsid w:val="008F5A15"/>
    <w:rsid w:val="008F5B8E"/>
    <w:rsid w:val="008F615F"/>
    <w:rsid w:val="008F694D"/>
    <w:rsid w:val="008F6ADD"/>
    <w:rsid w:val="008F7228"/>
    <w:rsid w:val="00900A7F"/>
    <w:rsid w:val="0090122B"/>
    <w:rsid w:val="00901363"/>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28E"/>
    <w:rsid w:val="009158F6"/>
    <w:rsid w:val="009177E8"/>
    <w:rsid w:val="00917E1F"/>
    <w:rsid w:val="00917F96"/>
    <w:rsid w:val="00920470"/>
    <w:rsid w:val="00921D00"/>
    <w:rsid w:val="00922A7F"/>
    <w:rsid w:val="009233E4"/>
    <w:rsid w:val="0092444C"/>
    <w:rsid w:val="0092481D"/>
    <w:rsid w:val="00924870"/>
    <w:rsid w:val="00924A07"/>
    <w:rsid w:val="00925A16"/>
    <w:rsid w:val="009262E1"/>
    <w:rsid w:val="00926673"/>
    <w:rsid w:val="00926D48"/>
    <w:rsid w:val="009276BB"/>
    <w:rsid w:val="00927EAF"/>
    <w:rsid w:val="0093240D"/>
    <w:rsid w:val="00932643"/>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1F77"/>
    <w:rsid w:val="0095376A"/>
    <w:rsid w:val="009537D6"/>
    <w:rsid w:val="009541E6"/>
    <w:rsid w:val="00954896"/>
    <w:rsid w:val="00955242"/>
    <w:rsid w:val="00956276"/>
    <w:rsid w:val="00956DB2"/>
    <w:rsid w:val="00957DA9"/>
    <w:rsid w:val="009633AC"/>
    <w:rsid w:val="0096414F"/>
    <w:rsid w:val="009643FC"/>
    <w:rsid w:val="00964BC8"/>
    <w:rsid w:val="0096588F"/>
    <w:rsid w:val="0096637A"/>
    <w:rsid w:val="0096675F"/>
    <w:rsid w:val="00966F50"/>
    <w:rsid w:val="00967582"/>
    <w:rsid w:val="00967C3D"/>
    <w:rsid w:val="009711AD"/>
    <w:rsid w:val="009720B5"/>
    <w:rsid w:val="009724EB"/>
    <w:rsid w:val="0097347A"/>
    <w:rsid w:val="00973658"/>
    <w:rsid w:val="00974D7D"/>
    <w:rsid w:val="009755FB"/>
    <w:rsid w:val="00975AE7"/>
    <w:rsid w:val="009760A5"/>
    <w:rsid w:val="0097624A"/>
    <w:rsid w:val="0097727A"/>
    <w:rsid w:val="009776CF"/>
    <w:rsid w:val="00980EFD"/>
    <w:rsid w:val="009811E8"/>
    <w:rsid w:val="0098242C"/>
    <w:rsid w:val="0098277F"/>
    <w:rsid w:val="00982F38"/>
    <w:rsid w:val="009835E3"/>
    <w:rsid w:val="009843A7"/>
    <w:rsid w:val="0098482C"/>
    <w:rsid w:val="00984C0E"/>
    <w:rsid w:val="00985718"/>
    <w:rsid w:val="009859E9"/>
    <w:rsid w:val="009870F9"/>
    <w:rsid w:val="009872F0"/>
    <w:rsid w:val="00987476"/>
    <w:rsid w:val="00987B75"/>
    <w:rsid w:val="00987FF7"/>
    <w:rsid w:val="00990325"/>
    <w:rsid w:val="00990B5F"/>
    <w:rsid w:val="00990B92"/>
    <w:rsid w:val="0099253F"/>
    <w:rsid w:val="00992B6F"/>
    <w:rsid w:val="00992E03"/>
    <w:rsid w:val="00992F64"/>
    <w:rsid w:val="00995A07"/>
    <w:rsid w:val="009962F3"/>
    <w:rsid w:val="009969D8"/>
    <w:rsid w:val="009969E9"/>
    <w:rsid w:val="00996E4F"/>
    <w:rsid w:val="00996E67"/>
    <w:rsid w:val="009A012D"/>
    <w:rsid w:val="009A0376"/>
    <w:rsid w:val="009A07DF"/>
    <w:rsid w:val="009A0EC5"/>
    <w:rsid w:val="009A13E2"/>
    <w:rsid w:val="009A1872"/>
    <w:rsid w:val="009A230F"/>
    <w:rsid w:val="009A258A"/>
    <w:rsid w:val="009A2EE9"/>
    <w:rsid w:val="009A31DF"/>
    <w:rsid w:val="009A335D"/>
    <w:rsid w:val="009A3BE0"/>
    <w:rsid w:val="009A3DD0"/>
    <w:rsid w:val="009A5A01"/>
    <w:rsid w:val="009A5A64"/>
    <w:rsid w:val="009A5CA9"/>
    <w:rsid w:val="009A5DB6"/>
    <w:rsid w:val="009B01FB"/>
    <w:rsid w:val="009B06A1"/>
    <w:rsid w:val="009B1422"/>
    <w:rsid w:val="009B14C7"/>
    <w:rsid w:val="009B1D9C"/>
    <w:rsid w:val="009B222A"/>
    <w:rsid w:val="009B284C"/>
    <w:rsid w:val="009B2FE7"/>
    <w:rsid w:val="009B3593"/>
    <w:rsid w:val="009B4A0D"/>
    <w:rsid w:val="009B5B10"/>
    <w:rsid w:val="009B5FA1"/>
    <w:rsid w:val="009B69F6"/>
    <w:rsid w:val="009B78F6"/>
    <w:rsid w:val="009B7EA9"/>
    <w:rsid w:val="009C0CFD"/>
    <w:rsid w:val="009C11C0"/>
    <w:rsid w:val="009C1923"/>
    <w:rsid w:val="009C20AF"/>
    <w:rsid w:val="009C367A"/>
    <w:rsid w:val="009C3FC5"/>
    <w:rsid w:val="009C3FE0"/>
    <w:rsid w:val="009C4A6A"/>
    <w:rsid w:val="009C526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33CC"/>
    <w:rsid w:val="00A03C39"/>
    <w:rsid w:val="00A04400"/>
    <w:rsid w:val="00A052F1"/>
    <w:rsid w:val="00A05F2F"/>
    <w:rsid w:val="00A06445"/>
    <w:rsid w:val="00A067C9"/>
    <w:rsid w:val="00A10204"/>
    <w:rsid w:val="00A10261"/>
    <w:rsid w:val="00A12859"/>
    <w:rsid w:val="00A12EA4"/>
    <w:rsid w:val="00A13A52"/>
    <w:rsid w:val="00A13FEE"/>
    <w:rsid w:val="00A142EB"/>
    <w:rsid w:val="00A14B1D"/>
    <w:rsid w:val="00A15581"/>
    <w:rsid w:val="00A158D8"/>
    <w:rsid w:val="00A161AE"/>
    <w:rsid w:val="00A1649F"/>
    <w:rsid w:val="00A16942"/>
    <w:rsid w:val="00A170B8"/>
    <w:rsid w:val="00A20F8C"/>
    <w:rsid w:val="00A21245"/>
    <w:rsid w:val="00A215CB"/>
    <w:rsid w:val="00A219C0"/>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33E4"/>
    <w:rsid w:val="00A33D03"/>
    <w:rsid w:val="00A34301"/>
    <w:rsid w:val="00A34471"/>
    <w:rsid w:val="00A348DE"/>
    <w:rsid w:val="00A35618"/>
    <w:rsid w:val="00A35D42"/>
    <w:rsid w:val="00A37A42"/>
    <w:rsid w:val="00A41F5A"/>
    <w:rsid w:val="00A43447"/>
    <w:rsid w:val="00A43808"/>
    <w:rsid w:val="00A43AD5"/>
    <w:rsid w:val="00A43B72"/>
    <w:rsid w:val="00A44F44"/>
    <w:rsid w:val="00A456B4"/>
    <w:rsid w:val="00A47300"/>
    <w:rsid w:val="00A47DA5"/>
    <w:rsid w:val="00A50D4B"/>
    <w:rsid w:val="00A5157F"/>
    <w:rsid w:val="00A51D0C"/>
    <w:rsid w:val="00A5292E"/>
    <w:rsid w:val="00A53290"/>
    <w:rsid w:val="00A54327"/>
    <w:rsid w:val="00A5558A"/>
    <w:rsid w:val="00A55DBD"/>
    <w:rsid w:val="00A55E06"/>
    <w:rsid w:val="00A56158"/>
    <w:rsid w:val="00A562AE"/>
    <w:rsid w:val="00A564CB"/>
    <w:rsid w:val="00A56985"/>
    <w:rsid w:val="00A60249"/>
    <w:rsid w:val="00A602CC"/>
    <w:rsid w:val="00A60DAE"/>
    <w:rsid w:val="00A6117B"/>
    <w:rsid w:val="00A6139D"/>
    <w:rsid w:val="00A61F4C"/>
    <w:rsid w:val="00A6226E"/>
    <w:rsid w:val="00A6231E"/>
    <w:rsid w:val="00A6252D"/>
    <w:rsid w:val="00A62953"/>
    <w:rsid w:val="00A637E3"/>
    <w:rsid w:val="00A63CF9"/>
    <w:rsid w:val="00A65148"/>
    <w:rsid w:val="00A65A8E"/>
    <w:rsid w:val="00A6633F"/>
    <w:rsid w:val="00A66947"/>
    <w:rsid w:val="00A66BBD"/>
    <w:rsid w:val="00A67C90"/>
    <w:rsid w:val="00A67E76"/>
    <w:rsid w:val="00A70508"/>
    <w:rsid w:val="00A71229"/>
    <w:rsid w:val="00A718A4"/>
    <w:rsid w:val="00A72CC3"/>
    <w:rsid w:val="00A72DD6"/>
    <w:rsid w:val="00A737C1"/>
    <w:rsid w:val="00A74F6A"/>
    <w:rsid w:val="00A75A1B"/>
    <w:rsid w:val="00A77A89"/>
    <w:rsid w:val="00A77BD3"/>
    <w:rsid w:val="00A806DF"/>
    <w:rsid w:val="00A81AE7"/>
    <w:rsid w:val="00A8228E"/>
    <w:rsid w:val="00A8243C"/>
    <w:rsid w:val="00A82C3F"/>
    <w:rsid w:val="00A83282"/>
    <w:rsid w:val="00A833A9"/>
    <w:rsid w:val="00A84B41"/>
    <w:rsid w:val="00A85A87"/>
    <w:rsid w:val="00A869CE"/>
    <w:rsid w:val="00A875E8"/>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3BB"/>
    <w:rsid w:val="00AB5541"/>
    <w:rsid w:val="00AB5D99"/>
    <w:rsid w:val="00AC08FA"/>
    <w:rsid w:val="00AC0AE8"/>
    <w:rsid w:val="00AC137F"/>
    <w:rsid w:val="00AC2418"/>
    <w:rsid w:val="00AC2B1D"/>
    <w:rsid w:val="00AC30C6"/>
    <w:rsid w:val="00AC470D"/>
    <w:rsid w:val="00AC513A"/>
    <w:rsid w:val="00AC58C3"/>
    <w:rsid w:val="00AC5DFA"/>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9F0"/>
    <w:rsid w:val="00AE4B52"/>
    <w:rsid w:val="00AE5DC4"/>
    <w:rsid w:val="00AE5DCC"/>
    <w:rsid w:val="00AE6A2B"/>
    <w:rsid w:val="00AE6AAA"/>
    <w:rsid w:val="00AE7A8B"/>
    <w:rsid w:val="00AF000D"/>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B43"/>
    <w:rsid w:val="00B56C0B"/>
    <w:rsid w:val="00B57E78"/>
    <w:rsid w:val="00B60B0D"/>
    <w:rsid w:val="00B614F4"/>
    <w:rsid w:val="00B617D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24EE"/>
    <w:rsid w:val="00BF3100"/>
    <w:rsid w:val="00BF31BB"/>
    <w:rsid w:val="00BF49A4"/>
    <w:rsid w:val="00BF4C0E"/>
    <w:rsid w:val="00BF4D99"/>
    <w:rsid w:val="00BF51A2"/>
    <w:rsid w:val="00BF5AAD"/>
    <w:rsid w:val="00BF68FD"/>
    <w:rsid w:val="00BF6B00"/>
    <w:rsid w:val="00BF7A6D"/>
    <w:rsid w:val="00BF7B0C"/>
    <w:rsid w:val="00C0021F"/>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C3B"/>
    <w:rsid w:val="00C11E5C"/>
    <w:rsid w:val="00C12F9E"/>
    <w:rsid w:val="00C13241"/>
    <w:rsid w:val="00C13D40"/>
    <w:rsid w:val="00C13D62"/>
    <w:rsid w:val="00C150F9"/>
    <w:rsid w:val="00C15346"/>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B21"/>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802D7"/>
    <w:rsid w:val="00C804A9"/>
    <w:rsid w:val="00C80D2E"/>
    <w:rsid w:val="00C81848"/>
    <w:rsid w:val="00C81BC9"/>
    <w:rsid w:val="00C82BDF"/>
    <w:rsid w:val="00C82C01"/>
    <w:rsid w:val="00C84B9A"/>
    <w:rsid w:val="00C853F4"/>
    <w:rsid w:val="00C85F88"/>
    <w:rsid w:val="00C861B0"/>
    <w:rsid w:val="00C8635D"/>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DD"/>
    <w:rsid w:val="00CC6DA9"/>
    <w:rsid w:val="00CC7857"/>
    <w:rsid w:val="00CC7F70"/>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696"/>
    <w:rsid w:val="00D05EC5"/>
    <w:rsid w:val="00D0683B"/>
    <w:rsid w:val="00D069E8"/>
    <w:rsid w:val="00D06B3B"/>
    <w:rsid w:val="00D07A49"/>
    <w:rsid w:val="00D109CE"/>
    <w:rsid w:val="00D10D4C"/>
    <w:rsid w:val="00D1117E"/>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416"/>
    <w:rsid w:val="00D25ACE"/>
    <w:rsid w:val="00D26B55"/>
    <w:rsid w:val="00D26EC8"/>
    <w:rsid w:val="00D274D1"/>
    <w:rsid w:val="00D2780E"/>
    <w:rsid w:val="00D27B6F"/>
    <w:rsid w:val="00D27EEA"/>
    <w:rsid w:val="00D30799"/>
    <w:rsid w:val="00D309AE"/>
    <w:rsid w:val="00D30EFD"/>
    <w:rsid w:val="00D316B9"/>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56D"/>
    <w:rsid w:val="00D45A52"/>
    <w:rsid w:val="00D467F3"/>
    <w:rsid w:val="00D46E6A"/>
    <w:rsid w:val="00D475AF"/>
    <w:rsid w:val="00D476A5"/>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40C1"/>
    <w:rsid w:val="00D744C4"/>
    <w:rsid w:val="00D76517"/>
    <w:rsid w:val="00D76F76"/>
    <w:rsid w:val="00D773E5"/>
    <w:rsid w:val="00D8005D"/>
    <w:rsid w:val="00D80C1B"/>
    <w:rsid w:val="00D80C77"/>
    <w:rsid w:val="00D82005"/>
    <w:rsid w:val="00D83A71"/>
    <w:rsid w:val="00D845FC"/>
    <w:rsid w:val="00D84C1B"/>
    <w:rsid w:val="00D85D18"/>
    <w:rsid w:val="00D86DDC"/>
    <w:rsid w:val="00D90145"/>
    <w:rsid w:val="00D90345"/>
    <w:rsid w:val="00D912E4"/>
    <w:rsid w:val="00D91F68"/>
    <w:rsid w:val="00D931BD"/>
    <w:rsid w:val="00D93584"/>
    <w:rsid w:val="00D93A8D"/>
    <w:rsid w:val="00D95BCC"/>
    <w:rsid w:val="00D96DB3"/>
    <w:rsid w:val="00DA1594"/>
    <w:rsid w:val="00DA1DFA"/>
    <w:rsid w:val="00DA21F5"/>
    <w:rsid w:val="00DA2287"/>
    <w:rsid w:val="00DA29E6"/>
    <w:rsid w:val="00DA3F4C"/>
    <w:rsid w:val="00DA3FB9"/>
    <w:rsid w:val="00DA41C5"/>
    <w:rsid w:val="00DA4814"/>
    <w:rsid w:val="00DA49F4"/>
    <w:rsid w:val="00DA5029"/>
    <w:rsid w:val="00DA6875"/>
    <w:rsid w:val="00DA6A7E"/>
    <w:rsid w:val="00DA7648"/>
    <w:rsid w:val="00DA7A65"/>
    <w:rsid w:val="00DB0736"/>
    <w:rsid w:val="00DB1384"/>
    <w:rsid w:val="00DB2CDE"/>
    <w:rsid w:val="00DB2D9A"/>
    <w:rsid w:val="00DB2F48"/>
    <w:rsid w:val="00DB3B96"/>
    <w:rsid w:val="00DB4125"/>
    <w:rsid w:val="00DB4386"/>
    <w:rsid w:val="00DB4D14"/>
    <w:rsid w:val="00DB5B99"/>
    <w:rsid w:val="00DB6589"/>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8E"/>
    <w:rsid w:val="00DD65F7"/>
    <w:rsid w:val="00DD670D"/>
    <w:rsid w:val="00DD6F08"/>
    <w:rsid w:val="00DE04FC"/>
    <w:rsid w:val="00DE0AEA"/>
    <w:rsid w:val="00DE104E"/>
    <w:rsid w:val="00DE1144"/>
    <w:rsid w:val="00DE2761"/>
    <w:rsid w:val="00DE2BE5"/>
    <w:rsid w:val="00DE3865"/>
    <w:rsid w:val="00DE4BB1"/>
    <w:rsid w:val="00DE5BBA"/>
    <w:rsid w:val="00DE7101"/>
    <w:rsid w:val="00DE7F78"/>
    <w:rsid w:val="00DF01FA"/>
    <w:rsid w:val="00DF030C"/>
    <w:rsid w:val="00DF0814"/>
    <w:rsid w:val="00DF44D5"/>
    <w:rsid w:val="00DF4A4B"/>
    <w:rsid w:val="00DF4E5D"/>
    <w:rsid w:val="00DF51FC"/>
    <w:rsid w:val="00DF6071"/>
    <w:rsid w:val="00DF67BC"/>
    <w:rsid w:val="00DF75F4"/>
    <w:rsid w:val="00DF7BEF"/>
    <w:rsid w:val="00E01038"/>
    <w:rsid w:val="00E01A25"/>
    <w:rsid w:val="00E02570"/>
    <w:rsid w:val="00E03170"/>
    <w:rsid w:val="00E031F3"/>
    <w:rsid w:val="00E0328D"/>
    <w:rsid w:val="00E04ADC"/>
    <w:rsid w:val="00E0547D"/>
    <w:rsid w:val="00E06245"/>
    <w:rsid w:val="00E1013F"/>
    <w:rsid w:val="00E10A3E"/>
    <w:rsid w:val="00E11A23"/>
    <w:rsid w:val="00E1232B"/>
    <w:rsid w:val="00E13690"/>
    <w:rsid w:val="00E15B72"/>
    <w:rsid w:val="00E15C6D"/>
    <w:rsid w:val="00E16004"/>
    <w:rsid w:val="00E16407"/>
    <w:rsid w:val="00E1649F"/>
    <w:rsid w:val="00E16557"/>
    <w:rsid w:val="00E16A3D"/>
    <w:rsid w:val="00E16D0A"/>
    <w:rsid w:val="00E16E04"/>
    <w:rsid w:val="00E17131"/>
    <w:rsid w:val="00E174C2"/>
    <w:rsid w:val="00E20099"/>
    <w:rsid w:val="00E20988"/>
    <w:rsid w:val="00E211AC"/>
    <w:rsid w:val="00E2184C"/>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49F5"/>
    <w:rsid w:val="00E34BA5"/>
    <w:rsid w:val="00E35063"/>
    <w:rsid w:val="00E35116"/>
    <w:rsid w:val="00E356D1"/>
    <w:rsid w:val="00E356D7"/>
    <w:rsid w:val="00E358EB"/>
    <w:rsid w:val="00E371AB"/>
    <w:rsid w:val="00E40691"/>
    <w:rsid w:val="00E40EF8"/>
    <w:rsid w:val="00E414D9"/>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6AC"/>
    <w:rsid w:val="00E53D92"/>
    <w:rsid w:val="00E547AF"/>
    <w:rsid w:val="00E54C06"/>
    <w:rsid w:val="00E559E6"/>
    <w:rsid w:val="00E55C86"/>
    <w:rsid w:val="00E5763C"/>
    <w:rsid w:val="00E604CE"/>
    <w:rsid w:val="00E605F1"/>
    <w:rsid w:val="00E60F02"/>
    <w:rsid w:val="00E61260"/>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42DA"/>
    <w:rsid w:val="00EA4C2D"/>
    <w:rsid w:val="00EA4E91"/>
    <w:rsid w:val="00EA508F"/>
    <w:rsid w:val="00EA52F7"/>
    <w:rsid w:val="00EA5CA1"/>
    <w:rsid w:val="00EA6070"/>
    <w:rsid w:val="00EA708F"/>
    <w:rsid w:val="00EA72CE"/>
    <w:rsid w:val="00EA7A02"/>
    <w:rsid w:val="00EA7AEA"/>
    <w:rsid w:val="00EB09A5"/>
    <w:rsid w:val="00EB0EC3"/>
    <w:rsid w:val="00EB14FB"/>
    <w:rsid w:val="00EB1A46"/>
    <w:rsid w:val="00EB1D02"/>
    <w:rsid w:val="00EB2006"/>
    <w:rsid w:val="00EB2F3E"/>
    <w:rsid w:val="00EB4A87"/>
    <w:rsid w:val="00EB535A"/>
    <w:rsid w:val="00EB6A55"/>
    <w:rsid w:val="00EC0730"/>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34D"/>
    <w:rsid w:val="00ED5BA5"/>
    <w:rsid w:val="00ED740D"/>
    <w:rsid w:val="00ED746E"/>
    <w:rsid w:val="00ED74EF"/>
    <w:rsid w:val="00ED780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EF"/>
    <w:rsid w:val="00EE679C"/>
    <w:rsid w:val="00EE6E32"/>
    <w:rsid w:val="00EE7411"/>
    <w:rsid w:val="00EE7F60"/>
    <w:rsid w:val="00EE7F7F"/>
    <w:rsid w:val="00EF08DD"/>
    <w:rsid w:val="00EF0D45"/>
    <w:rsid w:val="00EF13D9"/>
    <w:rsid w:val="00EF1D70"/>
    <w:rsid w:val="00EF20EF"/>
    <w:rsid w:val="00EF222A"/>
    <w:rsid w:val="00EF286A"/>
    <w:rsid w:val="00EF4CC0"/>
    <w:rsid w:val="00EF5CB0"/>
    <w:rsid w:val="00EF6075"/>
    <w:rsid w:val="00EF62D0"/>
    <w:rsid w:val="00EF67D8"/>
    <w:rsid w:val="00EF6D00"/>
    <w:rsid w:val="00EF6D12"/>
    <w:rsid w:val="00EF74F0"/>
    <w:rsid w:val="00EF7B15"/>
    <w:rsid w:val="00F01022"/>
    <w:rsid w:val="00F0171A"/>
    <w:rsid w:val="00F018B1"/>
    <w:rsid w:val="00F023D7"/>
    <w:rsid w:val="00F024B8"/>
    <w:rsid w:val="00F0290C"/>
    <w:rsid w:val="00F02926"/>
    <w:rsid w:val="00F02A91"/>
    <w:rsid w:val="00F02EC2"/>
    <w:rsid w:val="00F03144"/>
    <w:rsid w:val="00F04048"/>
    <w:rsid w:val="00F056B6"/>
    <w:rsid w:val="00F05917"/>
    <w:rsid w:val="00F05A00"/>
    <w:rsid w:val="00F06171"/>
    <w:rsid w:val="00F06539"/>
    <w:rsid w:val="00F0682E"/>
    <w:rsid w:val="00F06AB1"/>
    <w:rsid w:val="00F06CC6"/>
    <w:rsid w:val="00F06E48"/>
    <w:rsid w:val="00F07C6B"/>
    <w:rsid w:val="00F11656"/>
    <w:rsid w:val="00F11DCF"/>
    <w:rsid w:val="00F1279D"/>
    <w:rsid w:val="00F12823"/>
    <w:rsid w:val="00F14084"/>
    <w:rsid w:val="00F15A3F"/>
    <w:rsid w:val="00F16BB7"/>
    <w:rsid w:val="00F16ECA"/>
    <w:rsid w:val="00F17E97"/>
    <w:rsid w:val="00F216CF"/>
    <w:rsid w:val="00F2214B"/>
    <w:rsid w:val="00F222F4"/>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94F"/>
    <w:rsid w:val="00F31E3D"/>
    <w:rsid w:val="00F3258A"/>
    <w:rsid w:val="00F32C9E"/>
    <w:rsid w:val="00F33500"/>
    <w:rsid w:val="00F33DFA"/>
    <w:rsid w:val="00F344A6"/>
    <w:rsid w:val="00F3450E"/>
    <w:rsid w:val="00F345BB"/>
    <w:rsid w:val="00F346FF"/>
    <w:rsid w:val="00F34E03"/>
    <w:rsid w:val="00F369BB"/>
    <w:rsid w:val="00F37CCB"/>
    <w:rsid w:val="00F419B2"/>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4366"/>
    <w:rsid w:val="00F7603A"/>
    <w:rsid w:val="00F7621E"/>
    <w:rsid w:val="00F764CE"/>
    <w:rsid w:val="00F76DAE"/>
    <w:rsid w:val="00F775B6"/>
    <w:rsid w:val="00F77FCB"/>
    <w:rsid w:val="00F80315"/>
    <w:rsid w:val="00F80CD6"/>
    <w:rsid w:val="00F80D76"/>
    <w:rsid w:val="00F80F87"/>
    <w:rsid w:val="00F80FAD"/>
    <w:rsid w:val="00F818AC"/>
    <w:rsid w:val="00F820C4"/>
    <w:rsid w:val="00F82841"/>
    <w:rsid w:val="00F8289B"/>
    <w:rsid w:val="00F83968"/>
    <w:rsid w:val="00F8590C"/>
    <w:rsid w:val="00F867B7"/>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ED2"/>
    <w:rsid w:val="00FA7D1B"/>
    <w:rsid w:val="00FA7F0D"/>
    <w:rsid w:val="00FB0F7A"/>
    <w:rsid w:val="00FB1459"/>
    <w:rsid w:val="00FB1A2F"/>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43C2"/>
    <w:rsid w:val="00FD5D82"/>
    <w:rsid w:val="00FD5E87"/>
    <w:rsid w:val="00FD6702"/>
    <w:rsid w:val="00FE0FC3"/>
    <w:rsid w:val="00FE136F"/>
    <w:rsid w:val="00FE37CA"/>
    <w:rsid w:val="00FE3A57"/>
    <w:rsid w:val="00FE3C0B"/>
    <w:rsid w:val="00FE3FCE"/>
    <w:rsid w:val="00FE4529"/>
    <w:rsid w:val="00FE4A32"/>
    <w:rsid w:val="00FE50DE"/>
    <w:rsid w:val="00FE67D3"/>
    <w:rsid w:val="00FE766E"/>
    <w:rsid w:val="00FE7A1C"/>
    <w:rsid w:val="00FE7A6F"/>
    <w:rsid w:val="00FF00D9"/>
    <w:rsid w:val="00FF04A4"/>
    <w:rsid w:val="00FF07F5"/>
    <w:rsid w:val="00FF213B"/>
    <w:rsid w:val="00FF46A3"/>
    <w:rsid w:val="00FF56D6"/>
    <w:rsid w:val="00FF5E15"/>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41"/>
      </w:numPr>
      <w:spacing w:after="120"/>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957FF-0E0E-41F8-A3A9-8D67766E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2719</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Networks;Alcatel-Lucent;Alcatel-Lucent Shanghai Bell</dc:creator>
  <cp:lastModifiedBy>Hugl, Klaus (Nokia - AT/Vienna)</cp:lastModifiedBy>
  <cp:revision>2</cp:revision>
  <cp:lastPrinted>2010-02-09T04:59:00Z</cp:lastPrinted>
  <dcterms:created xsi:type="dcterms:W3CDTF">2016-02-05T18:01:00Z</dcterms:created>
  <dcterms:modified xsi:type="dcterms:W3CDTF">2016-02-05T18:01:00Z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