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E26" w:rsidRPr="00272C6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3GPP TSG RAN WG1 Meeting #</w:t>
      </w:r>
      <w:r w:rsidR="00EC0E95">
        <w:rPr>
          <w:rFonts w:ascii="Arial" w:hAnsi="Arial" w:cs="Arial" w:hint="eastAsia"/>
          <w:b/>
          <w:bCs/>
          <w:sz w:val="22"/>
          <w:szCs w:val="22"/>
          <w:lang w:val="en-GB" w:eastAsia="zh-CN"/>
        </w:rPr>
        <w:t>84</w:t>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Pr="00DC282C">
        <w:rPr>
          <w:rFonts w:ascii="Arial" w:eastAsia="Batang" w:hAnsi="Arial" w:cs="Arial"/>
          <w:b/>
          <w:bCs/>
          <w:sz w:val="22"/>
          <w:szCs w:val="22"/>
          <w:lang w:val="en-GB"/>
        </w:rPr>
        <w:t>R1-</w:t>
      </w:r>
      <w:r w:rsidR="0004044E" w:rsidRPr="00DC282C">
        <w:rPr>
          <w:rFonts w:ascii="Arial" w:eastAsia="Batang" w:hAnsi="Arial" w:cs="Arial"/>
          <w:b/>
          <w:bCs/>
          <w:sz w:val="22"/>
          <w:szCs w:val="22"/>
          <w:lang w:val="en-GB"/>
        </w:rPr>
        <w:t>1</w:t>
      </w:r>
      <w:r w:rsidR="0004044E">
        <w:rPr>
          <w:rFonts w:ascii="Arial" w:hAnsi="Arial" w:cs="Arial" w:hint="eastAsia"/>
          <w:b/>
          <w:bCs/>
          <w:sz w:val="22"/>
          <w:szCs w:val="22"/>
          <w:lang w:val="en-GB" w:eastAsia="zh-CN"/>
        </w:rPr>
        <w:t>6</w:t>
      </w:r>
      <w:r w:rsidR="0004044E">
        <w:rPr>
          <w:rFonts w:ascii="Arial" w:hAnsi="Arial" w:cs="Arial" w:hint="eastAsia"/>
          <w:b/>
          <w:bCs/>
          <w:sz w:val="22"/>
          <w:szCs w:val="22"/>
          <w:lang w:val="en-GB" w:eastAsia="zh-CN"/>
        </w:rPr>
        <w:t>0387</w:t>
      </w:r>
    </w:p>
    <w:p w:rsidR="00177E26" w:rsidRPr="00DC282C" w:rsidRDefault="00EC0E95" w:rsidP="00177E26">
      <w:pPr>
        <w:pStyle w:val="aa"/>
        <w:autoSpaceDE/>
        <w:autoSpaceDN/>
        <w:adjustRightInd/>
        <w:spacing w:after="0"/>
        <w:rPr>
          <w:rFonts w:ascii="Arial" w:eastAsia="Batang" w:hAnsi="Arial" w:cs="Arial"/>
          <w:b/>
          <w:bCs/>
          <w:sz w:val="22"/>
          <w:szCs w:val="22"/>
          <w:lang w:val="en-GB"/>
        </w:rPr>
      </w:pPr>
      <w:bookmarkStart w:id="0" w:name="OLE_LINK1"/>
      <w:bookmarkStart w:id="1" w:name="OLE_LINK2"/>
      <w:r w:rsidRPr="00EC0E95">
        <w:rPr>
          <w:rFonts w:ascii="Arial" w:hAnsi="Arial" w:cs="Arial"/>
          <w:b/>
          <w:bCs/>
          <w:sz w:val="22"/>
          <w:szCs w:val="22"/>
          <w:lang w:eastAsia="zh-CN"/>
        </w:rPr>
        <w:t>St Julian’s, Malta, 15</w:t>
      </w:r>
      <w:r w:rsidRPr="00EC0E95">
        <w:rPr>
          <w:rFonts w:ascii="Arial" w:hAnsi="Arial" w:cs="Arial"/>
          <w:b/>
          <w:bCs/>
          <w:sz w:val="22"/>
          <w:szCs w:val="22"/>
          <w:vertAlign w:val="superscript"/>
          <w:lang w:eastAsia="zh-CN"/>
        </w:rPr>
        <w:t>th</w:t>
      </w:r>
      <w:r w:rsidRPr="00EC0E95">
        <w:rPr>
          <w:rFonts w:ascii="Arial" w:hAnsi="Arial" w:cs="Arial"/>
          <w:b/>
          <w:bCs/>
          <w:sz w:val="22"/>
          <w:szCs w:val="22"/>
          <w:lang w:eastAsia="zh-CN"/>
        </w:rPr>
        <w:t xml:space="preserve"> - 19</w:t>
      </w:r>
      <w:r w:rsidRPr="00EC0E95">
        <w:rPr>
          <w:rFonts w:ascii="Arial" w:hAnsi="Arial" w:cs="Arial"/>
          <w:b/>
          <w:bCs/>
          <w:sz w:val="22"/>
          <w:szCs w:val="22"/>
          <w:vertAlign w:val="superscript"/>
          <w:lang w:eastAsia="zh-CN"/>
        </w:rPr>
        <w:t>th</w:t>
      </w:r>
      <w:r w:rsidRPr="00EC0E95">
        <w:rPr>
          <w:rFonts w:ascii="Arial" w:hAnsi="Arial" w:cs="Arial"/>
          <w:b/>
          <w:bCs/>
          <w:sz w:val="22"/>
          <w:szCs w:val="22"/>
          <w:lang w:eastAsia="zh-CN"/>
        </w:rPr>
        <w:t xml:space="preserve"> February 2016</w:t>
      </w:r>
      <w:bookmarkEnd w:id="0"/>
      <w:bookmarkEnd w:id="1"/>
    </w:p>
    <w:p w:rsidR="00177E26" w:rsidRPr="0045480C" w:rsidRDefault="00177E26" w:rsidP="00177E26">
      <w:pPr>
        <w:pStyle w:val="aa"/>
        <w:autoSpaceDE/>
        <w:autoSpaceDN/>
        <w:adjustRightInd/>
        <w:spacing w:after="0"/>
        <w:rPr>
          <w:rFonts w:ascii="Arial" w:hAnsi="Arial" w:cs="Arial"/>
          <w:b/>
          <w:bCs/>
          <w:sz w:val="22"/>
          <w:szCs w:val="22"/>
          <w:lang w:eastAsia="zh-CN"/>
        </w:rPr>
      </w:pP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EC0E95">
        <w:rPr>
          <w:rFonts w:ascii="Arial" w:hAnsi="Arial" w:cs="Arial" w:hint="eastAsia"/>
          <w:b/>
          <w:bCs/>
          <w:sz w:val="22"/>
          <w:szCs w:val="22"/>
          <w:lang w:val="en-GB" w:eastAsia="zh-CN"/>
        </w:rPr>
        <w:t>7.3.1.1</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NEC</w:t>
      </w: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Discussion on </w:t>
      </w:r>
      <w:r w:rsidR="00EC0E95">
        <w:rPr>
          <w:rFonts w:ascii="Arial" w:hAnsi="Arial" w:cs="Arial" w:hint="eastAsia"/>
          <w:b/>
          <w:bCs/>
          <w:sz w:val="22"/>
          <w:szCs w:val="22"/>
          <w:lang w:val="en-GB" w:eastAsia="zh-CN"/>
        </w:rPr>
        <w:t xml:space="preserve">PUSCH </w:t>
      </w:r>
      <w:r w:rsidR="00EC0E95">
        <w:rPr>
          <w:rFonts w:ascii="Arial" w:hAnsi="Arial" w:cs="Arial"/>
          <w:b/>
          <w:bCs/>
          <w:sz w:val="22"/>
          <w:szCs w:val="22"/>
          <w:lang w:val="en-GB" w:eastAsia="zh-CN"/>
        </w:rPr>
        <w:t>resource</w:t>
      </w:r>
      <w:r w:rsidR="00EC0E95">
        <w:rPr>
          <w:rFonts w:ascii="Arial" w:hAnsi="Arial" w:cs="Arial" w:hint="eastAsia"/>
          <w:b/>
          <w:bCs/>
          <w:sz w:val="22"/>
          <w:szCs w:val="22"/>
          <w:lang w:val="en-GB" w:eastAsia="zh-CN"/>
        </w:rPr>
        <w:t xml:space="preserve"> allocation for LAA</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2" w:name="_Ref124589705"/>
      <w:bookmarkStart w:id="3" w:name="_Ref129681862"/>
      <w:r w:rsidRPr="003A2561">
        <w:t>Introduction</w:t>
      </w:r>
      <w:bookmarkEnd w:id="2"/>
      <w:bookmarkEnd w:id="3"/>
    </w:p>
    <w:p w:rsidR="00FB14D1" w:rsidRDefault="00FB14D1" w:rsidP="00177E26">
      <w:pPr>
        <w:rPr>
          <w:lang w:eastAsia="zh-CN"/>
        </w:rPr>
      </w:pPr>
      <w:r>
        <w:rPr>
          <w:rFonts w:hint="eastAsia"/>
          <w:lang w:eastAsia="zh-CN"/>
        </w:rPr>
        <w:t xml:space="preserve">In RAN1#80bis, the agreements regarding PUSCH </w:t>
      </w:r>
      <w:r>
        <w:rPr>
          <w:lang w:eastAsia="zh-CN"/>
        </w:rPr>
        <w:t>resource</w:t>
      </w:r>
      <w:r>
        <w:rPr>
          <w:rFonts w:hint="eastAsia"/>
          <w:lang w:eastAsia="zh-CN"/>
        </w:rPr>
        <w:t xml:space="preserve"> allocation is as following</w:t>
      </w:r>
      <w:r w:rsidR="002A5065">
        <w:rPr>
          <w:rFonts w:hint="eastAsia"/>
          <w:lang w:eastAsia="zh-CN"/>
        </w:rPr>
        <w:t xml:space="preserve"> </w:t>
      </w:r>
      <w:r w:rsidR="002A5065">
        <w:rPr>
          <w:lang w:eastAsia="zh-CN"/>
        </w:rPr>
        <w:fldChar w:fldCharType="begin"/>
      </w:r>
      <w:r w:rsidR="002A5065">
        <w:rPr>
          <w:lang w:eastAsia="zh-CN"/>
        </w:rPr>
        <w:instrText xml:space="preserve"> </w:instrText>
      </w:r>
      <w:r w:rsidR="002A5065">
        <w:rPr>
          <w:rFonts w:hint="eastAsia"/>
          <w:lang w:eastAsia="zh-CN"/>
        </w:rPr>
        <w:instrText>REF _Ref418776036 \r \h</w:instrText>
      </w:r>
      <w:r w:rsidR="002A5065">
        <w:rPr>
          <w:lang w:eastAsia="zh-CN"/>
        </w:rPr>
        <w:instrText xml:space="preserve"> </w:instrText>
      </w:r>
      <w:r w:rsidR="002A5065">
        <w:rPr>
          <w:lang w:eastAsia="zh-CN"/>
        </w:rPr>
      </w:r>
      <w:r w:rsidR="002A5065">
        <w:rPr>
          <w:lang w:eastAsia="zh-CN"/>
        </w:rPr>
        <w:fldChar w:fldCharType="separate"/>
      </w:r>
      <w:r w:rsidR="002A5065">
        <w:rPr>
          <w:lang w:eastAsia="zh-CN"/>
        </w:rPr>
        <w:t>[1]</w:t>
      </w:r>
      <w:r w:rsidR="002A5065">
        <w:rPr>
          <w:lang w:eastAsia="zh-CN"/>
        </w:rPr>
        <w:fldChar w:fldCharType="end"/>
      </w:r>
      <w:r>
        <w:rPr>
          <w:rFonts w:hint="eastAsia"/>
          <w:lang w:eastAsia="zh-CN"/>
        </w:rPr>
        <w:t>:</w:t>
      </w:r>
    </w:p>
    <w:p w:rsidR="00FB14D1" w:rsidRPr="00B36823" w:rsidRDefault="00FB14D1" w:rsidP="00FB14D1">
      <w:pPr>
        <w:rPr>
          <w:rFonts w:eastAsia="MS Mincho"/>
          <w:b/>
          <w:iCs/>
          <w:u w:val="single"/>
          <w:lang w:eastAsia="ja-JP"/>
        </w:rPr>
      </w:pPr>
      <w:r w:rsidRPr="006A13FA">
        <w:rPr>
          <w:rFonts w:eastAsia="MS Mincho" w:hint="eastAsia"/>
          <w:b/>
          <w:iCs/>
          <w:highlight w:val="green"/>
          <w:u w:val="single"/>
          <w:lang w:eastAsia="ja-JP"/>
        </w:rPr>
        <w:t>Agreements:</w:t>
      </w:r>
      <w:bookmarkStart w:id="4" w:name="_GoBack"/>
      <w:bookmarkEnd w:id="4"/>
    </w:p>
    <w:p w:rsidR="00FB14D1" w:rsidRDefault="00FB14D1" w:rsidP="00FB14D1">
      <w:pPr>
        <w:numPr>
          <w:ilvl w:val="0"/>
          <w:numId w:val="44"/>
        </w:numPr>
        <w:autoSpaceDE/>
        <w:autoSpaceDN/>
        <w:adjustRightInd/>
        <w:snapToGrid/>
        <w:spacing w:after="0"/>
        <w:jc w:val="left"/>
        <w:rPr>
          <w:rFonts w:eastAsia="MS Mincho"/>
          <w:iCs/>
          <w:lang w:eastAsia="ja-JP"/>
        </w:rPr>
      </w:pPr>
      <w:r w:rsidRPr="00B36823">
        <w:rPr>
          <w:rFonts w:eastAsia="MS Mincho"/>
          <w:iCs/>
          <w:lang w:eastAsia="ja-JP"/>
        </w:rPr>
        <w:t>For PUSCH, extending the current single and dual cluster allocation to multi-cluster (&gt;2) allocation (e.g. RBs/subcarriers spaced uniformly in frequency) is identified as a candidate waveform that satisfies regulatory requirements and maximizes coverage</w:t>
      </w:r>
    </w:p>
    <w:p w:rsidR="00FB14D1" w:rsidRPr="00B36823" w:rsidRDefault="00FB14D1" w:rsidP="00FB14D1">
      <w:pPr>
        <w:numPr>
          <w:ilvl w:val="1"/>
          <w:numId w:val="44"/>
        </w:numPr>
        <w:autoSpaceDE/>
        <w:autoSpaceDN/>
        <w:adjustRightInd/>
        <w:snapToGrid/>
        <w:spacing w:after="0"/>
        <w:jc w:val="left"/>
        <w:rPr>
          <w:rFonts w:eastAsia="MS Mincho"/>
          <w:iCs/>
          <w:lang w:eastAsia="ja-JP"/>
        </w:rPr>
      </w:pPr>
      <w:r w:rsidRPr="00B36823">
        <w:rPr>
          <w:rFonts w:eastAsia="MS Mincho"/>
          <w:iCs/>
          <w:lang w:eastAsia="ja-JP"/>
        </w:rPr>
        <w:t>FFS: Number of clusters needed</w:t>
      </w:r>
    </w:p>
    <w:p w:rsidR="00FB14D1" w:rsidRPr="00B36823" w:rsidRDefault="00FB14D1" w:rsidP="00FB14D1">
      <w:pPr>
        <w:numPr>
          <w:ilvl w:val="1"/>
          <w:numId w:val="44"/>
        </w:numPr>
        <w:autoSpaceDE/>
        <w:autoSpaceDN/>
        <w:adjustRightInd/>
        <w:snapToGrid/>
        <w:spacing w:after="0"/>
        <w:jc w:val="left"/>
        <w:rPr>
          <w:rFonts w:eastAsia="MS Mincho"/>
          <w:iCs/>
          <w:lang w:eastAsia="ja-JP"/>
        </w:rPr>
      </w:pPr>
      <w:r w:rsidRPr="00B36823">
        <w:rPr>
          <w:rFonts w:eastAsia="MS Mincho"/>
          <w:iCs/>
          <w:lang w:eastAsia="ja-JP"/>
        </w:rPr>
        <w:t>FFS: Size of each cluster</w:t>
      </w:r>
    </w:p>
    <w:p w:rsidR="00FB14D1" w:rsidRPr="00E331E2" w:rsidRDefault="00FB14D1" w:rsidP="00FB14D1">
      <w:pPr>
        <w:numPr>
          <w:ilvl w:val="1"/>
          <w:numId w:val="44"/>
        </w:numPr>
        <w:autoSpaceDE/>
        <w:autoSpaceDN/>
        <w:adjustRightInd/>
        <w:snapToGrid/>
        <w:spacing w:after="0"/>
        <w:jc w:val="left"/>
        <w:rPr>
          <w:rFonts w:eastAsia="MS Mincho"/>
          <w:iCs/>
          <w:lang w:eastAsia="ja-JP"/>
        </w:rPr>
      </w:pPr>
      <w:r w:rsidRPr="00B36823">
        <w:rPr>
          <w:rFonts w:eastAsia="MS Mincho" w:hint="eastAsia"/>
          <w:iCs/>
          <w:lang w:eastAsia="ja-JP"/>
        </w:rPr>
        <w:t>FFS: Spacing between clusters or subcarriers</w:t>
      </w:r>
    </w:p>
    <w:p w:rsidR="00FB14D1" w:rsidRDefault="002A5065" w:rsidP="00177E26">
      <w:pPr>
        <w:rPr>
          <w:lang w:eastAsia="zh-CN"/>
        </w:rPr>
      </w:pPr>
      <w:r>
        <w:rPr>
          <w:rFonts w:hint="eastAsia"/>
          <w:lang w:eastAsia="zh-CN"/>
        </w:rPr>
        <w:t xml:space="preserve">In this contribution, we mainly focus on the </w:t>
      </w:r>
      <w:r>
        <w:rPr>
          <w:lang w:eastAsia="zh-CN"/>
        </w:rPr>
        <w:t>resource</w:t>
      </w:r>
      <w:r>
        <w:rPr>
          <w:rFonts w:hint="eastAsia"/>
          <w:lang w:eastAsia="zh-CN"/>
        </w:rPr>
        <w:t xml:space="preserve"> allocation for PUSCH.</w:t>
      </w:r>
    </w:p>
    <w:p w:rsidR="00A81E8D" w:rsidRDefault="00A81E8D" w:rsidP="00A81E8D">
      <w:pPr>
        <w:pStyle w:val="1"/>
        <w:rPr>
          <w:lang w:eastAsia="zh-CN"/>
        </w:rPr>
      </w:pPr>
      <w:r>
        <w:rPr>
          <w:rFonts w:hint="eastAsia"/>
          <w:lang w:eastAsia="zh-CN"/>
        </w:rPr>
        <w:t>Discussion</w:t>
      </w:r>
    </w:p>
    <w:p w:rsidR="00A81E8D" w:rsidRDefault="002A5065" w:rsidP="00A81E8D">
      <w:pPr>
        <w:pStyle w:val="2"/>
        <w:rPr>
          <w:lang w:eastAsia="zh-CN"/>
        </w:rPr>
      </w:pPr>
      <w:r>
        <w:rPr>
          <w:rFonts w:hint="eastAsia"/>
          <w:lang w:eastAsia="zh-CN"/>
        </w:rPr>
        <w:t>Resource allocation for PUSCH</w:t>
      </w:r>
    </w:p>
    <w:p w:rsidR="002A5065" w:rsidRDefault="003843B1" w:rsidP="00407E0C">
      <w:pPr>
        <w:rPr>
          <w:lang w:eastAsia="zh-CN"/>
        </w:rPr>
      </w:pPr>
      <w:r>
        <w:rPr>
          <w:rFonts w:hint="eastAsia"/>
          <w:lang w:eastAsia="zh-CN"/>
        </w:rPr>
        <w:t xml:space="preserve">The EU regulation </w:t>
      </w:r>
      <w:r w:rsidR="00824983">
        <w:rPr>
          <w:lang w:eastAsia="zh-CN"/>
        </w:rPr>
        <w:fldChar w:fldCharType="begin"/>
      </w:r>
      <w:r w:rsidR="00824983">
        <w:rPr>
          <w:lang w:eastAsia="zh-CN"/>
        </w:rPr>
        <w:instrText xml:space="preserve"> </w:instrText>
      </w:r>
      <w:r w:rsidR="00824983">
        <w:rPr>
          <w:rFonts w:hint="eastAsia"/>
          <w:lang w:eastAsia="zh-CN"/>
        </w:rPr>
        <w:instrText>REF _Ref441476106 \r \h</w:instrText>
      </w:r>
      <w:r w:rsidR="00824983">
        <w:rPr>
          <w:lang w:eastAsia="zh-CN"/>
        </w:rPr>
        <w:instrText xml:space="preserve"> </w:instrText>
      </w:r>
      <w:r w:rsidR="00824983">
        <w:rPr>
          <w:lang w:eastAsia="zh-CN"/>
        </w:rPr>
      </w:r>
      <w:r w:rsidR="00824983">
        <w:rPr>
          <w:lang w:eastAsia="zh-CN"/>
        </w:rPr>
        <w:fldChar w:fldCharType="separate"/>
      </w:r>
      <w:r w:rsidR="00824983">
        <w:rPr>
          <w:lang w:eastAsia="zh-CN"/>
        </w:rPr>
        <w:t>[2]</w:t>
      </w:r>
      <w:r w:rsidR="00824983">
        <w:rPr>
          <w:lang w:eastAsia="zh-CN"/>
        </w:rPr>
        <w:fldChar w:fldCharType="end"/>
      </w:r>
      <w:r w:rsidR="00824983">
        <w:rPr>
          <w:rFonts w:hint="eastAsia"/>
          <w:lang w:eastAsia="zh-CN"/>
        </w:rPr>
        <w:t xml:space="preserve"> </w:t>
      </w:r>
      <w:r>
        <w:rPr>
          <w:rFonts w:hint="eastAsia"/>
          <w:lang w:eastAsia="zh-CN"/>
        </w:rPr>
        <w:t xml:space="preserve">requires that the signal transmitted by a device containing 99% of the total transmission power should at least occupy 80% of the nominal bandwidth. Currently, the uplink frequency domain resource is shared by multiple UEs, and a single UE can be allocated one or two continuous RB sets. </w:t>
      </w:r>
      <w:r w:rsidR="00105DC1">
        <w:rPr>
          <w:rFonts w:hint="eastAsia"/>
          <w:lang w:eastAsia="zh-CN"/>
        </w:rPr>
        <w:t xml:space="preserve">If a UE can only be allocated a continuous RB set, to satisfy the 80% </w:t>
      </w:r>
      <w:r w:rsidR="00105DC1">
        <w:rPr>
          <w:lang w:eastAsia="zh-CN"/>
        </w:rPr>
        <w:t>channel</w:t>
      </w:r>
      <w:r w:rsidR="00105DC1">
        <w:rPr>
          <w:rFonts w:hint="eastAsia"/>
          <w:lang w:eastAsia="zh-CN"/>
        </w:rPr>
        <w:t xml:space="preserve"> occupancy requirement, the UE needs to be allocated at least 80% of the total RBs of the system</w:t>
      </w:r>
      <w:r w:rsidR="00407E0C">
        <w:rPr>
          <w:rFonts w:hint="eastAsia"/>
          <w:lang w:eastAsia="zh-CN"/>
        </w:rPr>
        <w:t xml:space="preserve"> bandwidth</w:t>
      </w:r>
      <w:r w:rsidR="00105DC1">
        <w:rPr>
          <w:rFonts w:hint="eastAsia"/>
          <w:lang w:eastAsia="zh-CN"/>
        </w:rPr>
        <w:t>, and then there is only 20% of the total RBs left for other UEs. As a result, it is impossible for other UEs to satisfy the 80% channel occupancy requirement</w:t>
      </w:r>
      <w:r w:rsidR="00407E0C">
        <w:rPr>
          <w:rFonts w:hint="eastAsia"/>
          <w:lang w:eastAsia="zh-CN"/>
        </w:rPr>
        <w:t xml:space="preserve"> without overlapping</w:t>
      </w:r>
      <w:r w:rsidR="00105DC1">
        <w:rPr>
          <w:rFonts w:hint="eastAsia"/>
          <w:lang w:eastAsia="zh-CN"/>
        </w:rPr>
        <w:t xml:space="preserve">, and uplink multiplexing </w:t>
      </w:r>
      <w:r w:rsidR="00407E0C">
        <w:rPr>
          <w:rFonts w:hint="eastAsia"/>
          <w:lang w:eastAsia="zh-CN"/>
        </w:rPr>
        <w:t>can</w:t>
      </w:r>
      <w:r w:rsidR="00407E0C">
        <w:rPr>
          <w:lang w:eastAsia="zh-CN"/>
        </w:rPr>
        <w:t>’</w:t>
      </w:r>
      <w:r w:rsidR="00407E0C">
        <w:rPr>
          <w:rFonts w:hint="eastAsia"/>
          <w:lang w:eastAsia="zh-CN"/>
        </w:rPr>
        <w:t>t be fulfilled</w:t>
      </w:r>
      <w:r w:rsidR="00105DC1">
        <w:rPr>
          <w:rFonts w:hint="eastAsia"/>
          <w:lang w:eastAsia="zh-CN"/>
        </w:rPr>
        <w:t xml:space="preserve">. </w:t>
      </w:r>
      <w:r w:rsidR="00407E0C">
        <w:rPr>
          <w:rFonts w:hint="eastAsia"/>
          <w:lang w:eastAsia="zh-CN"/>
        </w:rPr>
        <w:t xml:space="preserve">The problem is similar for the two continuous RB sets </w:t>
      </w:r>
      <w:r w:rsidR="00407E0C">
        <w:rPr>
          <w:lang w:eastAsia="zh-CN"/>
        </w:rPr>
        <w:t>resource</w:t>
      </w:r>
      <w:r w:rsidR="00407E0C">
        <w:rPr>
          <w:rFonts w:hint="eastAsia"/>
          <w:lang w:eastAsia="zh-CN"/>
        </w:rPr>
        <w:t xml:space="preserve"> allocation method. </w:t>
      </w:r>
      <w:r w:rsidR="00407E0C">
        <w:rPr>
          <w:lang w:eastAsia="zh-CN"/>
        </w:rPr>
        <w:t>I</w:t>
      </w:r>
      <w:r w:rsidR="00407E0C">
        <w:rPr>
          <w:rFonts w:hint="eastAsia"/>
          <w:lang w:eastAsia="zh-CN"/>
        </w:rPr>
        <w:t xml:space="preserve">n a word, </w:t>
      </w:r>
      <w:r>
        <w:rPr>
          <w:rFonts w:hint="eastAsia"/>
          <w:lang w:eastAsia="zh-CN"/>
        </w:rPr>
        <w:t xml:space="preserve">it is </w:t>
      </w:r>
      <w:r w:rsidR="00407E0C">
        <w:rPr>
          <w:rFonts w:hint="eastAsia"/>
          <w:lang w:eastAsia="zh-CN"/>
        </w:rPr>
        <w:t xml:space="preserve">almost impossible </w:t>
      </w:r>
      <w:r>
        <w:rPr>
          <w:rFonts w:hint="eastAsia"/>
          <w:lang w:eastAsia="zh-CN"/>
        </w:rPr>
        <w:t xml:space="preserve">to satisfy the 80% occupancy requirement by legacy </w:t>
      </w:r>
      <w:r>
        <w:rPr>
          <w:lang w:eastAsia="zh-CN"/>
        </w:rPr>
        <w:t>resource</w:t>
      </w:r>
      <w:r>
        <w:rPr>
          <w:rFonts w:hint="eastAsia"/>
          <w:lang w:eastAsia="zh-CN"/>
        </w:rPr>
        <w:t xml:space="preserve"> allocation methods</w:t>
      </w:r>
      <w:r w:rsidR="00D55C6A">
        <w:rPr>
          <w:rFonts w:hint="eastAsia"/>
          <w:lang w:eastAsia="zh-CN"/>
        </w:rPr>
        <w:t xml:space="preserve"> to frequency domain multiplex multiple UEs in a single </w:t>
      </w:r>
      <w:proofErr w:type="spellStart"/>
      <w:r w:rsidR="00D55C6A">
        <w:rPr>
          <w:rFonts w:hint="eastAsia"/>
          <w:lang w:eastAsia="zh-CN"/>
        </w:rPr>
        <w:t>subframe</w:t>
      </w:r>
      <w:proofErr w:type="spellEnd"/>
      <w:r>
        <w:rPr>
          <w:rFonts w:hint="eastAsia"/>
          <w:lang w:eastAsia="zh-CN"/>
        </w:rPr>
        <w:t>.</w:t>
      </w:r>
    </w:p>
    <w:p w:rsidR="002A5065" w:rsidRDefault="0058319A" w:rsidP="00A81E8D">
      <w:pPr>
        <w:rPr>
          <w:lang w:eastAsia="zh-CN"/>
        </w:rPr>
      </w:pPr>
      <w:r>
        <w:rPr>
          <w:rFonts w:hint="eastAsia"/>
          <w:lang w:eastAsia="zh-CN"/>
        </w:rPr>
        <w:t>There are mainly two options to satisfy the regulation:</w:t>
      </w:r>
    </w:p>
    <w:p w:rsidR="0058319A" w:rsidRPr="0058319A" w:rsidRDefault="0058319A" w:rsidP="0058319A">
      <w:pPr>
        <w:pStyle w:val="af4"/>
        <w:numPr>
          <w:ilvl w:val="0"/>
          <w:numId w:val="46"/>
        </w:numPr>
        <w:rPr>
          <w:rFonts w:ascii="Times New Roman" w:hAnsi="Times New Roman" w:cs="Times New Roman"/>
        </w:rPr>
      </w:pPr>
      <w:r w:rsidRPr="0058319A">
        <w:rPr>
          <w:rFonts w:ascii="Times New Roman" w:hAnsi="Times New Roman" w:cs="Times New Roman"/>
        </w:rPr>
        <w:t>Option 1: Interleaving based resource allocation</w:t>
      </w:r>
      <w:r w:rsidR="003A1728">
        <w:rPr>
          <w:rFonts w:ascii="Times New Roman" w:hAnsi="Times New Roman" w:cs="Times New Roman" w:hint="eastAsia"/>
        </w:rPr>
        <w:t>.</w:t>
      </w:r>
    </w:p>
    <w:p w:rsidR="0058319A" w:rsidRPr="0058319A" w:rsidRDefault="0058319A" w:rsidP="0058319A">
      <w:pPr>
        <w:pStyle w:val="af4"/>
        <w:numPr>
          <w:ilvl w:val="0"/>
          <w:numId w:val="46"/>
        </w:numPr>
        <w:rPr>
          <w:rFonts w:ascii="Times New Roman" w:hAnsi="Times New Roman" w:cs="Times New Roman"/>
        </w:rPr>
      </w:pPr>
      <w:r w:rsidRPr="0058319A">
        <w:rPr>
          <w:rFonts w:ascii="Times New Roman" w:hAnsi="Times New Roman" w:cs="Times New Roman"/>
        </w:rPr>
        <w:t xml:space="preserve">Option 2: Resource allocation at both the </w:t>
      </w:r>
      <w:r w:rsidRPr="005003EB">
        <w:rPr>
          <w:rFonts w:ascii="Times New Roman" w:hAnsi="Times New Roman" w:cs="Times New Roman"/>
        </w:rPr>
        <w:t>center part</w:t>
      </w:r>
      <w:r w:rsidRPr="0058319A">
        <w:rPr>
          <w:rFonts w:ascii="Times New Roman" w:hAnsi="Times New Roman" w:cs="Times New Roman"/>
        </w:rPr>
        <w:t xml:space="preserve"> and the edge part.</w:t>
      </w:r>
    </w:p>
    <w:p w:rsidR="0058319A" w:rsidRDefault="009E03FF" w:rsidP="009E03FF">
      <w:pPr>
        <w:pStyle w:val="3"/>
        <w:rPr>
          <w:lang w:eastAsia="zh-CN"/>
        </w:rPr>
      </w:pPr>
      <w:r>
        <w:rPr>
          <w:rFonts w:hint="eastAsia"/>
          <w:lang w:eastAsia="zh-CN"/>
        </w:rPr>
        <w:t>Interleaving based resource allocation</w:t>
      </w:r>
    </w:p>
    <w:p w:rsidR="009E03FF" w:rsidRDefault="004B3050" w:rsidP="009E03FF">
      <w:pPr>
        <w:rPr>
          <w:lang w:eastAsia="zh-CN"/>
        </w:rPr>
      </w:pPr>
      <w:r>
        <w:rPr>
          <w:rFonts w:hint="eastAsia"/>
          <w:lang w:eastAsia="zh-CN"/>
        </w:rPr>
        <w:t xml:space="preserve">Currently there are three types of </w:t>
      </w:r>
      <w:r>
        <w:rPr>
          <w:lang w:eastAsia="zh-CN"/>
        </w:rPr>
        <w:t>resource</w:t>
      </w:r>
      <w:r>
        <w:rPr>
          <w:rFonts w:hint="eastAsia"/>
          <w:lang w:eastAsia="zh-CN"/>
        </w:rPr>
        <w:t xml:space="preserve"> allocations for LTE DL. Type 0 is based on RBG</w:t>
      </w:r>
      <w:r w:rsidR="00B94ACA">
        <w:rPr>
          <w:rFonts w:hint="eastAsia"/>
          <w:lang w:eastAsia="zh-CN"/>
        </w:rPr>
        <w:t xml:space="preserve">, and bitmap can indicate which one or multiple RBGs </w:t>
      </w:r>
      <w:r w:rsidR="009739B2">
        <w:rPr>
          <w:rFonts w:hint="eastAsia"/>
          <w:lang w:eastAsia="zh-CN"/>
        </w:rPr>
        <w:t>are</w:t>
      </w:r>
      <w:r w:rsidR="00B94ACA">
        <w:rPr>
          <w:rFonts w:hint="eastAsia"/>
          <w:lang w:eastAsia="zh-CN"/>
        </w:rPr>
        <w:t xml:space="preserve"> allocated to a UE. With careful bitmap design, </w:t>
      </w:r>
      <w:r w:rsidR="00B94ACA">
        <w:rPr>
          <w:lang w:eastAsia="zh-CN"/>
        </w:rPr>
        <w:t>interleaving based resource allocation can be achieved; however, the minimum granularity is RBG rather than</w:t>
      </w:r>
      <w:r w:rsidR="00B94ACA">
        <w:rPr>
          <w:rFonts w:hint="eastAsia"/>
          <w:lang w:eastAsia="zh-CN"/>
        </w:rPr>
        <w:t xml:space="preserve"> RB, which limits the multiplexing capacity and scheduling flexibility. Type 1 is based on distributed RBG subsets, and a UE can be allocated one or more RBs</w:t>
      </w:r>
      <w:r w:rsidR="00FF568E">
        <w:rPr>
          <w:rFonts w:hint="eastAsia"/>
          <w:lang w:eastAsia="zh-CN"/>
        </w:rPr>
        <w:t xml:space="preserve"> </w:t>
      </w:r>
      <w:r w:rsidR="00B94ACA">
        <w:rPr>
          <w:rFonts w:hint="eastAsia"/>
          <w:lang w:eastAsia="zh-CN"/>
        </w:rPr>
        <w:t>in</w:t>
      </w:r>
      <w:r w:rsidR="00776312">
        <w:rPr>
          <w:rFonts w:hint="eastAsia"/>
          <w:lang w:eastAsia="zh-CN"/>
        </w:rPr>
        <w:t xml:space="preserve"> a RBG subset by bitmap. With careful bitmap design, type 1 can also </w:t>
      </w:r>
      <w:r w:rsidR="00776312">
        <w:rPr>
          <w:lang w:eastAsia="zh-CN"/>
        </w:rPr>
        <w:t>satisfy</w:t>
      </w:r>
      <w:r w:rsidR="00776312">
        <w:rPr>
          <w:rFonts w:hint="eastAsia"/>
          <w:lang w:eastAsia="zh-CN"/>
        </w:rPr>
        <w:t xml:space="preserve"> the EU regulation on the cost of scheduling complexity and restriction that a UE can be allocated one RBG subset at most. Type 2 is continuous RBs allocation, and with VRB, </w:t>
      </w:r>
      <w:r w:rsidR="00776312">
        <w:rPr>
          <w:lang w:eastAsia="zh-CN"/>
        </w:rPr>
        <w:t>frequency</w:t>
      </w:r>
      <w:r w:rsidR="00776312">
        <w:rPr>
          <w:rFonts w:hint="eastAsia"/>
          <w:lang w:eastAsia="zh-CN"/>
        </w:rPr>
        <w:t xml:space="preserve"> </w:t>
      </w:r>
      <w:r w:rsidR="00776312">
        <w:rPr>
          <w:lang w:eastAsia="zh-CN"/>
        </w:rPr>
        <w:t xml:space="preserve">domain distributed </w:t>
      </w:r>
      <w:r w:rsidR="00776312">
        <w:rPr>
          <w:rFonts w:hint="eastAsia"/>
          <w:lang w:eastAsia="zh-CN"/>
        </w:rPr>
        <w:t xml:space="preserve">RB allocation can also be achieved. </w:t>
      </w:r>
      <w:r w:rsidR="00AE681A">
        <w:rPr>
          <w:rFonts w:hint="eastAsia"/>
          <w:lang w:eastAsia="zh-CN"/>
        </w:rPr>
        <w:t>To satisfy the 80% channel occupancy requirement, a requirement on the minimum resources allocated to a single UE is necessary, and as a result, the</w:t>
      </w:r>
      <w:r w:rsidR="00D55C6A">
        <w:rPr>
          <w:rFonts w:hint="eastAsia"/>
          <w:lang w:eastAsia="zh-CN"/>
        </w:rPr>
        <w:t xml:space="preserve"> </w:t>
      </w:r>
      <w:r w:rsidR="00776312">
        <w:rPr>
          <w:lang w:eastAsia="zh-CN"/>
        </w:rPr>
        <w:t>multiplexing</w:t>
      </w:r>
      <w:r w:rsidR="00776312">
        <w:rPr>
          <w:rFonts w:hint="eastAsia"/>
          <w:lang w:eastAsia="zh-CN"/>
        </w:rPr>
        <w:t xml:space="preserve"> capacity will be limited.</w:t>
      </w:r>
    </w:p>
    <w:p w:rsidR="00776312" w:rsidRDefault="00776312" w:rsidP="009E03FF">
      <w:pPr>
        <w:rPr>
          <w:lang w:eastAsia="zh-CN"/>
        </w:rPr>
      </w:pPr>
      <w:r>
        <w:rPr>
          <w:rFonts w:hint="eastAsia"/>
          <w:lang w:eastAsia="zh-CN"/>
        </w:rPr>
        <w:t>The motivation</w:t>
      </w:r>
      <w:r w:rsidR="001A58B2">
        <w:rPr>
          <w:rFonts w:hint="eastAsia"/>
          <w:lang w:eastAsia="zh-CN"/>
        </w:rPr>
        <w:t>s</w:t>
      </w:r>
      <w:r>
        <w:rPr>
          <w:rFonts w:hint="eastAsia"/>
          <w:lang w:eastAsia="zh-CN"/>
        </w:rPr>
        <w:t xml:space="preserve"> of these three DL </w:t>
      </w:r>
      <w:r>
        <w:rPr>
          <w:lang w:eastAsia="zh-CN"/>
        </w:rPr>
        <w:t>resource</w:t>
      </w:r>
      <w:r>
        <w:rPr>
          <w:rFonts w:hint="eastAsia"/>
          <w:lang w:eastAsia="zh-CN"/>
        </w:rPr>
        <w:t xml:space="preserve"> allocation methods </w:t>
      </w:r>
      <w:r w:rsidR="001A58B2">
        <w:rPr>
          <w:rFonts w:hint="eastAsia"/>
          <w:lang w:eastAsia="zh-CN"/>
        </w:rPr>
        <w:t>are</w:t>
      </w:r>
      <w:r>
        <w:rPr>
          <w:rFonts w:hint="eastAsia"/>
          <w:lang w:eastAsia="zh-CN"/>
        </w:rPr>
        <w:t xml:space="preserve"> the scheduling </w:t>
      </w:r>
      <w:r>
        <w:rPr>
          <w:lang w:eastAsia="zh-CN"/>
        </w:rPr>
        <w:t>flexibility</w:t>
      </w:r>
      <w:r>
        <w:rPr>
          <w:rFonts w:hint="eastAsia"/>
          <w:lang w:eastAsia="zh-CN"/>
        </w:rPr>
        <w:t>, signaling overhead</w:t>
      </w:r>
      <w:r w:rsidR="00F32D7B">
        <w:rPr>
          <w:rFonts w:hint="eastAsia"/>
          <w:lang w:eastAsia="zh-CN"/>
        </w:rPr>
        <w:t>,</w:t>
      </w:r>
      <w:r>
        <w:rPr>
          <w:rFonts w:hint="eastAsia"/>
          <w:lang w:eastAsia="zh-CN"/>
        </w:rPr>
        <w:t xml:space="preserve"> while there is no consideration of the 80% </w:t>
      </w:r>
      <w:r>
        <w:rPr>
          <w:lang w:eastAsia="zh-CN"/>
        </w:rPr>
        <w:t>channel</w:t>
      </w:r>
      <w:r>
        <w:rPr>
          <w:rFonts w:hint="eastAsia"/>
          <w:lang w:eastAsia="zh-CN"/>
        </w:rPr>
        <w:t xml:space="preserve"> occupancy requirement</w:t>
      </w:r>
      <w:r w:rsidR="00BF3A9A">
        <w:rPr>
          <w:rFonts w:hint="eastAsia"/>
          <w:lang w:eastAsia="zh-CN"/>
        </w:rPr>
        <w:t xml:space="preserve">. To ease UL </w:t>
      </w:r>
      <w:r w:rsidR="00BF3A9A">
        <w:rPr>
          <w:lang w:eastAsia="zh-CN"/>
        </w:rPr>
        <w:t>scheduling</w:t>
      </w:r>
      <w:r w:rsidR="00BF3A9A">
        <w:rPr>
          <w:rFonts w:hint="eastAsia"/>
          <w:lang w:eastAsia="zh-CN"/>
        </w:rPr>
        <w:t xml:space="preserve"> effort at the </w:t>
      </w:r>
      <w:proofErr w:type="spellStart"/>
      <w:r w:rsidR="00BF3A9A">
        <w:rPr>
          <w:rFonts w:hint="eastAsia"/>
          <w:lang w:eastAsia="zh-CN"/>
        </w:rPr>
        <w:t>eNB</w:t>
      </w:r>
      <w:proofErr w:type="spellEnd"/>
      <w:r w:rsidR="00BF3A9A">
        <w:rPr>
          <w:rFonts w:hint="eastAsia"/>
          <w:lang w:eastAsia="zh-CN"/>
        </w:rPr>
        <w:t xml:space="preserve"> side for operation on unlicensed carrier, it is worthwhile to design a resource allocation method which takes the 80% </w:t>
      </w:r>
      <w:r w:rsidR="00BF3A9A">
        <w:rPr>
          <w:lang w:eastAsia="zh-CN"/>
        </w:rPr>
        <w:t>channel</w:t>
      </w:r>
      <w:r w:rsidR="00BF3A9A">
        <w:rPr>
          <w:rFonts w:hint="eastAsia"/>
          <w:lang w:eastAsia="zh-CN"/>
        </w:rPr>
        <w:t xml:space="preserve"> occupancy requirement into account at the first step.</w:t>
      </w:r>
    </w:p>
    <w:p w:rsidR="00E22B27" w:rsidRDefault="00994E1D" w:rsidP="009E03FF">
      <w:pPr>
        <w:rPr>
          <w:lang w:eastAsia="zh-CN"/>
        </w:rPr>
      </w:pPr>
      <w:r>
        <w:rPr>
          <w:rFonts w:hint="eastAsia"/>
          <w:lang w:eastAsia="zh-CN"/>
        </w:rPr>
        <w:lastRenderedPageBreak/>
        <w:t xml:space="preserve">For interleaving based resource allocation, a UE will be allocated RBs with a constant distance between adjacent RBs. An example is shown below for illustration. The distance between the adjacent RBs of a single UE also determines the multiplexing capacity of the system. The selection of the distance should take the 80% </w:t>
      </w:r>
      <w:r>
        <w:rPr>
          <w:lang w:eastAsia="zh-CN"/>
        </w:rPr>
        <w:t>channel</w:t>
      </w:r>
      <w:r>
        <w:rPr>
          <w:rFonts w:hint="eastAsia"/>
          <w:lang w:eastAsia="zh-CN"/>
        </w:rPr>
        <w:t xml:space="preserve"> </w:t>
      </w:r>
      <w:r>
        <w:rPr>
          <w:lang w:eastAsia="zh-CN"/>
        </w:rPr>
        <w:t>occupancy</w:t>
      </w:r>
      <w:r>
        <w:rPr>
          <w:rFonts w:hint="eastAsia"/>
          <w:lang w:eastAsia="zh-CN"/>
        </w:rPr>
        <w:t xml:space="preserve"> requirement into account. A UE can be indicated the distance and the offset relative to the system bandwidth boundary for uplink </w:t>
      </w:r>
      <w:r>
        <w:rPr>
          <w:lang w:eastAsia="zh-CN"/>
        </w:rPr>
        <w:t>resource</w:t>
      </w:r>
      <w:r>
        <w:rPr>
          <w:rFonts w:hint="eastAsia"/>
          <w:lang w:eastAsia="zh-CN"/>
        </w:rPr>
        <w:t xml:space="preserve"> allocation.</w:t>
      </w:r>
    </w:p>
    <w:p w:rsidR="00994E1D" w:rsidRDefault="00994E1D" w:rsidP="004C6DE5">
      <w:pPr>
        <w:jc w:val="center"/>
        <w:rPr>
          <w:lang w:eastAsia="zh-CN"/>
        </w:rPr>
      </w:pPr>
      <w:r>
        <w:rPr>
          <w:noProof/>
          <w:lang w:eastAsia="zh-CN"/>
        </w:rPr>
        <w:drawing>
          <wp:inline distT="0" distB="0" distL="0" distR="0" wp14:anchorId="68743D44" wp14:editId="4E5F557C">
            <wp:extent cx="2209800" cy="2209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9800" cy="2209800"/>
                    </a:xfrm>
                    <a:prstGeom prst="rect">
                      <a:avLst/>
                    </a:prstGeom>
                    <a:noFill/>
                    <a:ln>
                      <a:noFill/>
                    </a:ln>
                    <a:effectLst/>
                  </pic:spPr>
                </pic:pic>
              </a:graphicData>
            </a:graphic>
          </wp:inline>
        </w:drawing>
      </w:r>
    </w:p>
    <w:p w:rsidR="00C95D9B" w:rsidRDefault="00883E1A" w:rsidP="00C95D9B">
      <w:pPr>
        <w:jc w:val="left"/>
        <w:rPr>
          <w:lang w:eastAsia="zh-CN"/>
        </w:rPr>
      </w:pPr>
      <w:r>
        <w:rPr>
          <w:rFonts w:hint="eastAsia"/>
          <w:lang w:eastAsia="zh-CN"/>
        </w:rPr>
        <w:t xml:space="preserve">With this </w:t>
      </w:r>
      <w:r>
        <w:rPr>
          <w:lang w:eastAsia="zh-CN"/>
        </w:rPr>
        <w:t>resource</w:t>
      </w:r>
      <w:r>
        <w:rPr>
          <w:rFonts w:hint="eastAsia"/>
          <w:lang w:eastAsia="zh-CN"/>
        </w:rPr>
        <w:t xml:space="preserve"> allocation method, the </w:t>
      </w:r>
      <w:proofErr w:type="spellStart"/>
      <w:r>
        <w:rPr>
          <w:rFonts w:hint="eastAsia"/>
          <w:lang w:eastAsia="zh-CN"/>
        </w:rPr>
        <w:t>eNB</w:t>
      </w:r>
      <w:proofErr w:type="spellEnd"/>
      <w:r>
        <w:rPr>
          <w:rFonts w:hint="eastAsia"/>
          <w:lang w:eastAsia="zh-CN"/>
        </w:rPr>
        <w:t xml:space="preserve"> should choose the system periodicity based on the system bandwidth and the UE traffic requirement, and the UE should be indicated the chosen system periodicity and the offset index set to decide the RB indices for the UE.</w:t>
      </w:r>
    </w:p>
    <w:p w:rsidR="00883E1A" w:rsidRDefault="00883E1A" w:rsidP="00C95D9B">
      <w:pPr>
        <w:jc w:val="left"/>
        <w:rPr>
          <w:lang w:eastAsia="zh-CN"/>
        </w:rPr>
      </w:pPr>
      <w:r>
        <w:rPr>
          <w:rFonts w:hint="eastAsia"/>
          <w:lang w:eastAsia="zh-CN"/>
        </w:rPr>
        <w:t xml:space="preserve">If new </w:t>
      </w:r>
      <w:r>
        <w:rPr>
          <w:lang w:eastAsia="zh-CN"/>
        </w:rPr>
        <w:t>resource</w:t>
      </w:r>
      <w:r>
        <w:rPr>
          <w:rFonts w:hint="eastAsia"/>
          <w:lang w:eastAsia="zh-CN"/>
        </w:rPr>
        <w:t xml:space="preserve"> allocation method is adopted for operation on the unlicensed carrier, </w:t>
      </w:r>
      <w:r w:rsidR="004D0C53">
        <w:rPr>
          <w:rFonts w:hint="eastAsia"/>
          <w:lang w:eastAsia="zh-CN"/>
        </w:rPr>
        <w:t xml:space="preserve">the payload size may be different from that of DCI </w:t>
      </w:r>
      <w:r w:rsidR="004D0C53">
        <w:rPr>
          <w:lang w:eastAsia="zh-CN"/>
        </w:rPr>
        <w:t>format</w:t>
      </w:r>
      <w:r w:rsidR="004D0C53">
        <w:rPr>
          <w:rFonts w:hint="eastAsia"/>
          <w:lang w:eastAsia="zh-CN"/>
        </w:rPr>
        <w:t xml:space="preserve"> 0/4. As at least HARQ </w:t>
      </w:r>
      <w:r w:rsidR="004D0C53">
        <w:rPr>
          <w:lang w:eastAsia="zh-CN"/>
        </w:rPr>
        <w:t>process</w:t>
      </w:r>
      <w:r w:rsidR="004D0C53">
        <w:rPr>
          <w:rFonts w:hint="eastAsia"/>
          <w:lang w:eastAsia="zh-CN"/>
        </w:rPr>
        <w:t xml:space="preserve"> number and RV version are also necessary in the DCI format for asynchronous HARQ on unlicensed carrier, a new transmission mode supporting at least a new DCI </w:t>
      </w:r>
      <w:r w:rsidR="004D0C53">
        <w:rPr>
          <w:lang w:eastAsia="zh-CN"/>
        </w:rPr>
        <w:t>format</w:t>
      </w:r>
      <w:r w:rsidR="004D0C53">
        <w:rPr>
          <w:rFonts w:hint="eastAsia"/>
          <w:lang w:eastAsia="zh-CN"/>
        </w:rPr>
        <w:t xml:space="preserve"> carrying the information for new </w:t>
      </w:r>
      <w:r w:rsidR="004D0C53">
        <w:rPr>
          <w:lang w:eastAsia="zh-CN"/>
        </w:rPr>
        <w:t>resource</w:t>
      </w:r>
      <w:r w:rsidR="004D0C53">
        <w:rPr>
          <w:rFonts w:hint="eastAsia"/>
          <w:lang w:eastAsia="zh-CN"/>
        </w:rPr>
        <w:t xml:space="preserve"> allocation and asynchronous HARQ should be supported.</w:t>
      </w:r>
    </w:p>
    <w:p w:rsidR="009E03FF" w:rsidRDefault="009E03FF" w:rsidP="009E03FF">
      <w:pPr>
        <w:pStyle w:val="3"/>
        <w:rPr>
          <w:lang w:eastAsia="zh-CN"/>
        </w:rPr>
      </w:pPr>
      <w:r>
        <w:rPr>
          <w:rFonts w:hint="eastAsia"/>
          <w:lang w:eastAsia="zh-CN"/>
        </w:rPr>
        <w:t>Resource allocation at both the center part and the edge part</w:t>
      </w:r>
    </w:p>
    <w:p w:rsidR="009E03FF" w:rsidRDefault="001B08FF" w:rsidP="003E125D">
      <w:pPr>
        <w:rPr>
          <w:lang w:eastAsia="zh-CN"/>
        </w:rPr>
      </w:pPr>
      <w:r>
        <w:rPr>
          <w:rFonts w:hint="eastAsia"/>
          <w:lang w:eastAsia="zh-CN"/>
        </w:rPr>
        <w:t xml:space="preserve">Another method to satisfy </w:t>
      </w:r>
      <w:r>
        <w:rPr>
          <w:lang w:eastAsia="zh-CN"/>
        </w:rPr>
        <w:t>the</w:t>
      </w:r>
      <w:r>
        <w:rPr>
          <w:rFonts w:hint="eastAsia"/>
          <w:lang w:eastAsia="zh-CN"/>
        </w:rPr>
        <w:t xml:space="preserve"> 80% channel occupancy requirement is to allocate resources for a UE at both the center part and the edge part. </w:t>
      </w:r>
      <w:r w:rsidR="00F040F3">
        <w:rPr>
          <w:rFonts w:hint="eastAsia"/>
          <w:lang w:eastAsia="zh-CN"/>
        </w:rPr>
        <w:t xml:space="preserve">The edge part is located at the system bandwidth boundary, and the center part is the remaining RBs </w:t>
      </w:r>
      <w:r w:rsidR="00F040F3">
        <w:rPr>
          <w:lang w:eastAsia="zh-CN"/>
        </w:rPr>
        <w:t>except</w:t>
      </w:r>
      <w:r w:rsidR="00F040F3">
        <w:rPr>
          <w:rFonts w:hint="eastAsia"/>
          <w:lang w:eastAsia="zh-CN"/>
        </w:rPr>
        <w:t xml:space="preserve"> that of the edge parts. There are usually two edge parts at both the upper boundary and lower boundary. The RBs in each of the edge part is subject to the 80% channel occupancy requirement and the number of UEs to be multiplexed. An example is shown below for illustration. </w:t>
      </w:r>
      <w:r w:rsidR="003E125D">
        <w:rPr>
          <w:rFonts w:hint="eastAsia"/>
          <w:lang w:eastAsia="zh-CN"/>
        </w:rPr>
        <w:t>T</w:t>
      </w:r>
      <w:r>
        <w:rPr>
          <w:lang w:eastAsia="zh-CN"/>
        </w:rPr>
        <w:t>he</w:t>
      </w:r>
      <w:r>
        <w:rPr>
          <w:rFonts w:hint="eastAsia"/>
          <w:lang w:eastAsia="zh-CN"/>
        </w:rPr>
        <w:t xml:space="preserve"> center part </w:t>
      </w:r>
      <w:r>
        <w:rPr>
          <w:lang w:eastAsia="zh-CN"/>
        </w:rPr>
        <w:t>resource</w:t>
      </w:r>
      <w:r>
        <w:rPr>
          <w:rFonts w:hint="eastAsia"/>
          <w:lang w:eastAsia="zh-CN"/>
        </w:rPr>
        <w:t xml:space="preserve"> allocation can reuse legacy resource allocation</w:t>
      </w:r>
      <w:r w:rsidR="003E125D">
        <w:rPr>
          <w:rFonts w:hint="eastAsia"/>
          <w:lang w:eastAsia="zh-CN"/>
        </w:rPr>
        <w:t xml:space="preserve"> methods</w:t>
      </w:r>
      <w:r>
        <w:rPr>
          <w:rFonts w:hint="eastAsia"/>
          <w:lang w:eastAsia="zh-CN"/>
        </w:rPr>
        <w:t xml:space="preserve">. </w:t>
      </w:r>
      <w:r w:rsidR="003E125D">
        <w:rPr>
          <w:rFonts w:hint="eastAsia"/>
          <w:lang w:eastAsia="zh-CN"/>
        </w:rPr>
        <w:t>T</w:t>
      </w:r>
      <w:r>
        <w:rPr>
          <w:rFonts w:hint="eastAsia"/>
          <w:lang w:eastAsia="zh-CN"/>
        </w:rPr>
        <w:t xml:space="preserve">he edge part </w:t>
      </w:r>
      <w:r w:rsidR="003E125D">
        <w:rPr>
          <w:rFonts w:hint="eastAsia"/>
          <w:lang w:eastAsia="zh-CN"/>
        </w:rPr>
        <w:t xml:space="preserve">can also be used </w:t>
      </w:r>
      <w:r>
        <w:rPr>
          <w:rFonts w:hint="eastAsia"/>
          <w:lang w:eastAsia="zh-CN"/>
        </w:rPr>
        <w:t>only for channel occupancy</w:t>
      </w:r>
      <w:r w:rsidR="003E125D">
        <w:rPr>
          <w:rFonts w:hint="eastAsia"/>
          <w:lang w:eastAsia="zh-CN"/>
        </w:rPr>
        <w:t xml:space="preserve"> rather than </w:t>
      </w:r>
      <w:r w:rsidR="003E125D">
        <w:rPr>
          <w:lang w:eastAsia="zh-CN"/>
        </w:rPr>
        <w:t>frequency</w:t>
      </w:r>
      <w:r w:rsidR="003E125D">
        <w:rPr>
          <w:rFonts w:hint="eastAsia"/>
          <w:lang w:eastAsia="zh-CN"/>
        </w:rPr>
        <w:t xml:space="preserve"> domain multiplexing</w:t>
      </w:r>
      <w:r w:rsidR="00EA13BB">
        <w:rPr>
          <w:rFonts w:hint="eastAsia"/>
          <w:lang w:eastAsia="zh-CN"/>
        </w:rPr>
        <w:t xml:space="preserve"> for simplicity</w:t>
      </w:r>
      <w:r w:rsidR="003A1728">
        <w:rPr>
          <w:rFonts w:hint="eastAsia"/>
          <w:lang w:eastAsia="zh-CN"/>
        </w:rPr>
        <w:t>.</w:t>
      </w:r>
    </w:p>
    <w:p w:rsidR="00CC1E43" w:rsidRDefault="00CC1E43" w:rsidP="00AC1862">
      <w:pPr>
        <w:jc w:val="center"/>
        <w:rPr>
          <w:lang w:eastAsia="zh-CN"/>
        </w:rPr>
      </w:pPr>
      <w:r>
        <w:rPr>
          <w:noProof/>
          <w:lang w:eastAsia="zh-CN"/>
        </w:rPr>
        <w:drawing>
          <wp:inline distT="0" distB="0" distL="0" distR="0" wp14:anchorId="4E5BBFEC" wp14:editId="30DEA537">
            <wp:extent cx="2597150" cy="218884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97150" cy="2188845"/>
                    </a:xfrm>
                    <a:prstGeom prst="rect">
                      <a:avLst/>
                    </a:prstGeom>
                    <a:noFill/>
                    <a:ln>
                      <a:noFill/>
                    </a:ln>
                    <a:effectLst/>
                  </pic:spPr>
                </pic:pic>
              </a:graphicData>
            </a:graphic>
          </wp:inline>
        </w:drawing>
      </w:r>
    </w:p>
    <w:p w:rsidR="001B08FF" w:rsidRDefault="001B08FF" w:rsidP="00A81E8D">
      <w:pPr>
        <w:rPr>
          <w:lang w:eastAsia="zh-CN"/>
        </w:rPr>
      </w:pPr>
      <w:r>
        <w:rPr>
          <w:rFonts w:hint="eastAsia"/>
          <w:lang w:eastAsia="zh-CN"/>
        </w:rPr>
        <w:t xml:space="preserve">With this new resource allocation method at both the center part and </w:t>
      </w:r>
      <w:r>
        <w:rPr>
          <w:lang w:eastAsia="zh-CN"/>
        </w:rPr>
        <w:t>the</w:t>
      </w:r>
      <w:r>
        <w:rPr>
          <w:rFonts w:hint="eastAsia"/>
          <w:lang w:eastAsia="zh-CN"/>
        </w:rPr>
        <w:t xml:space="preserve"> edge part, a UE needs to be indicate</w:t>
      </w:r>
      <w:r w:rsidR="004500BF">
        <w:rPr>
          <w:rFonts w:hint="eastAsia"/>
          <w:lang w:eastAsia="zh-CN"/>
        </w:rPr>
        <w:t>d</w:t>
      </w:r>
      <w:r>
        <w:rPr>
          <w:rFonts w:hint="eastAsia"/>
          <w:lang w:eastAsia="zh-CN"/>
        </w:rPr>
        <w:t xml:space="preserve"> explicitly or implicitly the </w:t>
      </w:r>
      <w:r>
        <w:rPr>
          <w:lang w:eastAsia="zh-CN"/>
        </w:rPr>
        <w:t>resource</w:t>
      </w:r>
      <w:r>
        <w:rPr>
          <w:rFonts w:hint="eastAsia"/>
          <w:lang w:eastAsia="zh-CN"/>
        </w:rPr>
        <w:t xml:space="preserve"> allocation at both the </w:t>
      </w:r>
      <w:r>
        <w:rPr>
          <w:lang w:eastAsia="zh-CN"/>
        </w:rPr>
        <w:t>center</w:t>
      </w:r>
      <w:r>
        <w:rPr>
          <w:rFonts w:hint="eastAsia"/>
          <w:lang w:eastAsia="zh-CN"/>
        </w:rPr>
        <w:t xml:space="preserve"> part and the edge part. As a result, </w:t>
      </w:r>
      <w:r>
        <w:rPr>
          <w:rFonts w:hint="eastAsia"/>
          <w:lang w:eastAsia="zh-CN"/>
        </w:rPr>
        <w:lastRenderedPageBreak/>
        <w:t>the payload size for resource allocation may be different from that of DCI format 0/4, and new DCI format is necessary for operation on the unlicensed carrier, which is similar to Option 1.</w:t>
      </w:r>
    </w:p>
    <w:p w:rsidR="001A09EC" w:rsidRPr="001A09EC" w:rsidRDefault="001A09EC" w:rsidP="00A81E8D">
      <w:pPr>
        <w:rPr>
          <w:b/>
          <w:i/>
          <w:lang w:eastAsia="zh-CN"/>
        </w:rPr>
      </w:pPr>
      <w:r w:rsidRPr="001A09EC">
        <w:rPr>
          <w:rFonts w:hint="eastAsia"/>
          <w:b/>
          <w:i/>
          <w:lang w:eastAsia="zh-CN"/>
        </w:rPr>
        <w:t>Proposal</w:t>
      </w:r>
      <w:r>
        <w:rPr>
          <w:rFonts w:hint="eastAsia"/>
          <w:b/>
          <w:i/>
          <w:lang w:eastAsia="zh-CN"/>
        </w:rPr>
        <w:t xml:space="preserve"> </w:t>
      </w:r>
      <w:r w:rsidRPr="001A09EC">
        <w:rPr>
          <w:rFonts w:hint="eastAsia"/>
          <w:b/>
          <w:i/>
          <w:lang w:eastAsia="zh-CN"/>
        </w:rPr>
        <w:t xml:space="preserve">1: Introduce new </w:t>
      </w:r>
      <w:r w:rsidRPr="001A09EC">
        <w:rPr>
          <w:b/>
          <w:i/>
          <w:lang w:eastAsia="zh-CN"/>
        </w:rPr>
        <w:t>resource</w:t>
      </w:r>
      <w:r w:rsidRPr="001A09EC">
        <w:rPr>
          <w:rFonts w:hint="eastAsia"/>
          <w:b/>
          <w:i/>
          <w:lang w:eastAsia="zh-CN"/>
        </w:rPr>
        <w:t xml:space="preserve"> allocation method.</w:t>
      </w:r>
    </w:p>
    <w:p w:rsidR="001A09EC" w:rsidRPr="001A09EC" w:rsidRDefault="002622CA" w:rsidP="00A81E8D">
      <w:pPr>
        <w:rPr>
          <w:b/>
          <w:i/>
          <w:lang w:eastAsia="zh-CN"/>
        </w:rPr>
      </w:pPr>
      <w:r>
        <w:rPr>
          <w:rFonts w:hint="eastAsia"/>
          <w:b/>
          <w:i/>
          <w:lang w:eastAsia="zh-CN"/>
        </w:rPr>
        <w:t>Proposal 2:</w:t>
      </w:r>
      <w:r w:rsidR="00E93CD3">
        <w:rPr>
          <w:rFonts w:hint="eastAsia"/>
          <w:b/>
          <w:i/>
          <w:lang w:eastAsia="zh-CN"/>
        </w:rPr>
        <w:t xml:space="preserve"> </w:t>
      </w:r>
      <w:r w:rsidR="001A09EC" w:rsidRPr="001A09EC">
        <w:rPr>
          <w:rFonts w:hint="eastAsia"/>
          <w:b/>
          <w:i/>
          <w:lang w:eastAsia="zh-CN"/>
        </w:rPr>
        <w:t xml:space="preserve">New </w:t>
      </w:r>
      <w:r w:rsidR="001A09EC" w:rsidRPr="001A09EC">
        <w:rPr>
          <w:b/>
          <w:i/>
          <w:lang w:eastAsia="zh-CN"/>
        </w:rPr>
        <w:t>resource</w:t>
      </w:r>
      <w:r w:rsidR="001A09EC" w:rsidRPr="001A09EC">
        <w:rPr>
          <w:rFonts w:hint="eastAsia"/>
          <w:b/>
          <w:i/>
          <w:lang w:eastAsia="zh-CN"/>
        </w:rPr>
        <w:t xml:space="preserve"> allocation method can consider interleaving based method and resource allocation at both </w:t>
      </w:r>
      <w:r w:rsidR="001A09EC" w:rsidRPr="001A09EC">
        <w:rPr>
          <w:b/>
          <w:i/>
          <w:lang w:eastAsia="zh-CN"/>
        </w:rPr>
        <w:t>center</w:t>
      </w:r>
      <w:r w:rsidR="001A09EC" w:rsidRPr="001A09EC">
        <w:rPr>
          <w:rFonts w:hint="eastAsia"/>
          <w:b/>
          <w:i/>
          <w:lang w:eastAsia="zh-CN"/>
        </w:rPr>
        <w:t xml:space="preserve"> part and edge part.</w:t>
      </w:r>
    </w:p>
    <w:p w:rsidR="001A09EC" w:rsidRPr="001A09EC" w:rsidRDefault="001A09EC" w:rsidP="00A81E8D">
      <w:pPr>
        <w:rPr>
          <w:b/>
          <w:i/>
          <w:lang w:eastAsia="zh-CN"/>
        </w:rPr>
      </w:pPr>
      <w:r w:rsidRPr="001A09EC">
        <w:rPr>
          <w:rFonts w:hint="eastAsia"/>
          <w:b/>
          <w:i/>
          <w:lang w:eastAsia="zh-CN"/>
        </w:rPr>
        <w:t>Proposal 3: Introduce new DCI format.</w:t>
      </w:r>
    </w:p>
    <w:p w:rsidR="008A09A0" w:rsidRDefault="008A6394" w:rsidP="00DA264B">
      <w:pPr>
        <w:pStyle w:val="1"/>
        <w:rPr>
          <w:lang w:eastAsia="zh-CN"/>
        </w:rPr>
      </w:pPr>
      <w:r>
        <w:rPr>
          <w:rFonts w:hint="eastAsia"/>
          <w:lang w:eastAsia="zh-CN"/>
        </w:rPr>
        <w:t>Conclusion</w:t>
      </w:r>
    </w:p>
    <w:p w:rsidR="00E93CD3" w:rsidRDefault="00E93CD3" w:rsidP="00DA264B">
      <w:pPr>
        <w:rPr>
          <w:lang w:eastAsia="zh-CN"/>
        </w:rPr>
      </w:pPr>
      <w:r>
        <w:rPr>
          <w:rFonts w:hint="eastAsia"/>
          <w:lang w:eastAsia="zh-CN"/>
        </w:rPr>
        <w:t xml:space="preserve">In this contribution, we </w:t>
      </w:r>
      <w:r>
        <w:rPr>
          <w:lang w:eastAsia="zh-CN"/>
        </w:rPr>
        <w:t>discussed</w:t>
      </w:r>
      <w:r>
        <w:rPr>
          <w:rFonts w:hint="eastAsia"/>
          <w:lang w:eastAsia="zh-CN"/>
        </w:rPr>
        <w:t xml:space="preserve"> </w:t>
      </w:r>
      <w:r>
        <w:rPr>
          <w:lang w:eastAsia="zh-CN"/>
        </w:rPr>
        <w:t>the</w:t>
      </w:r>
      <w:r>
        <w:rPr>
          <w:rFonts w:hint="eastAsia"/>
          <w:lang w:eastAsia="zh-CN"/>
        </w:rPr>
        <w:t xml:space="preserve"> </w:t>
      </w:r>
      <w:r>
        <w:rPr>
          <w:lang w:eastAsia="zh-CN"/>
        </w:rPr>
        <w:t>resource</w:t>
      </w:r>
      <w:r>
        <w:rPr>
          <w:rFonts w:hint="eastAsia"/>
          <w:lang w:eastAsia="zh-CN"/>
        </w:rPr>
        <w:t xml:space="preserve"> allocation method to satisfy the EU 80% channel occupancy requirement, and our proposals are as following:</w:t>
      </w:r>
    </w:p>
    <w:p w:rsidR="00E93CD3" w:rsidRPr="001A09EC" w:rsidRDefault="00E93CD3" w:rsidP="00E93CD3">
      <w:pPr>
        <w:rPr>
          <w:b/>
          <w:i/>
          <w:lang w:eastAsia="zh-CN"/>
        </w:rPr>
      </w:pPr>
      <w:r w:rsidRPr="001A09EC">
        <w:rPr>
          <w:rFonts w:hint="eastAsia"/>
          <w:b/>
          <w:i/>
          <w:lang w:eastAsia="zh-CN"/>
        </w:rPr>
        <w:t>Proposal</w:t>
      </w:r>
      <w:r>
        <w:rPr>
          <w:rFonts w:hint="eastAsia"/>
          <w:b/>
          <w:i/>
          <w:lang w:eastAsia="zh-CN"/>
        </w:rPr>
        <w:t xml:space="preserve"> </w:t>
      </w:r>
      <w:r w:rsidRPr="001A09EC">
        <w:rPr>
          <w:rFonts w:hint="eastAsia"/>
          <w:b/>
          <w:i/>
          <w:lang w:eastAsia="zh-CN"/>
        </w:rPr>
        <w:t xml:space="preserve">1: Introduce new </w:t>
      </w:r>
      <w:r w:rsidRPr="001A09EC">
        <w:rPr>
          <w:b/>
          <w:i/>
          <w:lang w:eastAsia="zh-CN"/>
        </w:rPr>
        <w:t>resource</w:t>
      </w:r>
      <w:r w:rsidRPr="001A09EC">
        <w:rPr>
          <w:rFonts w:hint="eastAsia"/>
          <w:b/>
          <w:i/>
          <w:lang w:eastAsia="zh-CN"/>
        </w:rPr>
        <w:t xml:space="preserve"> allocation method.</w:t>
      </w:r>
    </w:p>
    <w:p w:rsidR="00E93CD3" w:rsidRPr="001A09EC" w:rsidRDefault="00E93CD3" w:rsidP="00E93CD3">
      <w:pPr>
        <w:rPr>
          <w:b/>
          <w:i/>
          <w:lang w:eastAsia="zh-CN"/>
        </w:rPr>
      </w:pPr>
      <w:r>
        <w:rPr>
          <w:rFonts w:hint="eastAsia"/>
          <w:b/>
          <w:i/>
          <w:lang w:eastAsia="zh-CN"/>
        </w:rPr>
        <w:t xml:space="preserve">Proposal 2: </w:t>
      </w:r>
      <w:r w:rsidRPr="001A09EC">
        <w:rPr>
          <w:rFonts w:hint="eastAsia"/>
          <w:b/>
          <w:i/>
          <w:lang w:eastAsia="zh-CN"/>
        </w:rPr>
        <w:t xml:space="preserve">New </w:t>
      </w:r>
      <w:r w:rsidRPr="001A09EC">
        <w:rPr>
          <w:b/>
          <w:i/>
          <w:lang w:eastAsia="zh-CN"/>
        </w:rPr>
        <w:t>resource</w:t>
      </w:r>
      <w:r w:rsidRPr="001A09EC">
        <w:rPr>
          <w:rFonts w:hint="eastAsia"/>
          <w:b/>
          <w:i/>
          <w:lang w:eastAsia="zh-CN"/>
        </w:rPr>
        <w:t xml:space="preserve"> allocation method can consider interleaving based method and resource allocation at both </w:t>
      </w:r>
      <w:r w:rsidRPr="001A09EC">
        <w:rPr>
          <w:b/>
          <w:i/>
          <w:lang w:eastAsia="zh-CN"/>
        </w:rPr>
        <w:t>center</w:t>
      </w:r>
      <w:r w:rsidRPr="001A09EC">
        <w:rPr>
          <w:rFonts w:hint="eastAsia"/>
          <w:b/>
          <w:i/>
          <w:lang w:eastAsia="zh-CN"/>
        </w:rPr>
        <w:t xml:space="preserve"> part and edge part.</w:t>
      </w:r>
    </w:p>
    <w:p w:rsidR="00E93CD3" w:rsidRPr="001A09EC" w:rsidRDefault="00E93CD3" w:rsidP="00E93CD3">
      <w:pPr>
        <w:rPr>
          <w:b/>
          <w:i/>
          <w:lang w:eastAsia="zh-CN"/>
        </w:rPr>
      </w:pPr>
      <w:r w:rsidRPr="001A09EC">
        <w:rPr>
          <w:rFonts w:hint="eastAsia"/>
          <w:b/>
          <w:i/>
          <w:lang w:eastAsia="zh-CN"/>
        </w:rPr>
        <w:t>Proposal 3: Introduce new DCI format.</w:t>
      </w:r>
    </w:p>
    <w:p w:rsidR="00C35C97" w:rsidRPr="003A2561" w:rsidRDefault="00C35C97" w:rsidP="000C3277">
      <w:pPr>
        <w:pStyle w:val="1"/>
        <w:numPr>
          <w:ilvl w:val="0"/>
          <w:numId w:val="0"/>
        </w:numPr>
        <w:rPr>
          <w:lang w:eastAsia="zh-CN"/>
        </w:rPr>
      </w:pPr>
      <w:r w:rsidRPr="003A2561">
        <w:t>References</w:t>
      </w:r>
    </w:p>
    <w:p w:rsidR="00177E26" w:rsidRDefault="00FB14D1" w:rsidP="00177E26">
      <w:pPr>
        <w:pStyle w:val="References"/>
        <w:rPr>
          <w:lang w:eastAsia="zh-CN"/>
        </w:rPr>
      </w:pPr>
      <w:bookmarkStart w:id="5" w:name="_Ref418776036"/>
      <w:bookmarkStart w:id="6" w:name="_Ref415649649"/>
      <w:bookmarkStart w:id="7" w:name="_Ref408844767"/>
      <w:bookmarkStart w:id="8" w:name="_Ref402447549"/>
      <w:r>
        <w:rPr>
          <w:rFonts w:hint="eastAsia"/>
          <w:lang w:eastAsia="zh-CN"/>
        </w:rPr>
        <w:t>RAN1#80</w:t>
      </w:r>
      <w:r w:rsidR="00A7747D">
        <w:rPr>
          <w:rFonts w:hint="eastAsia"/>
          <w:lang w:eastAsia="zh-CN"/>
        </w:rPr>
        <w:t xml:space="preserve">bis </w:t>
      </w:r>
      <w:r w:rsidR="00177E26">
        <w:rPr>
          <w:rFonts w:hint="eastAsia"/>
          <w:lang w:eastAsia="zh-CN"/>
        </w:rPr>
        <w:t>Chairman notes</w:t>
      </w:r>
      <w:bookmarkEnd w:id="5"/>
    </w:p>
    <w:p w:rsidR="002A5065" w:rsidRPr="002A5065" w:rsidRDefault="001A58B2" w:rsidP="00143E10">
      <w:pPr>
        <w:pStyle w:val="References"/>
        <w:rPr>
          <w:lang w:eastAsia="zh-CN"/>
        </w:rPr>
      </w:pPr>
      <w:bookmarkStart w:id="9" w:name="_Ref441476106"/>
      <w:r>
        <w:rPr>
          <w:rFonts w:hint="eastAsia"/>
          <w:lang w:eastAsia="zh-CN"/>
        </w:rPr>
        <w:t>ETSI EN</w:t>
      </w:r>
      <w:r w:rsidR="00143E10">
        <w:rPr>
          <w:rFonts w:hint="eastAsia"/>
          <w:lang w:eastAsia="zh-CN"/>
        </w:rPr>
        <w:t xml:space="preserve"> 301</w:t>
      </w:r>
      <w:r>
        <w:rPr>
          <w:rFonts w:hint="eastAsia"/>
          <w:lang w:eastAsia="zh-CN"/>
        </w:rPr>
        <w:t xml:space="preserve"> </w:t>
      </w:r>
      <w:r w:rsidR="00143E10">
        <w:rPr>
          <w:rFonts w:hint="eastAsia"/>
          <w:lang w:eastAsia="zh-CN"/>
        </w:rPr>
        <w:t>893</w:t>
      </w:r>
      <w:bookmarkEnd w:id="6"/>
      <w:bookmarkEnd w:id="7"/>
      <w:bookmarkEnd w:id="8"/>
      <w:bookmarkEnd w:id="9"/>
      <w:r>
        <w:rPr>
          <w:rFonts w:hint="eastAsia"/>
          <w:lang w:eastAsia="zh-CN"/>
        </w:rPr>
        <w:t xml:space="preserve"> v1.8.0, </w:t>
      </w:r>
      <w:r>
        <w:rPr>
          <w:lang w:eastAsia="zh-CN"/>
        </w:rPr>
        <w:t>“</w:t>
      </w:r>
      <w:r>
        <w:rPr>
          <w:rFonts w:hint="eastAsia"/>
          <w:lang w:eastAsia="zh-CN"/>
        </w:rPr>
        <w:t>Broadband  Radio Access Networks; 5G high performance RLAN; Harmonized EN covering the essential requirements of article 3.2 of the R&amp;TTE Directive</w:t>
      </w:r>
      <w:r>
        <w:rPr>
          <w:lang w:eastAsia="zh-CN"/>
        </w:rPr>
        <w:t>”</w:t>
      </w:r>
      <w:r>
        <w:rPr>
          <w:rFonts w:hint="eastAsia"/>
          <w:lang w:eastAsia="zh-CN"/>
        </w:rPr>
        <w:t>, 2015-01</w:t>
      </w:r>
    </w:p>
    <w:sectPr w:rsidR="002A5065" w:rsidRPr="002A506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F91" w:rsidRDefault="00235F91">
      <w:r>
        <w:separator/>
      </w:r>
    </w:p>
  </w:endnote>
  <w:endnote w:type="continuationSeparator" w:id="0">
    <w:p w:rsidR="00235F91" w:rsidRDefault="00235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F91" w:rsidRDefault="00235F91">
      <w:r>
        <w:separator/>
      </w:r>
    </w:p>
  </w:footnote>
  <w:footnote w:type="continuationSeparator" w:id="0">
    <w:p w:rsidR="00235F91" w:rsidRDefault="00235F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018210CA"/>
    <w:multiLevelType w:val="hybridMultilevel"/>
    <w:tmpl w:val="B7A24F82"/>
    <w:lvl w:ilvl="0" w:tplc="C6D6B0F6">
      <w:start w:val="1"/>
      <w:numFmt w:val="bullet"/>
      <w:lvlText w:val="•"/>
      <w:lvlJc w:val="left"/>
      <w:pPr>
        <w:tabs>
          <w:tab w:val="num" w:pos="720"/>
        </w:tabs>
        <w:ind w:left="720" w:hanging="360"/>
      </w:pPr>
      <w:rPr>
        <w:rFonts w:ascii="Arial" w:hAnsi="Arial" w:hint="default"/>
      </w:rPr>
    </w:lvl>
    <w:lvl w:ilvl="1" w:tplc="77F0D444">
      <w:start w:val="1140"/>
      <w:numFmt w:val="bullet"/>
      <w:lvlText w:val="–"/>
      <w:lvlJc w:val="left"/>
      <w:pPr>
        <w:tabs>
          <w:tab w:val="num" w:pos="1440"/>
        </w:tabs>
        <w:ind w:left="1440" w:hanging="360"/>
      </w:pPr>
      <w:rPr>
        <w:rFonts w:ascii="Arial" w:hAnsi="Arial" w:hint="default"/>
      </w:rPr>
    </w:lvl>
    <w:lvl w:ilvl="2" w:tplc="E160A988" w:tentative="1">
      <w:start w:val="1"/>
      <w:numFmt w:val="bullet"/>
      <w:lvlText w:val="•"/>
      <w:lvlJc w:val="left"/>
      <w:pPr>
        <w:tabs>
          <w:tab w:val="num" w:pos="2160"/>
        </w:tabs>
        <w:ind w:left="2160" w:hanging="360"/>
      </w:pPr>
      <w:rPr>
        <w:rFonts w:ascii="Arial" w:hAnsi="Arial" w:hint="default"/>
      </w:rPr>
    </w:lvl>
    <w:lvl w:ilvl="3" w:tplc="7396DA7C" w:tentative="1">
      <w:start w:val="1"/>
      <w:numFmt w:val="bullet"/>
      <w:lvlText w:val="•"/>
      <w:lvlJc w:val="left"/>
      <w:pPr>
        <w:tabs>
          <w:tab w:val="num" w:pos="2880"/>
        </w:tabs>
        <w:ind w:left="2880" w:hanging="360"/>
      </w:pPr>
      <w:rPr>
        <w:rFonts w:ascii="Arial" w:hAnsi="Arial" w:hint="default"/>
      </w:rPr>
    </w:lvl>
    <w:lvl w:ilvl="4" w:tplc="84C0192E" w:tentative="1">
      <w:start w:val="1"/>
      <w:numFmt w:val="bullet"/>
      <w:lvlText w:val="•"/>
      <w:lvlJc w:val="left"/>
      <w:pPr>
        <w:tabs>
          <w:tab w:val="num" w:pos="3600"/>
        </w:tabs>
        <w:ind w:left="3600" w:hanging="360"/>
      </w:pPr>
      <w:rPr>
        <w:rFonts w:ascii="Arial" w:hAnsi="Arial" w:hint="default"/>
      </w:rPr>
    </w:lvl>
    <w:lvl w:ilvl="5" w:tplc="4956D9AC" w:tentative="1">
      <w:start w:val="1"/>
      <w:numFmt w:val="bullet"/>
      <w:lvlText w:val="•"/>
      <w:lvlJc w:val="left"/>
      <w:pPr>
        <w:tabs>
          <w:tab w:val="num" w:pos="4320"/>
        </w:tabs>
        <w:ind w:left="4320" w:hanging="360"/>
      </w:pPr>
      <w:rPr>
        <w:rFonts w:ascii="Arial" w:hAnsi="Arial" w:hint="default"/>
      </w:rPr>
    </w:lvl>
    <w:lvl w:ilvl="6" w:tplc="3758B6A0" w:tentative="1">
      <w:start w:val="1"/>
      <w:numFmt w:val="bullet"/>
      <w:lvlText w:val="•"/>
      <w:lvlJc w:val="left"/>
      <w:pPr>
        <w:tabs>
          <w:tab w:val="num" w:pos="5040"/>
        </w:tabs>
        <w:ind w:left="5040" w:hanging="360"/>
      </w:pPr>
      <w:rPr>
        <w:rFonts w:ascii="Arial" w:hAnsi="Arial" w:hint="default"/>
      </w:rPr>
    </w:lvl>
    <w:lvl w:ilvl="7" w:tplc="AC245A56" w:tentative="1">
      <w:start w:val="1"/>
      <w:numFmt w:val="bullet"/>
      <w:lvlText w:val="•"/>
      <w:lvlJc w:val="left"/>
      <w:pPr>
        <w:tabs>
          <w:tab w:val="num" w:pos="5760"/>
        </w:tabs>
        <w:ind w:left="5760" w:hanging="360"/>
      </w:pPr>
      <w:rPr>
        <w:rFonts w:ascii="Arial" w:hAnsi="Arial" w:hint="default"/>
      </w:rPr>
    </w:lvl>
    <w:lvl w:ilvl="8" w:tplc="2E1C3054" w:tentative="1">
      <w:start w:val="1"/>
      <w:numFmt w:val="bullet"/>
      <w:lvlText w:val="•"/>
      <w:lvlJc w:val="left"/>
      <w:pPr>
        <w:tabs>
          <w:tab w:val="num" w:pos="6480"/>
        </w:tabs>
        <w:ind w:left="6480" w:hanging="360"/>
      </w:pPr>
      <w:rPr>
        <w:rFonts w:ascii="Arial" w:hAnsi="Arial" w:hint="default"/>
      </w:rPr>
    </w:lvl>
  </w:abstractNum>
  <w:abstractNum w:abstractNumId="2">
    <w:nsid w:val="0CFF5435"/>
    <w:multiLevelType w:val="hybridMultilevel"/>
    <w:tmpl w:val="60C62246"/>
    <w:lvl w:ilvl="0" w:tplc="61C8BCC8">
      <w:start w:val="1"/>
      <w:numFmt w:val="bullet"/>
      <w:lvlText w:val="•"/>
      <w:lvlJc w:val="left"/>
      <w:pPr>
        <w:tabs>
          <w:tab w:val="num" w:pos="720"/>
        </w:tabs>
        <w:ind w:left="720" w:hanging="360"/>
      </w:pPr>
      <w:rPr>
        <w:rFonts w:ascii="Arial" w:hAnsi="Arial" w:hint="default"/>
      </w:rPr>
    </w:lvl>
    <w:lvl w:ilvl="1" w:tplc="F9D85C8A">
      <w:start w:val="1363"/>
      <w:numFmt w:val="bullet"/>
      <w:lvlText w:val="–"/>
      <w:lvlJc w:val="left"/>
      <w:pPr>
        <w:tabs>
          <w:tab w:val="num" w:pos="1440"/>
        </w:tabs>
        <w:ind w:left="1440" w:hanging="360"/>
      </w:pPr>
      <w:rPr>
        <w:rFonts w:ascii="Arial" w:hAnsi="Arial" w:hint="default"/>
      </w:rPr>
    </w:lvl>
    <w:lvl w:ilvl="2" w:tplc="88489AA4" w:tentative="1">
      <w:start w:val="1"/>
      <w:numFmt w:val="bullet"/>
      <w:lvlText w:val="•"/>
      <w:lvlJc w:val="left"/>
      <w:pPr>
        <w:tabs>
          <w:tab w:val="num" w:pos="2160"/>
        </w:tabs>
        <w:ind w:left="2160" w:hanging="360"/>
      </w:pPr>
      <w:rPr>
        <w:rFonts w:ascii="Arial" w:hAnsi="Arial" w:hint="default"/>
      </w:rPr>
    </w:lvl>
    <w:lvl w:ilvl="3" w:tplc="F08842A4" w:tentative="1">
      <w:start w:val="1"/>
      <w:numFmt w:val="bullet"/>
      <w:lvlText w:val="•"/>
      <w:lvlJc w:val="left"/>
      <w:pPr>
        <w:tabs>
          <w:tab w:val="num" w:pos="2880"/>
        </w:tabs>
        <w:ind w:left="2880" w:hanging="360"/>
      </w:pPr>
      <w:rPr>
        <w:rFonts w:ascii="Arial" w:hAnsi="Arial" w:hint="default"/>
      </w:rPr>
    </w:lvl>
    <w:lvl w:ilvl="4" w:tplc="FC0632FE" w:tentative="1">
      <w:start w:val="1"/>
      <w:numFmt w:val="bullet"/>
      <w:lvlText w:val="•"/>
      <w:lvlJc w:val="left"/>
      <w:pPr>
        <w:tabs>
          <w:tab w:val="num" w:pos="3600"/>
        </w:tabs>
        <w:ind w:left="3600" w:hanging="360"/>
      </w:pPr>
      <w:rPr>
        <w:rFonts w:ascii="Arial" w:hAnsi="Arial" w:hint="default"/>
      </w:rPr>
    </w:lvl>
    <w:lvl w:ilvl="5" w:tplc="9F7E31A4" w:tentative="1">
      <w:start w:val="1"/>
      <w:numFmt w:val="bullet"/>
      <w:lvlText w:val="•"/>
      <w:lvlJc w:val="left"/>
      <w:pPr>
        <w:tabs>
          <w:tab w:val="num" w:pos="4320"/>
        </w:tabs>
        <w:ind w:left="4320" w:hanging="360"/>
      </w:pPr>
      <w:rPr>
        <w:rFonts w:ascii="Arial" w:hAnsi="Arial" w:hint="default"/>
      </w:rPr>
    </w:lvl>
    <w:lvl w:ilvl="6" w:tplc="DE447DD6" w:tentative="1">
      <w:start w:val="1"/>
      <w:numFmt w:val="bullet"/>
      <w:lvlText w:val="•"/>
      <w:lvlJc w:val="left"/>
      <w:pPr>
        <w:tabs>
          <w:tab w:val="num" w:pos="5040"/>
        </w:tabs>
        <w:ind w:left="5040" w:hanging="360"/>
      </w:pPr>
      <w:rPr>
        <w:rFonts w:ascii="Arial" w:hAnsi="Arial" w:hint="default"/>
      </w:rPr>
    </w:lvl>
    <w:lvl w:ilvl="7" w:tplc="12A82D5C" w:tentative="1">
      <w:start w:val="1"/>
      <w:numFmt w:val="bullet"/>
      <w:lvlText w:val="•"/>
      <w:lvlJc w:val="left"/>
      <w:pPr>
        <w:tabs>
          <w:tab w:val="num" w:pos="5760"/>
        </w:tabs>
        <w:ind w:left="5760" w:hanging="360"/>
      </w:pPr>
      <w:rPr>
        <w:rFonts w:ascii="Arial" w:hAnsi="Arial" w:hint="default"/>
      </w:rPr>
    </w:lvl>
    <w:lvl w:ilvl="8" w:tplc="A1E8E50A" w:tentative="1">
      <w:start w:val="1"/>
      <w:numFmt w:val="bullet"/>
      <w:lvlText w:val="•"/>
      <w:lvlJc w:val="left"/>
      <w:pPr>
        <w:tabs>
          <w:tab w:val="num" w:pos="6480"/>
        </w:tabs>
        <w:ind w:left="6480" w:hanging="360"/>
      </w:pPr>
      <w:rPr>
        <w:rFonts w:ascii="Arial" w:hAnsi="Arial" w:hint="default"/>
      </w:rPr>
    </w:lvl>
  </w:abstractNum>
  <w:abstractNum w:abstractNumId="3">
    <w:nsid w:val="11355B57"/>
    <w:multiLevelType w:val="hybridMultilevel"/>
    <w:tmpl w:val="B0264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896834"/>
    <w:multiLevelType w:val="multilevel"/>
    <w:tmpl w:val="D8109C94"/>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nsid w:val="17D20F54"/>
    <w:multiLevelType w:val="hybridMultilevel"/>
    <w:tmpl w:val="639276AC"/>
    <w:lvl w:ilvl="0" w:tplc="26C80C98">
      <w:start w:val="1"/>
      <w:numFmt w:val="bullet"/>
      <w:lvlText w:val="•"/>
      <w:lvlJc w:val="left"/>
      <w:pPr>
        <w:tabs>
          <w:tab w:val="num" w:pos="720"/>
        </w:tabs>
        <w:ind w:left="720" w:hanging="360"/>
      </w:pPr>
      <w:rPr>
        <w:rFonts w:ascii="Arial" w:hAnsi="Arial" w:hint="default"/>
      </w:rPr>
    </w:lvl>
    <w:lvl w:ilvl="1" w:tplc="9C62FC14">
      <w:start w:val="1"/>
      <w:numFmt w:val="bullet"/>
      <w:lvlText w:val="•"/>
      <w:lvlJc w:val="left"/>
      <w:pPr>
        <w:tabs>
          <w:tab w:val="num" w:pos="1440"/>
        </w:tabs>
        <w:ind w:left="1440" w:hanging="360"/>
      </w:pPr>
      <w:rPr>
        <w:rFonts w:ascii="Arial" w:hAnsi="Arial" w:hint="default"/>
      </w:rPr>
    </w:lvl>
    <w:lvl w:ilvl="2" w:tplc="234214DC">
      <w:start w:val="413"/>
      <w:numFmt w:val="bullet"/>
      <w:lvlText w:val="•"/>
      <w:lvlJc w:val="left"/>
      <w:pPr>
        <w:tabs>
          <w:tab w:val="num" w:pos="2160"/>
        </w:tabs>
        <w:ind w:left="2160" w:hanging="360"/>
      </w:pPr>
      <w:rPr>
        <w:rFonts w:ascii="Arial" w:hAnsi="Arial" w:hint="default"/>
      </w:rPr>
    </w:lvl>
    <w:lvl w:ilvl="3" w:tplc="7B002C1A" w:tentative="1">
      <w:start w:val="1"/>
      <w:numFmt w:val="bullet"/>
      <w:lvlText w:val="•"/>
      <w:lvlJc w:val="left"/>
      <w:pPr>
        <w:tabs>
          <w:tab w:val="num" w:pos="2880"/>
        </w:tabs>
        <w:ind w:left="2880" w:hanging="360"/>
      </w:pPr>
      <w:rPr>
        <w:rFonts w:ascii="Arial" w:hAnsi="Arial" w:hint="default"/>
      </w:rPr>
    </w:lvl>
    <w:lvl w:ilvl="4" w:tplc="4EF0AB48" w:tentative="1">
      <w:start w:val="1"/>
      <w:numFmt w:val="bullet"/>
      <w:lvlText w:val="•"/>
      <w:lvlJc w:val="left"/>
      <w:pPr>
        <w:tabs>
          <w:tab w:val="num" w:pos="3600"/>
        </w:tabs>
        <w:ind w:left="3600" w:hanging="360"/>
      </w:pPr>
      <w:rPr>
        <w:rFonts w:ascii="Arial" w:hAnsi="Arial" w:hint="default"/>
      </w:rPr>
    </w:lvl>
    <w:lvl w:ilvl="5" w:tplc="6E60EC06" w:tentative="1">
      <w:start w:val="1"/>
      <w:numFmt w:val="bullet"/>
      <w:lvlText w:val="•"/>
      <w:lvlJc w:val="left"/>
      <w:pPr>
        <w:tabs>
          <w:tab w:val="num" w:pos="4320"/>
        </w:tabs>
        <w:ind w:left="4320" w:hanging="360"/>
      </w:pPr>
      <w:rPr>
        <w:rFonts w:ascii="Arial" w:hAnsi="Arial" w:hint="default"/>
      </w:rPr>
    </w:lvl>
    <w:lvl w:ilvl="6" w:tplc="5DC6D1D0" w:tentative="1">
      <w:start w:val="1"/>
      <w:numFmt w:val="bullet"/>
      <w:lvlText w:val="•"/>
      <w:lvlJc w:val="left"/>
      <w:pPr>
        <w:tabs>
          <w:tab w:val="num" w:pos="5040"/>
        </w:tabs>
        <w:ind w:left="5040" w:hanging="360"/>
      </w:pPr>
      <w:rPr>
        <w:rFonts w:ascii="Arial" w:hAnsi="Arial" w:hint="default"/>
      </w:rPr>
    </w:lvl>
    <w:lvl w:ilvl="7" w:tplc="D77AE1DE" w:tentative="1">
      <w:start w:val="1"/>
      <w:numFmt w:val="bullet"/>
      <w:lvlText w:val="•"/>
      <w:lvlJc w:val="left"/>
      <w:pPr>
        <w:tabs>
          <w:tab w:val="num" w:pos="5760"/>
        </w:tabs>
        <w:ind w:left="5760" w:hanging="360"/>
      </w:pPr>
      <w:rPr>
        <w:rFonts w:ascii="Arial" w:hAnsi="Arial" w:hint="default"/>
      </w:rPr>
    </w:lvl>
    <w:lvl w:ilvl="8" w:tplc="95F69B34" w:tentative="1">
      <w:start w:val="1"/>
      <w:numFmt w:val="bullet"/>
      <w:lvlText w:val="•"/>
      <w:lvlJc w:val="left"/>
      <w:pPr>
        <w:tabs>
          <w:tab w:val="num" w:pos="6480"/>
        </w:tabs>
        <w:ind w:left="6480" w:hanging="360"/>
      </w:pPr>
      <w:rPr>
        <w:rFonts w:ascii="Arial" w:hAnsi="Arial" w:hint="default"/>
      </w:rPr>
    </w:lvl>
  </w:abstractNum>
  <w:abstractNum w:abstractNumId="6">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7">
    <w:nsid w:val="1D54518D"/>
    <w:multiLevelType w:val="hybridMultilevel"/>
    <w:tmpl w:val="57A26796"/>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9CF2424"/>
    <w:multiLevelType w:val="hybridMultilevel"/>
    <w:tmpl w:val="3F8067B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nsid w:val="2EE0048D"/>
    <w:multiLevelType w:val="hybridMultilevel"/>
    <w:tmpl w:val="068EB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2">
    <w:nsid w:val="3F8E7B36"/>
    <w:multiLevelType w:val="multilevel"/>
    <w:tmpl w:val="47085470"/>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nsid w:val="44D4382F"/>
    <w:multiLevelType w:val="multilevel"/>
    <w:tmpl w:val="512C801C"/>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5">
    <w:nsid w:val="51754F46"/>
    <w:multiLevelType w:val="hybridMultilevel"/>
    <w:tmpl w:val="82B27324"/>
    <w:lvl w:ilvl="0" w:tplc="D406666C">
      <w:numFmt w:val="bullet"/>
      <w:lvlText w:val="•"/>
      <w:lvlJc w:val="left"/>
      <w:pPr>
        <w:ind w:left="1160" w:hanging="400"/>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6">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17">
    <w:nsid w:val="57E068BC"/>
    <w:multiLevelType w:val="hybridMultilevel"/>
    <w:tmpl w:val="A5427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nsid w:val="6040373B"/>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nsid w:val="60557739"/>
    <w:multiLevelType w:val="hybridMultilevel"/>
    <w:tmpl w:val="4EC06F46"/>
    <w:lvl w:ilvl="0" w:tplc="68ECBFA6">
      <w:start w:val="1"/>
      <w:numFmt w:val="bullet"/>
      <w:lvlText w:val="•"/>
      <w:lvlJc w:val="left"/>
      <w:pPr>
        <w:tabs>
          <w:tab w:val="num" w:pos="720"/>
        </w:tabs>
        <w:ind w:left="720" w:hanging="360"/>
      </w:pPr>
      <w:rPr>
        <w:rFonts w:ascii="Arial" w:hAnsi="Arial" w:hint="default"/>
      </w:rPr>
    </w:lvl>
    <w:lvl w:ilvl="1" w:tplc="B7585FE8">
      <w:start w:val="3709"/>
      <w:numFmt w:val="bullet"/>
      <w:lvlText w:val="–"/>
      <w:lvlJc w:val="left"/>
      <w:pPr>
        <w:tabs>
          <w:tab w:val="num" w:pos="1440"/>
        </w:tabs>
        <w:ind w:left="1440" w:hanging="360"/>
      </w:pPr>
      <w:rPr>
        <w:rFonts w:ascii="Arial" w:hAnsi="Arial" w:hint="default"/>
      </w:rPr>
    </w:lvl>
    <w:lvl w:ilvl="2" w:tplc="9F6C66B6">
      <w:start w:val="3709"/>
      <w:numFmt w:val="bullet"/>
      <w:lvlText w:val="•"/>
      <w:lvlJc w:val="left"/>
      <w:pPr>
        <w:tabs>
          <w:tab w:val="num" w:pos="2160"/>
        </w:tabs>
        <w:ind w:left="2160" w:hanging="360"/>
      </w:pPr>
      <w:rPr>
        <w:rFonts w:ascii="Arial" w:hAnsi="Arial" w:hint="default"/>
      </w:rPr>
    </w:lvl>
    <w:lvl w:ilvl="3" w:tplc="E4344772">
      <w:start w:val="1"/>
      <w:numFmt w:val="bullet"/>
      <w:lvlText w:val="•"/>
      <w:lvlJc w:val="left"/>
      <w:pPr>
        <w:tabs>
          <w:tab w:val="num" w:pos="2880"/>
        </w:tabs>
        <w:ind w:left="2880" w:hanging="360"/>
      </w:pPr>
      <w:rPr>
        <w:rFonts w:ascii="Arial" w:hAnsi="Arial" w:hint="default"/>
      </w:rPr>
    </w:lvl>
    <w:lvl w:ilvl="4" w:tplc="5B7C3886">
      <w:start w:val="1"/>
      <w:numFmt w:val="bullet"/>
      <w:lvlText w:val="•"/>
      <w:lvlJc w:val="left"/>
      <w:pPr>
        <w:tabs>
          <w:tab w:val="num" w:pos="3600"/>
        </w:tabs>
        <w:ind w:left="3600" w:hanging="360"/>
      </w:pPr>
      <w:rPr>
        <w:rFonts w:ascii="Arial" w:hAnsi="Arial" w:hint="default"/>
      </w:rPr>
    </w:lvl>
    <w:lvl w:ilvl="5" w:tplc="E8103C96" w:tentative="1">
      <w:start w:val="1"/>
      <w:numFmt w:val="bullet"/>
      <w:lvlText w:val="•"/>
      <w:lvlJc w:val="left"/>
      <w:pPr>
        <w:tabs>
          <w:tab w:val="num" w:pos="4320"/>
        </w:tabs>
        <w:ind w:left="4320" w:hanging="360"/>
      </w:pPr>
      <w:rPr>
        <w:rFonts w:ascii="Arial" w:hAnsi="Arial" w:hint="default"/>
      </w:rPr>
    </w:lvl>
    <w:lvl w:ilvl="6" w:tplc="B57CE53A" w:tentative="1">
      <w:start w:val="1"/>
      <w:numFmt w:val="bullet"/>
      <w:lvlText w:val="•"/>
      <w:lvlJc w:val="left"/>
      <w:pPr>
        <w:tabs>
          <w:tab w:val="num" w:pos="5040"/>
        </w:tabs>
        <w:ind w:left="5040" w:hanging="360"/>
      </w:pPr>
      <w:rPr>
        <w:rFonts w:ascii="Arial" w:hAnsi="Arial" w:hint="default"/>
      </w:rPr>
    </w:lvl>
    <w:lvl w:ilvl="7" w:tplc="5E10046E" w:tentative="1">
      <w:start w:val="1"/>
      <w:numFmt w:val="bullet"/>
      <w:lvlText w:val="•"/>
      <w:lvlJc w:val="left"/>
      <w:pPr>
        <w:tabs>
          <w:tab w:val="num" w:pos="5760"/>
        </w:tabs>
        <w:ind w:left="5760" w:hanging="360"/>
      </w:pPr>
      <w:rPr>
        <w:rFonts w:ascii="Arial" w:hAnsi="Arial" w:hint="default"/>
      </w:rPr>
    </w:lvl>
    <w:lvl w:ilvl="8" w:tplc="2EB65BF6" w:tentative="1">
      <w:start w:val="1"/>
      <w:numFmt w:val="bullet"/>
      <w:lvlText w:val="•"/>
      <w:lvlJc w:val="left"/>
      <w:pPr>
        <w:tabs>
          <w:tab w:val="num" w:pos="6480"/>
        </w:tabs>
        <w:ind w:left="6480" w:hanging="360"/>
      </w:pPr>
      <w:rPr>
        <w:rFonts w:ascii="Arial" w:hAnsi="Arial" w:hint="default"/>
      </w:rPr>
    </w:lvl>
  </w:abstractNum>
  <w:abstractNum w:abstractNumId="21">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22">
    <w:nsid w:val="69B63285"/>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76EE4DDC"/>
    <w:multiLevelType w:val="hybridMultilevel"/>
    <w:tmpl w:val="490A6098"/>
    <w:lvl w:ilvl="0" w:tplc="0BDA2E60">
      <w:start w:val="1"/>
      <w:numFmt w:val="bullet"/>
      <w:lvlText w:val="•"/>
      <w:lvlJc w:val="left"/>
      <w:pPr>
        <w:tabs>
          <w:tab w:val="num" w:pos="360"/>
        </w:tabs>
        <w:ind w:left="360" w:hanging="360"/>
      </w:pPr>
      <w:rPr>
        <w:rFonts w:ascii="Arial" w:hAnsi="Arial" w:cs="Times New Roman" w:hint="default"/>
      </w:rPr>
    </w:lvl>
    <w:lvl w:ilvl="1" w:tplc="7B563330">
      <w:start w:val="1"/>
      <w:numFmt w:val="bullet"/>
      <w:lvlText w:val="•"/>
      <w:lvlJc w:val="left"/>
      <w:pPr>
        <w:tabs>
          <w:tab w:val="num" w:pos="1080"/>
        </w:tabs>
        <w:ind w:left="1080" w:hanging="360"/>
      </w:pPr>
      <w:rPr>
        <w:rFonts w:ascii="Arial" w:hAnsi="Arial" w:cs="Times New Roman" w:hint="default"/>
      </w:rPr>
    </w:lvl>
    <w:lvl w:ilvl="2" w:tplc="15825DC6">
      <w:start w:val="1"/>
      <w:numFmt w:val="bullet"/>
      <w:lvlText w:val="•"/>
      <w:lvlJc w:val="left"/>
      <w:pPr>
        <w:tabs>
          <w:tab w:val="num" w:pos="1800"/>
        </w:tabs>
        <w:ind w:left="1800" w:hanging="360"/>
      </w:pPr>
      <w:rPr>
        <w:rFonts w:ascii="Arial" w:hAnsi="Arial" w:cs="Times New Roman" w:hint="default"/>
      </w:rPr>
    </w:lvl>
    <w:lvl w:ilvl="3" w:tplc="11E26E8A">
      <w:start w:val="3008"/>
      <w:numFmt w:val="bullet"/>
      <w:lvlText w:val="–"/>
      <w:lvlJc w:val="left"/>
      <w:pPr>
        <w:tabs>
          <w:tab w:val="num" w:pos="2520"/>
        </w:tabs>
        <w:ind w:left="2520" w:hanging="360"/>
      </w:pPr>
      <w:rPr>
        <w:rFonts w:ascii="Arial" w:hAnsi="Arial" w:cs="Times New Roman" w:hint="default"/>
      </w:rPr>
    </w:lvl>
    <w:lvl w:ilvl="4" w:tplc="1C903366">
      <w:start w:val="3008"/>
      <w:numFmt w:val="bullet"/>
      <w:lvlText w:val="»"/>
      <w:lvlJc w:val="left"/>
      <w:pPr>
        <w:tabs>
          <w:tab w:val="num" w:pos="3240"/>
        </w:tabs>
        <w:ind w:left="3240" w:hanging="360"/>
      </w:pPr>
      <w:rPr>
        <w:rFonts w:ascii="Arial" w:hAnsi="Arial" w:cs="Times New Roman" w:hint="default"/>
      </w:rPr>
    </w:lvl>
    <w:lvl w:ilvl="5" w:tplc="1C762D18">
      <w:start w:val="1"/>
      <w:numFmt w:val="bullet"/>
      <w:lvlText w:val="•"/>
      <w:lvlJc w:val="left"/>
      <w:pPr>
        <w:tabs>
          <w:tab w:val="num" w:pos="3960"/>
        </w:tabs>
        <w:ind w:left="3960" w:hanging="360"/>
      </w:pPr>
      <w:rPr>
        <w:rFonts w:ascii="Arial" w:hAnsi="Arial" w:cs="Times New Roman" w:hint="default"/>
      </w:rPr>
    </w:lvl>
    <w:lvl w:ilvl="6" w:tplc="62640CA6">
      <w:start w:val="1"/>
      <w:numFmt w:val="bullet"/>
      <w:lvlText w:val="•"/>
      <w:lvlJc w:val="left"/>
      <w:pPr>
        <w:tabs>
          <w:tab w:val="num" w:pos="4680"/>
        </w:tabs>
        <w:ind w:left="4680" w:hanging="360"/>
      </w:pPr>
      <w:rPr>
        <w:rFonts w:ascii="Arial" w:hAnsi="Arial" w:cs="Times New Roman" w:hint="default"/>
      </w:rPr>
    </w:lvl>
    <w:lvl w:ilvl="7" w:tplc="A2D658D6">
      <w:start w:val="1"/>
      <w:numFmt w:val="bullet"/>
      <w:lvlText w:val="•"/>
      <w:lvlJc w:val="left"/>
      <w:pPr>
        <w:tabs>
          <w:tab w:val="num" w:pos="5400"/>
        </w:tabs>
        <w:ind w:left="5400" w:hanging="360"/>
      </w:pPr>
      <w:rPr>
        <w:rFonts w:ascii="Arial" w:hAnsi="Arial" w:cs="Times New Roman" w:hint="default"/>
      </w:rPr>
    </w:lvl>
    <w:lvl w:ilvl="8" w:tplc="873EF33C">
      <w:start w:val="1"/>
      <w:numFmt w:val="bullet"/>
      <w:lvlText w:val="•"/>
      <w:lvlJc w:val="left"/>
      <w:pPr>
        <w:tabs>
          <w:tab w:val="num" w:pos="6120"/>
        </w:tabs>
        <w:ind w:left="6120" w:hanging="360"/>
      </w:pPr>
      <w:rPr>
        <w:rFonts w:ascii="Arial" w:hAnsi="Arial" w:cs="Times New Roman" w:hint="default"/>
      </w:rPr>
    </w:lvl>
  </w:abstractNum>
  <w:abstractNum w:abstractNumId="24">
    <w:nsid w:val="7984213A"/>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CC27F9C"/>
    <w:multiLevelType w:val="hybridMultilevel"/>
    <w:tmpl w:val="9E1073AE"/>
    <w:lvl w:ilvl="0" w:tplc="6CC0629C">
      <w:start w:val="1"/>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0"/>
  </w:num>
  <w:num w:numId="3">
    <w:abstractNumId w:val="25"/>
  </w:num>
  <w:num w:numId="4">
    <w:abstractNumId w:val="18"/>
  </w:num>
  <w:num w:numId="5">
    <w:abstractNumId w:val="20"/>
  </w:num>
  <w:num w:numId="6">
    <w:abstractNumId w:val="15"/>
  </w:num>
  <w:num w:numId="7">
    <w:abstractNumId w:val="6"/>
  </w:num>
  <w:num w:numId="8">
    <w:abstractNumId w:val="21"/>
  </w:num>
  <w:num w:numId="9">
    <w:abstractNumId w:val="26"/>
  </w:num>
  <w:num w:numId="10">
    <w:abstractNumId w:val="11"/>
  </w:num>
  <w:num w:numId="11">
    <w:abstractNumId w:val="3"/>
  </w:num>
  <w:num w:numId="12">
    <w:abstractNumId w:val="17"/>
  </w:num>
  <w:num w:numId="13">
    <w:abstractNumId w:val="11"/>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3"/>
  </w:num>
  <w:num w:numId="21">
    <w:abstractNumId w:val="12"/>
  </w:num>
  <w:num w:numId="22">
    <w:abstractNumId w:val="10"/>
  </w:num>
  <w:num w:numId="23">
    <w:abstractNumId w:val="8"/>
  </w:num>
  <w:num w:numId="24">
    <w:abstractNumId w:val="11"/>
  </w:num>
  <w:num w:numId="25">
    <w:abstractNumId w:val="10"/>
  </w:num>
  <w:num w:numId="26">
    <w:abstractNumId w:val="7"/>
  </w:num>
  <w:num w:numId="27">
    <w:abstractNumId w:val="14"/>
  </w:num>
  <w:num w:numId="28">
    <w:abstractNumId w:val="10"/>
  </w:num>
  <w:num w:numId="29">
    <w:abstractNumId w:val="11"/>
  </w:num>
  <w:num w:numId="30">
    <w:abstractNumId w:val="23"/>
  </w:num>
  <w:num w:numId="31">
    <w:abstractNumId w:val="22"/>
  </w:num>
  <w:num w:numId="32">
    <w:abstractNumId w:val="24"/>
  </w:num>
  <w:num w:numId="33">
    <w:abstractNumId w:val="10"/>
  </w:num>
  <w:num w:numId="34">
    <w:abstractNumId w:val="10"/>
  </w:num>
  <w:num w:numId="35">
    <w:abstractNumId w:val="10"/>
  </w:num>
  <w:num w:numId="36">
    <w:abstractNumId w:val="19"/>
  </w:num>
  <w:num w:numId="37">
    <w:abstractNumId w:val="4"/>
  </w:num>
  <w:num w:numId="38">
    <w:abstractNumId w:val="11"/>
  </w:num>
  <w:num w:numId="39">
    <w:abstractNumId w:val="1"/>
  </w:num>
  <w:num w:numId="40">
    <w:abstractNumId w:val="16"/>
  </w:num>
  <w:num w:numId="41">
    <w:abstractNumId w:val="11"/>
  </w:num>
  <w:num w:numId="42">
    <w:abstractNumId w:val="5"/>
  </w:num>
  <w:num w:numId="43">
    <w:abstractNumId w:val="10"/>
  </w:num>
  <w:num w:numId="44">
    <w:abstractNumId w:val="2"/>
  </w:num>
  <w:num w:numId="45">
    <w:abstractNumId w:val="11"/>
  </w:num>
  <w:num w:numId="46">
    <w:abstractNumId w:val="9"/>
  </w:num>
  <w:num w:numId="4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70"/>
    <w:rsid w:val="00017D8A"/>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44E"/>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484C"/>
    <w:rsid w:val="00045191"/>
    <w:rsid w:val="0004561E"/>
    <w:rsid w:val="00046343"/>
    <w:rsid w:val="00046796"/>
    <w:rsid w:val="000467D5"/>
    <w:rsid w:val="000467FD"/>
    <w:rsid w:val="00046AAF"/>
    <w:rsid w:val="00047225"/>
    <w:rsid w:val="00047D36"/>
    <w:rsid w:val="00047E60"/>
    <w:rsid w:val="00050325"/>
    <w:rsid w:val="00050BE6"/>
    <w:rsid w:val="0005199F"/>
    <w:rsid w:val="00051BF8"/>
    <w:rsid w:val="00052576"/>
    <w:rsid w:val="00052AD2"/>
    <w:rsid w:val="000530DF"/>
    <w:rsid w:val="000541CF"/>
    <w:rsid w:val="000542DB"/>
    <w:rsid w:val="00054565"/>
    <w:rsid w:val="0005476F"/>
    <w:rsid w:val="0005486D"/>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F38"/>
    <w:rsid w:val="00080FBD"/>
    <w:rsid w:val="000812FA"/>
    <w:rsid w:val="0008168F"/>
    <w:rsid w:val="0008188F"/>
    <w:rsid w:val="00081CBD"/>
    <w:rsid w:val="00081CF3"/>
    <w:rsid w:val="000823B0"/>
    <w:rsid w:val="00082AF8"/>
    <w:rsid w:val="00082C08"/>
    <w:rsid w:val="00082F5E"/>
    <w:rsid w:val="00082F98"/>
    <w:rsid w:val="0008335B"/>
    <w:rsid w:val="00083379"/>
    <w:rsid w:val="00083587"/>
    <w:rsid w:val="000836CF"/>
    <w:rsid w:val="00083838"/>
    <w:rsid w:val="00083B6A"/>
    <w:rsid w:val="00083DBA"/>
    <w:rsid w:val="00084472"/>
    <w:rsid w:val="00084D09"/>
    <w:rsid w:val="00084E8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59C"/>
    <w:rsid w:val="000B481B"/>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422D"/>
    <w:rsid w:val="000C4325"/>
    <w:rsid w:val="000C4516"/>
    <w:rsid w:val="000C4C7C"/>
    <w:rsid w:val="000C4E56"/>
    <w:rsid w:val="000C5173"/>
    <w:rsid w:val="000C5826"/>
    <w:rsid w:val="000C5F91"/>
    <w:rsid w:val="000C6025"/>
    <w:rsid w:val="000C6135"/>
    <w:rsid w:val="000C6EDB"/>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5CB"/>
    <w:rsid w:val="000E2610"/>
    <w:rsid w:val="000E2C5B"/>
    <w:rsid w:val="000E59A0"/>
    <w:rsid w:val="000E63E8"/>
    <w:rsid w:val="000E6C7C"/>
    <w:rsid w:val="000E7A84"/>
    <w:rsid w:val="000E7D80"/>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788E"/>
    <w:rsid w:val="000F7F58"/>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C9"/>
    <w:rsid w:val="0010505A"/>
    <w:rsid w:val="00105BEC"/>
    <w:rsid w:val="00105CC7"/>
    <w:rsid w:val="00105DC1"/>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3A4"/>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3F1"/>
    <w:rsid w:val="001316BD"/>
    <w:rsid w:val="00131E15"/>
    <w:rsid w:val="001321D3"/>
    <w:rsid w:val="00132716"/>
    <w:rsid w:val="001327BE"/>
    <w:rsid w:val="00132F4C"/>
    <w:rsid w:val="0013330F"/>
    <w:rsid w:val="0013345C"/>
    <w:rsid w:val="00133592"/>
    <w:rsid w:val="00133599"/>
    <w:rsid w:val="00133BF7"/>
    <w:rsid w:val="00134545"/>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3E10"/>
    <w:rsid w:val="0014450F"/>
    <w:rsid w:val="00144A5D"/>
    <w:rsid w:val="00144D8F"/>
    <w:rsid w:val="00145C39"/>
    <w:rsid w:val="00145C74"/>
    <w:rsid w:val="00145F36"/>
    <w:rsid w:val="001462E9"/>
    <w:rsid w:val="00146765"/>
    <w:rsid w:val="00146E32"/>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241"/>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E26"/>
    <w:rsid w:val="00177FC1"/>
    <w:rsid w:val="001802D9"/>
    <w:rsid w:val="00180561"/>
    <w:rsid w:val="00181582"/>
    <w:rsid w:val="001815A2"/>
    <w:rsid w:val="0018162A"/>
    <w:rsid w:val="0018181A"/>
    <w:rsid w:val="00181EBF"/>
    <w:rsid w:val="00181FC1"/>
    <w:rsid w:val="00183034"/>
    <w:rsid w:val="001830F7"/>
    <w:rsid w:val="0018375F"/>
    <w:rsid w:val="0018391F"/>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9EC"/>
    <w:rsid w:val="001A0BB0"/>
    <w:rsid w:val="001A14EB"/>
    <w:rsid w:val="001A1620"/>
    <w:rsid w:val="001A180D"/>
    <w:rsid w:val="001A1ABC"/>
    <w:rsid w:val="001A1BAC"/>
    <w:rsid w:val="001A23CE"/>
    <w:rsid w:val="001A2C89"/>
    <w:rsid w:val="001A371F"/>
    <w:rsid w:val="001A37AF"/>
    <w:rsid w:val="001A39DA"/>
    <w:rsid w:val="001A46BF"/>
    <w:rsid w:val="001A4A9F"/>
    <w:rsid w:val="001A4C6C"/>
    <w:rsid w:val="001A5625"/>
    <w:rsid w:val="001A58B2"/>
    <w:rsid w:val="001A5FD0"/>
    <w:rsid w:val="001A62D7"/>
    <w:rsid w:val="001A645B"/>
    <w:rsid w:val="001A65AD"/>
    <w:rsid w:val="001A673E"/>
    <w:rsid w:val="001A6FEC"/>
    <w:rsid w:val="001A7763"/>
    <w:rsid w:val="001B08FF"/>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C7AF9"/>
    <w:rsid w:val="001D0805"/>
    <w:rsid w:val="001D0EE7"/>
    <w:rsid w:val="001D20FF"/>
    <w:rsid w:val="001D2135"/>
    <w:rsid w:val="001D2360"/>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195"/>
    <w:rsid w:val="001F0969"/>
    <w:rsid w:val="001F0D66"/>
    <w:rsid w:val="001F1308"/>
    <w:rsid w:val="001F1525"/>
    <w:rsid w:val="001F15FD"/>
    <w:rsid w:val="001F1E87"/>
    <w:rsid w:val="001F1EB4"/>
    <w:rsid w:val="001F1EB6"/>
    <w:rsid w:val="001F2E23"/>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6D5"/>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5F91"/>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51C5"/>
    <w:rsid w:val="00245957"/>
    <w:rsid w:val="00245D4F"/>
    <w:rsid w:val="00245E7B"/>
    <w:rsid w:val="00245F1F"/>
    <w:rsid w:val="0024663B"/>
    <w:rsid w:val="002469A7"/>
    <w:rsid w:val="00247069"/>
    <w:rsid w:val="00247103"/>
    <w:rsid w:val="00247110"/>
    <w:rsid w:val="002477F4"/>
    <w:rsid w:val="00250067"/>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2CA"/>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239F"/>
    <w:rsid w:val="00272B03"/>
    <w:rsid w:val="00272C6B"/>
    <w:rsid w:val="002733E2"/>
    <w:rsid w:val="0027356D"/>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78"/>
    <w:rsid w:val="0028488C"/>
    <w:rsid w:val="00284BAE"/>
    <w:rsid w:val="0028507F"/>
    <w:rsid w:val="002859AF"/>
    <w:rsid w:val="00285BB4"/>
    <w:rsid w:val="00285C36"/>
    <w:rsid w:val="0028604C"/>
    <w:rsid w:val="002862D0"/>
    <w:rsid w:val="00286AE7"/>
    <w:rsid w:val="00286F5D"/>
    <w:rsid w:val="0028717E"/>
    <w:rsid w:val="00287243"/>
    <w:rsid w:val="002874C7"/>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065"/>
    <w:rsid w:val="002A5293"/>
    <w:rsid w:val="002A52FB"/>
    <w:rsid w:val="002A59A4"/>
    <w:rsid w:val="002A59F0"/>
    <w:rsid w:val="002A6073"/>
    <w:rsid w:val="002A629B"/>
    <w:rsid w:val="002A6432"/>
    <w:rsid w:val="002A6F25"/>
    <w:rsid w:val="002A6FD3"/>
    <w:rsid w:val="002A73E0"/>
    <w:rsid w:val="002A7884"/>
    <w:rsid w:val="002A7D15"/>
    <w:rsid w:val="002B0119"/>
    <w:rsid w:val="002B0A7D"/>
    <w:rsid w:val="002B0FB0"/>
    <w:rsid w:val="002B101E"/>
    <w:rsid w:val="002B1024"/>
    <w:rsid w:val="002B1A69"/>
    <w:rsid w:val="002B1AC1"/>
    <w:rsid w:val="002B23F3"/>
    <w:rsid w:val="002B2723"/>
    <w:rsid w:val="002B2B56"/>
    <w:rsid w:val="002B2E12"/>
    <w:rsid w:val="002B303A"/>
    <w:rsid w:val="002B31BE"/>
    <w:rsid w:val="002B3383"/>
    <w:rsid w:val="002B3CC7"/>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689C"/>
    <w:rsid w:val="002D72C4"/>
    <w:rsid w:val="002D7874"/>
    <w:rsid w:val="002D7983"/>
    <w:rsid w:val="002D7A7B"/>
    <w:rsid w:val="002D7E59"/>
    <w:rsid w:val="002E0319"/>
    <w:rsid w:val="002E05ED"/>
    <w:rsid w:val="002E15C4"/>
    <w:rsid w:val="002E16E9"/>
    <w:rsid w:val="002E179B"/>
    <w:rsid w:val="002E1C9E"/>
    <w:rsid w:val="002E1CB6"/>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5C0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8CD"/>
    <w:rsid w:val="002F290A"/>
    <w:rsid w:val="002F344B"/>
    <w:rsid w:val="002F3CDE"/>
    <w:rsid w:val="002F3D42"/>
    <w:rsid w:val="002F3E95"/>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B63"/>
    <w:rsid w:val="00302EB7"/>
    <w:rsid w:val="00302F79"/>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C9C"/>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802DC"/>
    <w:rsid w:val="00380362"/>
    <w:rsid w:val="00380E4E"/>
    <w:rsid w:val="00380FBF"/>
    <w:rsid w:val="00381045"/>
    <w:rsid w:val="003812CE"/>
    <w:rsid w:val="003813DA"/>
    <w:rsid w:val="0038169B"/>
    <w:rsid w:val="00381717"/>
    <w:rsid w:val="00381842"/>
    <w:rsid w:val="003825E4"/>
    <w:rsid w:val="00382760"/>
    <w:rsid w:val="00382910"/>
    <w:rsid w:val="00382968"/>
    <w:rsid w:val="00382A43"/>
    <w:rsid w:val="00382D60"/>
    <w:rsid w:val="00382F29"/>
    <w:rsid w:val="003837BC"/>
    <w:rsid w:val="00383C8D"/>
    <w:rsid w:val="003843B1"/>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E2D"/>
    <w:rsid w:val="00391FAC"/>
    <w:rsid w:val="00393620"/>
    <w:rsid w:val="00393D73"/>
    <w:rsid w:val="00393EA9"/>
    <w:rsid w:val="00393ED5"/>
    <w:rsid w:val="003940CE"/>
    <w:rsid w:val="00395097"/>
    <w:rsid w:val="003951CB"/>
    <w:rsid w:val="00395784"/>
    <w:rsid w:val="00395996"/>
    <w:rsid w:val="00396A11"/>
    <w:rsid w:val="00396A98"/>
    <w:rsid w:val="00396D73"/>
    <w:rsid w:val="003978EF"/>
    <w:rsid w:val="00397C1D"/>
    <w:rsid w:val="003A0185"/>
    <w:rsid w:val="003A02CA"/>
    <w:rsid w:val="003A03FB"/>
    <w:rsid w:val="003A1728"/>
    <w:rsid w:val="003A180F"/>
    <w:rsid w:val="003A18DD"/>
    <w:rsid w:val="003A19D7"/>
    <w:rsid w:val="003A1E6C"/>
    <w:rsid w:val="003A20C8"/>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25D"/>
    <w:rsid w:val="003E138D"/>
    <w:rsid w:val="003E14FC"/>
    <w:rsid w:val="003E25D0"/>
    <w:rsid w:val="003E2976"/>
    <w:rsid w:val="003E306F"/>
    <w:rsid w:val="003E348E"/>
    <w:rsid w:val="003E3495"/>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AD3"/>
    <w:rsid w:val="00402BF7"/>
    <w:rsid w:val="00402DA7"/>
    <w:rsid w:val="0040310D"/>
    <w:rsid w:val="004042AC"/>
    <w:rsid w:val="004047C4"/>
    <w:rsid w:val="00404825"/>
    <w:rsid w:val="00404C0D"/>
    <w:rsid w:val="0040537C"/>
    <w:rsid w:val="0040570B"/>
    <w:rsid w:val="00405A2C"/>
    <w:rsid w:val="00405EDB"/>
    <w:rsid w:val="00405FB1"/>
    <w:rsid w:val="00406460"/>
    <w:rsid w:val="00407810"/>
    <w:rsid w:val="00407E0C"/>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FC5"/>
    <w:rsid w:val="00426266"/>
    <w:rsid w:val="00426943"/>
    <w:rsid w:val="0043057C"/>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1573"/>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0BF"/>
    <w:rsid w:val="00450B7E"/>
    <w:rsid w:val="004511F8"/>
    <w:rsid w:val="0045136B"/>
    <w:rsid w:val="00451C7E"/>
    <w:rsid w:val="00452257"/>
    <w:rsid w:val="0045225E"/>
    <w:rsid w:val="0045277A"/>
    <w:rsid w:val="00452FD0"/>
    <w:rsid w:val="0045311B"/>
    <w:rsid w:val="00453286"/>
    <w:rsid w:val="004539ED"/>
    <w:rsid w:val="00453BB6"/>
    <w:rsid w:val="00453C4E"/>
    <w:rsid w:val="00453CAA"/>
    <w:rsid w:val="00453D00"/>
    <w:rsid w:val="00453E43"/>
    <w:rsid w:val="004542DD"/>
    <w:rsid w:val="0045480C"/>
    <w:rsid w:val="00454FA3"/>
    <w:rsid w:val="00455113"/>
    <w:rsid w:val="00455476"/>
    <w:rsid w:val="0045551F"/>
    <w:rsid w:val="00455F9E"/>
    <w:rsid w:val="00456230"/>
    <w:rsid w:val="004563D4"/>
    <w:rsid w:val="00456421"/>
    <w:rsid w:val="00456DAB"/>
    <w:rsid w:val="004573B6"/>
    <w:rsid w:val="00457EB7"/>
    <w:rsid w:val="0046014B"/>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6532"/>
    <w:rsid w:val="00466B7F"/>
    <w:rsid w:val="00467488"/>
    <w:rsid w:val="00467C2B"/>
    <w:rsid w:val="0047046C"/>
    <w:rsid w:val="0047083E"/>
    <w:rsid w:val="00470EB5"/>
    <w:rsid w:val="004714E1"/>
    <w:rsid w:val="00471706"/>
    <w:rsid w:val="00471A7E"/>
    <w:rsid w:val="00471AF1"/>
    <w:rsid w:val="00471FFA"/>
    <w:rsid w:val="0047201B"/>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8F5"/>
    <w:rsid w:val="00491D7D"/>
    <w:rsid w:val="00491FC8"/>
    <w:rsid w:val="0049282B"/>
    <w:rsid w:val="004928CD"/>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3050"/>
    <w:rsid w:val="004B46EA"/>
    <w:rsid w:val="004B49E6"/>
    <w:rsid w:val="004B4D69"/>
    <w:rsid w:val="004B6408"/>
    <w:rsid w:val="004B6416"/>
    <w:rsid w:val="004B6D9C"/>
    <w:rsid w:val="004B6FCA"/>
    <w:rsid w:val="004B6FF2"/>
    <w:rsid w:val="004B71B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6DE5"/>
    <w:rsid w:val="004C7948"/>
    <w:rsid w:val="004C7978"/>
    <w:rsid w:val="004C7BB8"/>
    <w:rsid w:val="004C7C60"/>
    <w:rsid w:val="004C7CFE"/>
    <w:rsid w:val="004C7EEF"/>
    <w:rsid w:val="004D0419"/>
    <w:rsid w:val="004D071A"/>
    <w:rsid w:val="004D0C53"/>
    <w:rsid w:val="004D0DFE"/>
    <w:rsid w:val="004D10B8"/>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CE7"/>
    <w:rsid w:val="004D7E91"/>
    <w:rsid w:val="004E003A"/>
    <w:rsid w:val="004E02FC"/>
    <w:rsid w:val="004E0768"/>
    <w:rsid w:val="004E0D72"/>
    <w:rsid w:val="004E1A31"/>
    <w:rsid w:val="004E2757"/>
    <w:rsid w:val="004E2BFB"/>
    <w:rsid w:val="004E2DE0"/>
    <w:rsid w:val="004E32E8"/>
    <w:rsid w:val="004E3BA8"/>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623"/>
    <w:rsid w:val="004F7BCA"/>
    <w:rsid w:val="004F7D89"/>
    <w:rsid w:val="005003EB"/>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120"/>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49B"/>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17A2"/>
    <w:rsid w:val="00572760"/>
    <w:rsid w:val="00573B3C"/>
    <w:rsid w:val="005743DE"/>
    <w:rsid w:val="00574D44"/>
    <w:rsid w:val="00574F3F"/>
    <w:rsid w:val="00574F8D"/>
    <w:rsid w:val="005755BC"/>
    <w:rsid w:val="0057562C"/>
    <w:rsid w:val="005756D3"/>
    <w:rsid w:val="005758DF"/>
    <w:rsid w:val="005759F6"/>
    <w:rsid w:val="00575BD0"/>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19A"/>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056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6D45"/>
    <w:rsid w:val="006072C6"/>
    <w:rsid w:val="0060760D"/>
    <w:rsid w:val="00607A2E"/>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77B"/>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27ED5"/>
    <w:rsid w:val="006304BC"/>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73"/>
    <w:rsid w:val="00636B3E"/>
    <w:rsid w:val="00637240"/>
    <w:rsid w:val="0064006B"/>
    <w:rsid w:val="006406AC"/>
    <w:rsid w:val="00641AAD"/>
    <w:rsid w:val="00641C33"/>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10C"/>
    <w:rsid w:val="00655203"/>
    <w:rsid w:val="0065536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190"/>
    <w:rsid w:val="00670772"/>
    <w:rsid w:val="00670B9B"/>
    <w:rsid w:val="0067154B"/>
    <w:rsid w:val="006716DA"/>
    <w:rsid w:val="00671B21"/>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77CC2"/>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787"/>
    <w:rsid w:val="006A4D2B"/>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0DCC"/>
    <w:rsid w:val="006C1019"/>
    <w:rsid w:val="006C10D0"/>
    <w:rsid w:val="006C1240"/>
    <w:rsid w:val="006C1280"/>
    <w:rsid w:val="006C1A9B"/>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EE7"/>
    <w:rsid w:val="006F1064"/>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A13"/>
    <w:rsid w:val="00700B38"/>
    <w:rsid w:val="0070183E"/>
    <w:rsid w:val="00701C87"/>
    <w:rsid w:val="00701F6D"/>
    <w:rsid w:val="007025CB"/>
    <w:rsid w:val="00702741"/>
    <w:rsid w:val="00702EF0"/>
    <w:rsid w:val="007034AA"/>
    <w:rsid w:val="007035C6"/>
    <w:rsid w:val="00703C19"/>
    <w:rsid w:val="00703C9D"/>
    <w:rsid w:val="0070430E"/>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511"/>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5E16"/>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30AD"/>
    <w:rsid w:val="007431EB"/>
    <w:rsid w:val="00743502"/>
    <w:rsid w:val="0074360F"/>
    <w:rsid w:val="00743FA0"/>
    <w:rsid w:val="0074467D"/>
    <w:rsid w:val="00744A64"/>
    <w:rsid w:val="00744D47"/>
    <w:rsid w:val="00744EA0"/>
    <w:rsid w:val="00745CDA"/>
    <w:rsid w:val="007461C6"/>
    <w:rsid w:val="0074638D"/>
    <w:rsid w:val="00746484"/>
    <w:rsid w:val="00746A88"/>
    <w:rsid w:val="00746AE0"/>
    <w:rsid w:val="00746D7F"/>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B7"/>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BA0"/>
    <w:rsid w:val="007802F7"/>
    <w:rsid w:val="007803BD"/>
    <w:rsid w:val="00780AD4"/>
    <w:rsid w:val="007811DC"/>
    <w:rsid w:val="00781935"/>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666"/>
    <w:rsid w:val="007A0BC2"/>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EBB"/>
    <w:rsid w:val="007A7A96"/>
    <w:rsid w:val="007B03AF"/>
    <w:rsid w:val="007B0A37"/>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610B"/>
    <w:rsid w:val="007D64CA"/>
    <w:rsid w:val="007D6EA4"/>
    <w:rsid w:val="007D6F12"/>
    <w:rsid w:val="007D7175"/>
    <w:rsid w:val="007D784D"/>
    <w:rsid w:val="007D79CF"/>
    <w:rsid w:val="007D7B72"/>
    <w:rsid w:val="007E00CF"/>
    <w:rsid w:val="007E02D2"/>
    <w:rsid w:val="007E0790"/>
    <w:rsid w:val="007E0B47"/>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3322"/>
    <w:rsid w:val="007F391A"/>
    <w:rsid w:val="007F3BAB"/>
    <w:rsid w:val="007F4267"/>
    <w:rsid w:val="007F5023"/>
    <w:rsid w:val="007F56F3"/>
    <w:rsid w:val="007F6880"/>
    <w:rsid w:val="007F70A5"/>
    <w:rsid w:val="007F76B4"/>
    <w:rsid w:val="007F7786"/>
    <w:rsid w:val="007F7907"/>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A5D"/>
    <w:rsid w:val="00816E79"/>
    <w:rsid w:val="00816EB7"/>
    <w:rsid w:val="008172BE"/>
    <w:rsid w:val="00817B71"/>
    <w:rsid w:val="00820054"/>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983"/>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AD5"/>
    <w:rsid w:val="00830DC3"/>
    <w:rsid w:val="008313FC"/>
    <w:rsid w:val="00831555"/>
    <w:rsid w:val="00831831"/>
    <w:rsid w:val="00831D06"/>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075"/>
    <w:rsid w:val="00841545"/>
    <w:rsid w:val="00841A56"/>
    <w:rsid w:val="00841CD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5CC"/>
    <w:rsid w:val="0086699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3E1A"/>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B48"/>
    <w:rsid w:val="00887E87"/>
    <w:rsid w:val="00890235"/>
    <w:rsid w:val="00890584"/>
    <w:rsid w:val="008905DD"/>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6D9E"/>
    <w:rsid w:val="00897F64"/>
    <w:rsid w:val="008A0831"/>
    <w:rsid w:val="008A09A0"/>
    <w:rsid w:val="008A0AB2"/>
    <w:rsid w:val="008A0CFC"/>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394"/>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12"/>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8DE"/>
    <w:rsid w:val="00902993"/>
    <w:rsid w:val="00902D4C"/>
    <w:rsid w:val="00903802"/>
    <w:rsid w:val="00903BDE"/>
    <w:rsid w:val="00904218"/>
    <w:rsid w:val="00904612"/>
    <w:rsid w:val="00904B20"/>
    <w:rsid w:val="00904CC3"/>
    <w:rsid w:val="009051D2"/>
    <w:rsid w:val="00905688"/>
    <w:rsid w:val="0090696D"/>
    <w:rsid w:val="00906CD6"/>
    <w:rsid w:val="00906E4D"/>
    <w:rsid w:val="00906F31"/>
    <w:rsid w:val="00907219"/>
    <w:rsid w:val="009072AE"/>
    <w:rsid w:val="009075B5"/>
    <w:rsid w:val="009078B3"/>
    <w:rsid w:val="00907A77"/>
    <w:rsid w:val="00907E00"/>
    <w:rsid w:val="009103AA"/>
    <w:rsid w:val="00910612"/>
    <w:rsid w:val="009107B6"/>
    <w:rsid w:val="0091088D"/>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5BD"/>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6FA6"/>
    <w:rsid w:val="009277C3"/>
    <w:rsid w:val="00927C2E"/>
    <w:rsid w:val="00927EFA"/>
    <w:rsid w:val="00927F8B"/>
    <w:rsid w:val="0093066A"/>
    <w:rsid w:val="0093077E"/>
    <w:rsid w:val="0093094D"/>
    <w:rsid w:val="00930C5F"/>
    <w:rsid w:val="009315DC"/>
    <w:rsid w:val="00932549"/>
    <w:rsid w:val="009328C7"/>
    <w:rsid w:val="009336EC"/>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3E9E"/>
    <w:rsid w:val="0095419F"/>
    <w:rsid w:val="00954353"/>
    <w:rsid w:val="00954512"/>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825"/>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180"/>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1D"/>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97ED2"/>
    <w:rsid w:val="009A010D"/>
    <w:rsid w:val="009A07F7"/>
    <w:rsid w:val="009A0C6F"/>
    <w:rsid w:val="009A108F"/>
    <w:rsid w:val="009A1449"/>
    <w:rsid w:val="009A14C6"/>
    <w:rsid w:val="009A14EF"/>
    <w:rsid w:val="009A1C57"/>
    <w:rsid w:val="009A1CCE"/>
    <w:rsid w:val="009A2CCF"/>
    <w:rsid w:val="009A2DF9"/>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134A"/>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3FF"/>
    <w:rsid w:val="009E058F"/>
    <w:rsid w:val="009E0A9E"/>
    <w:rsid w:val="009E0C8B"/>
    <w:rsid w:val="009E19A2"/>
    <w:rsid w:val="009E20B8"/>
    <w:rsid w:val="009E20DC"/>
    <w:rsid w:val="009E2A2E"/>
    <w:rsid w:val="009E3819"/>
    <w:rsid w:val="009E38B5"/>
    <w:rsid w:val="009E396D"/>
    <w:rsid w:val="009E3AFD"/>
    <w:rsid w:val="009E3C60"/>
    <w:rsid w:val="009E3CDD"/>
    <w:rsid w:val="009E46D7"/>
    <w:rsid w:val="009E4B16"/>
    <w:rsid w:val="009E4E1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F43"/>
    <w:rsid w:val="00A06119"/>
    <w:rsid w:val="00A06256"/>
    <w:rsid w:val="00A06A26"/>
    <w:rsid w:val="00A06BD6"/>
    <w:rsid w:val="00A06EEE"/>
    <w:rsid w:val="00A07067"/>
    <w:rsid w:val="00A079A4"/>
    <w:rsid w:val="00A07A48"/>
    <w:rsid w:val="00A07BE5"/>
    <w:rsid w:val="00A1056D"/>
    <w:rsid w:val="00A108EE"/>
    <w:rsid w:val="00A10BB8"/>
    <w:rsid w:val="00A11CF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7209"/>
    <w:rsid w:val="00A172E8"/>
    <w:rsid w:val="00A173C5"/>
    <w:rsid w:val="00A17584"/>
    <w:rsid w:val="00A17686"/>
    <w:rsid w:val="00A179FF"/>
    <w:rsid w:val="00A17F2C"/>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1397"/>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A84"/>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C0D"/>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DA9"/>
    <w:rsid w:val="00A7700E"/>
    <w:rsid w:val="00A7739F"/>
    <w:rsid w:val="00A773EA"/>
    <w:rsid w:val="00A7747D"/>
    <w:rsid w:val="00A7781C"/>
    <w:rsid w:val="00A8056E"/>
    <w:rsid w:val="00A80939"/>
    <w:rsid w:val="00A8105D"/>
    <w:rsid w:val="00A813F8"/>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644"/>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862"/>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A51"/>
    <w:rsid w:val="00AD0B37"/>
    <w:rsid w:val="00AD11F7"/>
    <w:rsid w:val="00AD1B60"/>
    <w:rsid w:val="00AD1DB7"/>
    <w:rsid w:val="00AD1DFB"/>
    <w:rsid w:val="00AD245A"/>
    <w:rsid w:val="00AD2852"/>
    <w:rsid w:val="00AD2ADB"/>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075"/>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1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17D"/>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DA"/>
    <w:rsid w:val="00B3611B"/>
    <w:rsid w:val="00B370B8"/>
    <w:rsid w:val="00B3715D"/>
    <w:rsid w:val="00B37610"/>
    <w:rsid w:val="00B37D97"/>
    <w:rsid w:val="00B40BEC"/>
    <w:rsid w:val="00B411BD"/>
    <w:rsid w:val="00B41559"/>
    <w:rsid w:val="00B4172C"/>
    <w:rsid w:val="00B418E8"/>
    <w:rsid w:val="00B41983"/>
    <w:rsid w:val="00B42285"/>
    <w:rsid w:val="00B424FC"/>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61ED"/>
    <w:rsid w:val="00B462E7"/>
    <w:rsid w:val="00B46673"/>
    <w:rsid w:val="00B473AB"/>
    <w:rsid w:val="00B47D9C"/>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AF3"/>
    <w:rsid w:val="00B93DCE"/>
    <w:rsid w:val="00B93F1A"/>
    <w:rsid w:val="00B94AC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1492"/>
    <w:rsid w:val="00BA1589"/>
    <w:rsid w:val="00BA2096"/>
    <w:rsid w:val="00BA234B"/>
    <w:rsid w:val="00BA2964"/>
    <w:rsid w:val="00BA2FEF"/>
    <w:rsid w:val="00BA3D71"/>
    <w:rsid w:val="00BA3F5D"/>
    <w:rsid w:val="00BA3F82"/>
    <w:rsid w:val="00BA4202"/>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372"/>
    <w:rsid w:val="00BD3D6B"/>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4264"/>
    <w:rsid w:val="00BE47E2"/>
    <w:rsid w:val="00BE4B20"/>
    <w:rsid w:val="00BE5170"/>
    <w:rsid w:val="00BE5A94"/>
    <w:rsid w:val="00BE5FC4"/>
    <w:rsid w:val="00BE6535"/>
    <w:rsid w:val="00BE65C3"/>
    <w:rsid w:val="00BE681D"/>
    <w:rsid w:val="00BE7C4D"/>
    <w:rsid w:val="00BE7DE5"/>
    <w:rsid w:val="00BE7F6A"/>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A9A"/>
    <w:rsid w:val="00BF3BC4"/>
    <w:rsid w:val="00BF4356"/>
    <w:rsid w:val="00BF49B1"/>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FF"/>
    <w:rsid w:val="00C11A88"/>
    <w:rsid w:val="00C11DE9"/>
    <w:rsid w:val="00C11E2A"/>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E1D"/>
    <w:rsid w:val="00C165AB"/>
    <w:rsid w:val="00C16699"/>
    <w:rsid w:val="00C16A50"/>
    <w:rsid w:val="00C16C30"/>
    <w:rsid w:val="00C17B76"/>
    <w:rsid w:val="00C20220"/>
    <w:rsid w:val="00C20859"/>
    <w:rsid w:val="00C20A00"/>
    <w:rsid w:val="00C20C10"/>
    <w:rsid w:val="00C20C7B"/>
    <w:rsid w:val="00C20D66"/>
    <w:rsid w:val="00C21673"/>
    <w:rsid w:val="00C21C7A"/>
    <w:rsid w:val="00C21D8A"/>
    <w:rsid w:val="00C21DD4"/>
    <w:rsid w:val="00C2280B"/>
    <w:rsid w:val="00C22DA8"/>
    <w:rsid w:val="00C22FE6"/>
    <w:rsid w:val="00C23130"/>
    <w:rsid w:val="00C23F61"/>
    <w:rsid w:val="00C243CC"/>
    <w:rsid w:val="00C24456"/>
    <w:rsid w:val="00C24817"/>
    <w:rsid w:val="00C2487E"/>
    <w:rsid w:val="00C24A28"/>
    <w:rsid w:val="00C24E47"/>
    <w:rsid w:val="00C255A5"/>
    <w:rsid w:val="00C2584B"/>
    <w:rsid w:val="00C25942"/>
    <w:rsid w:val="00C25DD9"/>
    <w:rsid w:val="00C2638C"/>
    <w:rsid w:val="00C2663F"/>
    <w:rsid w:val="00C2681E"/>
    <w:rsid w:val="00C26DB8"/>
    <w:rsid w:val="00C275B2"/>
    <w:rsid w:val="00C27736"/>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2758"/>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61"/>
    <w:rsid w:val="00C72DA4"/>
    <w:rsid w:val="00C730B0"/>
    <w:rsid w:val="00C7314B"/>
    <w:rsid w:val="00C737F5"/>
    <w:rsid w:val="00C738D4"/>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14F8"/>
    <w:rsid w:val="00C827B2"/>
    <w:rsid w:val="00C832DC"/>
    <w:rsid w:val="00C8377F"/>
    <w:rsid w:val="00C84217"/>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D9B"/>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1CE8"/>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2FC"/>
    <w:rsid w:val="00CB73A7"/>
    <w:rsid w:val="00CB787A"/>
    <w:rsid w:val="00CB7E33"/>
    <w:rsid w:val="00CC01DF"/>
    <w:rsid w:val="00CC06BA"/>
    <w:rsid w:val="00CC0856"/>
    <w:rsid w:val="00CC09C4"/>
    <w:rsid w:val="00CC0C4A"/>
    <w:rsid w:val="00CC0E4A"/>
    <w:rsid w:val="00CC160B"/>
    <w:rsid w:val="00CC17F0"/>
    <w:rsid w:val="00CC1853"/>
    <w:rsid w:val="00CC19F6"/>
    <w:rsid w:val="00CC1D90"/>
    <w:rsid w:val="00CC1E43"/>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487"/>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81B"/>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0B8D"/>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023"/>
    <w:rsid w:val="00D22194"/>
    <w:rsid w:val="00D2221F"/>
    <w:rsid w:val="00D22537"/>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F72"/>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684"/>
    <w:rsid w:val="00D417F9"/>
    <w:rsid w:val="00D4238B"/>
    <w:rsid w:val="00D42805"/>
    <w:rsid w:val="00D42E4E"/>
    <w:rsid w:val="00D437D8"/>
    <w:rsid w:val="00D439AB"/>
    <w:rsid w:val="00D44994"/>
    <w:rsid w:val="00D451D3"/>
    <w:rsid w:val="00D45A62"/>
    <w:rsid w:val="00D45DF3"/>
    <w:rsid w:val="00D46174"/>
    <w:rsid w:val="00D473AF"/>
    <w:rsid w:val="00D478B5"/>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6A"/>
    <w:rsid w:val="00D55C95"/>
    <w:rsid w:val="00D564DC"/>
    <w:rsid w:val="00D56DB2"/>
    <w:rsid w:val="00D570FD"/>
    <w:rsid w:val="00D5747F"/>
    <w:rsid w:val="00D57495"/>
    <w:rsid w:val="00D574FA"/>
    <w:rsid w:val="00D57701"/>
    <w:rsid w:val="00D577E0"/>
    <w:rsid w:val="00D60A22"/>
    <w:rsid w:val="00D60C8D"/>
    <w:rsid w:val="00D61374"/>
    <w:rsid w:val="00D6168A"/>
    <w:rsid w:val="00D616A5"/>
    <w:rsid w:val="00D61FF0"/>
    <w:rsid w:val="00D6211D"/>
    <w:rsid w:val="00D62256"/>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C29"/>
    <w:rsid w:val="00D936E2"/>
    <w:rsid w:val="00D93F3B"/>
    <w:rsid w:val="00D95104"/>
    <w:rsid w:val="00D953EF"/>
    <w:rsid w:val="00D95600"/>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6E08"/>
    <w:rsid w:val="00DA702B"/>
    <w:rsid w:val="00DA702F"/>
    <w:rsid w:val="00DA7E5F"/>
    <w:rsid w:val="00DA7F8A"/>
    <w:rsid w:val="00DB0176"/>
    <w:rsid w:val="00DB0404"/>
    <w:rsid w:val="00DB098B"/>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0E57"/>
    <w:rsid w:val="00E01216"/>
    <w:rsid w:val="00E015F5"/>
    <w:rsid w:val="00E01DAA"/>
    <w:rsid w:val="00E01E17"/>
    <w:rsid w:val="00E02045"/>
    <w:rsid w:val="00E023E5"/>
    <w:rsid w:val="00E02432"/>
    <w:rsid w:val="00E0281E"/>
    <w:rsid w:val="00E033CB"/>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389"/>
    <w:rsid w:val="00E174D6"/>
    <w:rsid w:val="00E17619"/>
    <w:rsid w:val="00E17805"/>
    <w:rsid w:val="00E17B91"/>
    <w:rsid w:val="00E20D91"/>
    <w:rsid w:val="00E20E4F"/>
    <w:rsid w:val="00E20E69"/>
    <w:rsid w:val="00E20F79"/>
    <w:rsid w:val="00E21278"/>
    <w:rsid w:val="00E21ECA"/>
    <w:rsid w:val="00E22B27"/>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6AB"/>
    <w:rsid w:val="00E4085A"/>
    <w:rsid w:val="00E41136"/>
    <w:rsid w:val="00E41145"/>
    <w:rsid w:val="00E41C0C"/>
    <w:rsid w:val="00E41C97"/>
    <w:rsid w:val="00E41E06"/>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7E2"/>
    <w:rsid w:val="00E52E81"/>
    <w:rsid w:val="00E53122"/>
    <w:rsid w:val="00E53142"/>
    <w:rsid w:val="00E5351B"/>
    <w:rsid w:val="00E53535"/>
    <w:rsid w:val="00E53635"/>
    <w:rsid w:val="00E53A0D"/>
    <w:rsid w:val="00E53A43"/>
    <w:rsid w:val="00E53E17"/>
    <w:rsid w:val="00E53FA9"/>
    <w:rsid w:val="00E5414C"/>
    <w:rsid w:val="00E547B3"/>
    <w:rsid w:val="00E54B30"/>
    <w:rsid w:val="00E54C83"/>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691"/>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CD3"/>
    <w:rsid w:val="00E93F04"/>
    <w:rsid w:val="00E948A1"/>
    <w:rsid w:val="00E94B86"/>
    <w:rsid w:val="00E95168"/>
    <w:rsid w:val="00E95507"/>
    <w:rsid w:val="00E95BA6"/>
    <w:rsid w:val="00E95E7A"/>
    <w:rsid w:val="00E96406"/>
    <w:rsid w:val="00E964D3"/>
    <w:rsid w:val="00E966B6"/>
    <w:rsid w:val="00E96A17"/>
    <w:rsid w:val="00E97270"/>
    <w:rsid w:val="00E97648"/>
    <w:rsid w:val="00E976BF"/>
    <w:rsid w:val="00EA0747"/>
    <w:rsid w:val="00EA0771"/>
    <w:rsid w:val="00EA0B77"/>
    <w:rsid w:val="00EA0DD4"/>
    <w:rsid w:val="00EA0E4A"/>
    <w:rsid w:val="00EA13BB"/>
    <w:rsid w:val="00EA1A54"/>
    <w:rsid w:val="00EA1CB2"/>
    <w:rsid w:val="00EA1DAD"/>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0E95"/>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0F3"/>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1388"/>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06F2"/>
    <w:rsid w:val="00F2133E"/>
    <w:rsid w:val="00F218D4"/>
    <w:rsid w:val="00F218F0"/>
    <w:rsid w:val="00F21948"/>
    <w:rsid w:val="00F21D0B"/>
    <w:rsid w:val="00F22491"/>
    <w:rsid w:val="00F2250A"/>
    <w:rsid w:val="00F23449"/>
    <w:rsid w:val="00F23924"/>
    <w:rsid w:val="00F23D83"/>
    <w:rsid w:val="00F23E3F"/>
    <w:rsid w:val="00F24788"/>
    <w:rsid w:val="00F24AC3"/>
    <w:rsid w:val="00F24B89"/>
    <w:rsid w:val="00F24F3C"/>
    <w:rsid w:val="00F25719"/>
    <w:rsid w:val="00F2640F"/>
    <w:rsid w:val="00F2667B"/>
    <w:rsid w:val="00F27C34"/>
    <w:rsid w:val="00F27E46"/>
    <w:rsid w:val="00F301C2"/>
    <w:rsid w:val="00F302E1"/>
    <w:rsid w:val="00F30A82"/>
    <w:rsid w:val="00F31136"/>
    <w:rsid w:val="00F31B22"/>
    <w:rsid w:val="00F31B49"/>
    <w:rsid w:val="00F3222E"/>
    <w:rsid w:val="00F329F8"/>
    <w:rsid w:val="00F32AC2"/>
    <w:rsid w:val="00F32D7B"/>
    <w:rsid w:val="00F32F56"/>
    <w:rsid w:val="00F33257"/>
    <w:rsid w:val="00F33947"/>
    <w:rsid w:val="00F33D4F"/>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F4"/>
    <w:rsid w:val="00F54266"/>
    <w:rsid w:val="00F55043"/>
    <w:rsid w:val="00F552E3"/>
    <w:rsid w:val="00F5562E"/>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1B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639"/>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2BCD"/>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27C8"/>
    <w:rsid w:val="00FA2BF9"/>
    <w:rsid w:val="00FA2E63"/>
    <w:rsid w:val="00FA3499"/>
    <w:rsid w:val="00FA3B76"/>
    <w:rsid w:val="00FA4490"/>
    <w:rsid w:val="00FA46DA"/>
    <w:rsid w:val="00FA4D66"/>
    <w:rsid w:val="00FA5A4E"/>
    <w:rsid w:val="00FA5D73"/>
    <w:rsid w:val="00FA5DB5"/>
    <w:rsid w:val="00FA65A4"/>
    <w:rsid w:val="00FA663A"/>
    <w:rsid w:val="00FA679F"/>
    <w:rsid w:val="00FA6A3A"/>
    <w:rsid w:val="00FA7144"/>
    <w:rsid w:val="00FA7B69"/>
    <w:rsid w:val="00FA7E03"/>
    <w:rsid w:val="00FB0082"/>
    <w:rsid w:val="00FB015D"/>
    <w:rsid w:val="00FB0243"/>
    <w:rsid w:val="00FB0479"/>
    <w:rsid w:val="00FB14D1"/>
    <w:rsid w:val="00FB1527"/>
    <w:rsid w:val="00FB16DC"/>
    <w:rsid w:val="00FB1B08"/>
    <w:rsid w:val="00FB1CD3"/>
    <w:rsid w:val="00FB1DE5"/>
    <w:rsid w:val="00FB2437"/>
    <w:rsid w:val="00FB2537"/>
    <w:rsid w:val="00FB2D24"/>
    <w:rsid w:val="00FB2D8D"/>
    <w:rsid w:val="00FB33DC"/>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0A93"/>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68E"/>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A7859B-EBA7-4DB5-923B-B2A8111D6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1008</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6747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#81</dc:title>
  <dc:creator>NEC</dc:creator>
  <cp:lastModifiedBy>2171490101522</cp:lastModifiedBy>
  <cp:revision>16</cp:revision>
  <cp:lastPrinted>2014-09-17T00:32:00Z</cp:lastPrinted>
  <dcterms:created xsi:type="dcterms:W3CDTF">2016-01-25T06:04:00Z</dcterms:created>
  <dcterms:modified xsi:type="dcterms:W3CDTF">2016-02-01T00:53:00Z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