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10" w:rsidRDefault="00BC1430" w:rsidP="00CA3E10">
      <w:pPr>
        <w:tabs>
          <w:tab w:val="right" w:pos="9630"/>
        </w:tabs>
        <w:spacing w:after="0"/>
      </w:pPr>
      <w:r>
        <w:rPr>
          <w:rFonts w:ascii="Arial" w:hAnsi="Arial" w:cs="Arial"/>
          <w:b/>
          <w:sz w:val="24"/>
        </w:rPr>
        <w:t>3GPP TSG RAN WG1 #83</w:t>
      </w:r>
      <w:r w:rsidR="00CA3E10">
        <w:rPr>
          <w:rFonts w:ascii="Arial" w:hAnsi="Arial" w:cs="Arial"/>
          <w:b/>
          <w:sz w:val="24"/>
        </w:rPr>
        <w:tab/>
      </w:r>
      <w:r w:rsidR="00CA3E10" w:rsidRPr="00557209">
        <w:rPr>
          <w:rFonts w:ascii="Arial" w:hAnsi="Arial" w:cs="Arial"/>
          <w:b/>
          <w:sz w:val="24"/>
        </w:rPr>
        <w:t>R1-1</w:t>
      </w:r>
      <w:r w:rsidR="00CA3E10">
        <w:rPr>
          <w:rFonts w:ascii="Arial" w:hAnsi="Arial" w:cs="Arial"/>
          <w:b/>
          <w:sz w:val="24"/>
        </w:rPr>
        <w:t>5</w:t>
      </w:r>
      <w:r w:rsidR="008D5759">
        <w:rPr>
          <w:rFonts w:ascii="Arial" w:hAnsi="Arial" w:cs="Arial"/>
          <w:b/>
          <w:sz w:val="24"/>
        </w:rPr>
        <w:t>6613</w:t>
      </w:r>
    </w:p>
    <w:p w:rsidR="00CA3E10" w:rsidRPr="000F7452" w:rsidRDefault="00BC1430" w:rsidP="00CA3E10">
      <w:pPr>
        <w:rPr>
          <w:rFonts w:ascii="Arial" w:hAnsi="Arial" w:cs="Arial"/>
          <w:b/>
          <w:sz w:val="24"/>
          <w:szCs w:val="24"/>
        </w:rPr>
      </w:pPr>
      <w:r>
        <w:rPr>
          <w:rFonts w:ascii="Arial" w:hAnsi="Arial" w:cs="Arial"/>
          <w:b/>
          <w:sz w:val="24"/>
          <w:szCs w:val="24"/>
        </w:rPr>
        <w:t>Anaheim</w:t>
      </w:r>
      <w:r w:rsidR="005831C5">
        <w:rPr>
          <w:rFonts w:ascii="Arial" w:hAnsi="Arial" w:cs="Arial"/>
          <w:b/>
          <w:sz w:val="24"/>
          <w:szCs w:val="24"/>
        </w:rPr>
        <w:t>,</w:t>
      </w:r>
      <w:r>
        <w:rPr>
          <w:rFonts w:ascii="Arial" w:hAnsi="Arial" w:cs="Arial"/>
          <w:b/>
          <w:sz w:val="24"/>
          <w:szCs w:val="24"/>
        </w:rPr>
        <w:t xml:space="preserve"> CA, USA, 1</w:t>
      </w:r>
      <w:r w:rsidR="00C67429">
        <w:rPr>
          <w:rFonts w:ascii="Arial" w:eastAsiaTheme="minorEastAsia" w:hAnsi="Arial" w:cs="Arial" w:hint="eastAsia"/>
          <w:b/>
          <w:sz w:val="24"/>
          <w:szCs w:val="24"/>
          <w:lang w:eastAsia="zh-CN"/>
        </w:rPr>
        <w:t>5</w:t>
      </w:r>
      <w:r w:rsidR="005831C5" w:rsidRPr="005831C5">
        <w:rPr>
          <w:rFonts w:ascii="Arial" w:hAnsi="Arial" w:cs="Arial"/>
          <w:b/>
          <w:sz w:val="24"/>
          <w:szCs w:val="24"/>
          <w:vertAlign w:val="superscript"/>
        </w:rPr>
        <w:t>th</w:t>
      </w:r>
      <w:r w:rsidR="005831C5">
        <w:rPr>
          <w:rFonts w:ascii="Arial" w:hAnsi="Arial" w:cs="Arial"/>
          <w:b/>
          <w:sz w:val="24"/>
          <w:szCs w:val="24"/>
        </w:rPr>
        <w:t xml:space="preserve"> – </w:t>
      </w:r>
      <w:r>
        <w:rPr>
          <w:rFonts w:ascii="Arial" w:hAnsi="Arial" w:cs="Arial"/>
          <w:b/>
          <w:sz w:val="24"/>
          <w:szCs w:val="24"/>
        </w:rPr>
        <w:t>2</w:t>
      </w:r>
      <w:r w:rsidR="00C67429">
        <w:rPr>
          <w:rFonts w:ascii="Arial" w:eastAsiaTheme="minorEastAsia" w:hAnsi="Arial" w:cs="Arial" w:hint="eastAsia"/>
          <w:b/>
          <w:sz w:val="24"/>
          <w:szCs w:val="24"/>
          <w:lang w:eastAsia="zh-CN"/>
        </w:rPr>
        <w:t>2</w:t>
      </w:r>
      <w:r w:rsidR="00C67429">
        <w:rPr>
          <w:rFonts w:ascii="Arial" w:eastAsiaTheme="minorEastAsia" w:hAnsi="Arial" w:cs="Arial" w:hint="eastAsia"/>
          <w:b/>
          <w:sz w:val="24"/>
          <w:szCs w:val="24"/>
          <w:vertAlign w:val="superscript"/>
          <w:lang w:eastAsia="zh-CN"/>
        </w:rPr>
        <w:t>nd</w:t>
      </w:r>
      <w:r>
        <w:rPr>
          <w:rFonts w:ascii="Arial" w:hAnsi="Arial" w:cs="Arial"/>
          <w:b/>
          <w:sz w:val="24"/>
          <w:szCs w:val="24"/>
        </w:rPr>
        <w:t xml:space="preserve"> November</w:t>
      </w:r>
      <w:r w:rsidR="005831C5">
        <w:rPr>
          <w:rFonts w:ascii="Arial" w:hAnsi="Arial" w:cs="Arial"/>
          <w:b/>
          <w:sz w:val="24"/>
          <w:szCs w:val="24"/>
        </w:rPr>
        <w:t xml:space="preserve"> 2015</w:t>
      </w:r>
    </w:p>
    <w:p w:rsidR="00CA3E10" w:rsidRPr="00061DA0" w:rsidRDefault="00CA3E10" w:rsidP="00CA3E10">
      <w:pPr>
        <w:pStyle w:val="af5"/>
        <w:tabs>
          <w:tab w:val="left" w:pos="709"/>
          <w:tab w:val="right" w:pos="9639"/>
        </w:tabs>
        <w:wordWrap w:val="0"/>
        <w:spacing w:after="0"/>
        <w:ind w:right="120"/>
        <w:jc w:val="right"/>
        <w:rPr>
          <w:rFonts w:cs="Arial"/>
          <w:lang w:val="en-GB" w:eastAsia="ja-JP"/>
        </w:rPr>
      </w:pPr>
      <w:r w:rsidRPr="00061DA0">
        <w:rPr>
          <w:rFonts w:cs="Arial"/>
          <w:lang w:val="en-GB"/>
        </w:rPr>
        <w:tab/>
      </w:r>
    </w:p>
    <w:p w:rsidR="00CA3E10" w:rsidRPr="00E04B41" w:rsidRDefault="00CA3E10" w:rsidP="00CA3E10">
      <w:pPr>
        <w:tabs>
          <w:tab w:val="left" w:pos="1985"/>
        </w:tabs>
        <w:rPr>
          <w:rFonts w:ascii="Arial" w:hAnsi="Arial"/>
          <w:sz w:val="24"/>
        </w:rPr>
      </w:pPr>
      <w:r w:rsidRPr="00523B71">
        <w:rPr>
          <w:rFonts w:ascii="Arial" w:hAnsi="Arial"/>
          <w:b/>
          <w:sz w:val="24"/>
        </w:rPr>
        <w:t>Agenda item:</w:t>
      </w:r>
      <w:bookmarkStart w:id="0" w:name="Source"/>
      <w:bookmarkEnd w:id="0"/>
      <w:r w:rsidR="00BC1430">
        <w:rPr>
          <w:rFonts w:ascii="Arial" w:hAnsi="Arial"/>
          <w:sz w:val="24"/>
        </w:rPr>
        <w:tab/>
        <w:t>6.2.9</w:t>
      </w:r>
      <w:r w:rsidR="00AD3CF7">
        <w:rPr>
          <w:rFonts w:ascii="Arial" w:hAnsi="Arial"/>
          <w:sz w:val="24"/>
        </w:rPr>
        <w:t>.2</w:t>
      </w:r>
    </w:p>
    <w:p w:rsidR="00CA3E10" w:rsidRPr="00CC27F5" w:rsidRDefault="00CA3E10" w:rsidP="00CA3E10">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1B1B72">
        <w:rPr>
          <w:rFonts w:ascii="Arial" w:hAnsi="Arial"/>
          <w:sz w:val="24"/>
        </w:rPr>
        <w:t>CATT</w:t>
      </w:r>
      <w:r>
        <w:rPr>
          <w:rFonts w:ascii="Arial" w:hAnsi="Arial"/>
          <w:sz w:val="24"/>
        </w:rPr>
        <w:tab/>
      </w:r>
    </w:p>
    <w:p w:rsidR="00AF4B60" w:rsidRPr="00D60018" w:rsidRDefault="00AF4B60" w:rsidP="00AF4B60">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C1430">
        <w:rPr>
          <w:rFonts w:ascii="Arial" w:hAnsi="Arial"/>
          <w:sz w:val="22"/>
        </w:rPr>
        <w:t>System Analysis on TTI Shortening</w:t>
      </w:r>
    </w:p>
    <w:p w:rsidR="00DB7D65" w:rsidRDefault="00AF4B60" w:rsidP="00AF4B60">
      <w:pPr>
        <w:pStyle w:val="af5"/>
        <w:pBdr>
          <w:bottom w:val="single" w:sz="4" w:space="1" w:color="auto"/>
        </w:pBdr>
        <w:tabs>
          <w:tab w:val="left" w:pos="709"/>
        </w:tabs>
        <w:spacing w:after="0"/>
        <w:jc w:val="left"/>
        <w:rPr>
          <w:rFonts w:cs="Arial"/>
          <w:lang w:val="en-GB" w:eastAsia="ja-JP"/>
        </w:rPr>
      </w:pPr>
      <w:r w:rsidRPr="00AF4B60">
        <w:t>Document for:</w:t>
      </w:r>
      <w:r>
        <w:tab/>
      </w:r>
      <w:r w:rsidRPr="00AF4B60">
        <w:tab/>
      </w:r>
      <w:bookmarkStart w:id="1" w:name="DocumentFor"/>
      <w:bookmarkEnd w:id="1"/>
      <w:r w:rsidRPr="00AF4B60">
        <w:rPr>
          <w:b w:val="0"/>
        </w:rPr>
        <w:t>Discussion and Decision</w:t>
      </w:r>
    </w:p>
    <w:p w:rsidR="00AF4B60" w:rsidRDefault="00AF4B60" w:rsidP="00DB7D65">
      <w:pPr>
        <w:pStyle w:val="af5"/>
        <w:pBdr>
          <w:bottom w:val="single" w:sz="4" w:space="1" w:color="auto"/>
        </w:pBdr>
        <w:tabs>
          <w:tab w:val="left" w:pos="709"/>
        </w:tabs>
        <w:spacing w:after="0"/>
        <w:jc w:val="left"/>
        <w:rPr>
          <w:rFonts w:cs="Arial"/>
          <w:lang w:val="en-GB" w:eastAsia="ja-JP"/>
        </w:rPr>
      </w:pPr>
    </w:p>
    <w:p w:rsidR="00AF4B60" w:rsidRPr="00061DA0" w:rsidRDefault="00AF4B60" w:rsidP="00DB7D65">
      <w:pPr>
        <w:pStyle w:val="af5"/>
        <w:pBdr>
          <w:bottom w:val="single" w:sz="4" w:space="1" w:color="auto"/>
        </w:pBdr>
        <w:tabs>
          <w:tab w:val="left" w:pos="709"/>
        </w:tabs>
        <w:spacing w:after="0"/>
        <w:jc w:val="left"/>
        <w:rPr>
          <w:rFonts w:cs="Arial"/>
          <w:lang w:val="en-GB" w:eastAsia="ja-JP"/>
        </w:rPr>
      </w:pPr>
    </w:p>
    <w:p w:rsidR="00BC1430" w:rsidRPr="00C54703" w:rsidRDefault="00454947" w:rsidP="006374FE">
      <w:pPr>
        <w:pStyle w:val="2"/>
        <w:numPr>
          <w:ilvl w:val="0"/>
          <w:numId w:val="1"/>
        </w:numPr>
        <w:rPr>
          <w:rFonts w:cs="Arial"/>
          <w:lang w:eastAsia="ja-JP"/>
        </w:rPr>
      </w:pPr>
      <w:r w:rsidRPr="00061DA0">
        <w:rPr>
          <w:rFonts w:cs="Arial"/>
          <w:lang w:eastAsia="ja-JP"/>
        </w:rPr>
        <w:t>Introduction</w:t>
      </w:r>
    </w:p>
    <w:p w:rsidR="0066736A" w:rsidRDefault="0066736A" w:rsidP="0066736A">
      <w:r>
        <w:t>In RAN#67</w:t>
      </w:r>
      <w:r w:rsidR="00BC1430">
        <w:t xml:space="preserve">, the </w:t>
      </w:r>
      <w:r>
        <w:t xml:space="preserve">study of LTE network </w:t>
      </w:r>
      <w:r w:rsidR="00BC1430">
        <w:t>latency reduct</w:t>
      </w:r>
      <w:r>
        <w:t xml:space="preserve">ion of LTE was approved </w:t>
      </w:r>
      <w:r w:rsidR="000B2853">
        <w:fldChar w:fldCharType="begin"/>
      </w:r>
      <w:r>
        <w:instrText xml:space="preserve"> REF _Ref434215512 \r \h </w:instrText>
      </w:r>
      <w:r w:rsidR="000B2853">
        <w:fldChar w:fldCharType="separate"/>
      </w:r>
      <w:r>
        <w:t>[1]</w:t>
      </w:r>
      <w:r w:rsidR="000B2853">
        <w:fldChar w:fldCharType="end"/>
      </w:r>
      <w:r w:rsidR="00BC1430">
        <w:t xml:space="preserve">.  </w:t>
      </w:r>
      <w:r>
        <w:t xml:space="preserve">The objective of this study item is: </w:t>
      </w:r>
    </w:p>
    <w:p w:rsidR="0066736A" w:rsidRPr="0066736A" w:rsidRDefault="0066736A" w:rsidP="0066736A">
      <w:pPr>
        <w:pStyle w:val="afa"/>
        <w:numPr>
          <w:ilvl w:val="0"/>
          <w:numId w:val="37"/>
        </w:numPr>
        <w:rPr>
          <w:sz w:val="20"/>
          <w:szCs w:val="20"/>
        </w:rPr>
      </w:pPr>
      <w:r w:rsidRPr="0066736A">
        <w:rPr>
          <w:sz w:val="20"/>
          <w:szCs w:val="20"/>
        </w:rPr>
        <w:t xml:space="preserve">Study enhancements to the E-UTRAN radio system in order to: </w:t>
      </w:r>
    </w:p>
    <w:p w:rsidR="0066736A" w:rsidRPr="0066736A" w:rsidRDefault="0066736A" w:rsidP="0066736A">
      <w:pPr>
        <w:pStyle w:val="afa"/>
        <w:numPr>
          <w:ilvl w:val="1"/>
          <w:numId w:val="37"/>
        </w:numPr>
        <w:rPr>
          <w:sz w:val="20"/>
          <w:szCs w:val="20"/>
        </w:rPr>
      </w:pPr>
      <w:r w:rsidRPr="0066736A">
        <w:rPr>
          <w:sz w:val="20"/>
          <w:szCs w:val="20"/>
        </w:rPr>
        <w:t>Significantly reduce the packet data latency over the LTE Uu air interface for an active UE</w:t>
      </w:r>
    </w:p>
    <w:p w:rsidR="0066736A" w:rsidRPr="0066736A" w:rsidRDefault="0066736A" w:rsidP="0066736A">
      <w:pPr>
        <w:pStyle w:val="afa"/>
        <w:numPr>
          <w:ilvl w:val="1"/>
          <w:numId w:val="37"/>
        </w:numPr>
        <w:rPr>
          <w:sz w:val="20"/>
          <w:szCs w:val="20"/>
        </w:rPr>
      </w:pPr>
      <w:r w:rsidRPr="0066736A">
        <w:rPr>
          <w:sz w:val="20"/>
          <w:szCs w:val="20"/>
        </w:rPr>
        <w:t xml:space="preserve">Significantly reduce the packet data transport round trip latency for UEs that have been inactive for a longer period (in connected state).  </w:t>
      </w:r>
    </w:p>
    <w:p w:rsidR="0066736A" w:rsidRPr="0066736A" w:rsidRDefault="0066736A" w:rsidP="0066736A">
      <w:pPr>
        <w:pStyle w:val="afa"/>
        <w:numPr>
          <w:ilvl w:val="0"/>
          <w:numId w:val="36"/>
        </w:numPr>
        <w:rPr>
          <w:sz w:val="20"/>
          <w:szCs w:val="20"/>
        </w:rPr>
      </w:pPr>
      <w:r w:rsidRPr="0066736A">
        <w:rPr>
          <w:sz w:val="20"/>
          <w:szCs w:val="20"/>
        </w:rPr>
        <w:t xml:space="preserve">The study area includes resource efficiency, including air interface capacity, battery lifetime, control channel resources, specification impact and technical feasibility. Both FDD and TDD duplex modes are considered. </w:t>
      </w:r>
    </w:p>
    <w:p w:rsidR="0066736A" w:rsidRPr="0066736A" w:rsidRDefault="0066736A" w:rsidP="0066736A">
      <w:pPr>
        <w:pStyle w:val="afa"/>
        <w:numPr>
          <w:ilvl w:val="0"/>
          <w:numId w:val="36"/>
        </w:numPr>
        <w:rPr>
          <w:sz w:val="20"/>
          <w:szCs w:val="20"/>
        </w:rPr>
      </w:pPr>
      <w:r w:rsidRPr="0066736A">
        <w:rPr>
          <w:sz w:val="20"/>
          <w:szCs w:val="20"/>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rsidR="0066736A" w:rsidRPr="0066736A" w:rsidRDefault="0066736A" w:rsidP="0066736A">
      <w:pPr>
        <w:pStyle w:val="afa"/>
        <w:numPr>
          <w:ilvl w:val="0"/>
          <w:numId w:val="36"/>
        </w:numPr>
        <w:rPr>
          <w:sz w:val="20"/>
          <w:szCs w:val="20"/>
        </w:rPr>
      </w:pPr>
      <w:r w:rsidRPr="0066736A">
        <w:rPr>
          <w:sz w:val="20"/>
          <w:szCs w:val="20"/>
        </w:rPr>
        <w:t>As second aspect,  the following areas should be studied and documented:</w:t>
      </w:r>
    </w:p>
    <w:p w:rsidR="0066736A" w:rsidRPr="0066736A" w:rsidRDefault="0066736A" w:rsidP="0066736A">
      <w:pPr>
        <w:pStyle w:val="afa"/>
        <w:numPr>
          <w:ilvl w:val="0"/>
          <w:numId w:val="37"/>
        </w:numPr>
        <w:rPr>
          <w:sz w:val="20"/>
          <w:szCs w:val="20"/>
        </w:rPr>
      </w:pPr>
      <w:r w:rsidRPr="0066736A">
        <w:rPr>
          <w:sz w:val="20"/>
          <w:szCs w:val="20"/>
        </w:rPr>
        <w:t>Fast uplink access solutions [RAN2]:</w:t>
      </w:r>
    </w:p>
    <w:p w:rsidR="0066736A" w:rsidRPr="0066736A" w:rsidRDefault="0066736A" w:rsidP="0066736A">
      <w:pPr>
        <w:pStyle w:val="afa"/>
        <w:numPr>
          <w:ilvl w:val="1"/>
          <w:numId w:val="37"/>
        </w:numPr>
        <w:rPr>
          <w:sz w:val="20"/>
          <w:szCs w:val="20"/>
        </w:rPr>
      </w:pPr>
      <w:r w:rsidRPr="0066736A">
        <w:rPr>
          <w:sz w:val="20"/>
          <w:szCs w:val="20"/>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p w:rsidR="0066736A" w:rsidRPr="0066736A" w:rsidRDefault="0066736A" w:rsidP="0066736A">
      <w:pPr>
        <w:pStyle w:val="afa"/>
        <w:numPr>
          <w:ilvl w:val="0"/>
          <w:numId w:val="37"/>
        </w:numPr>
        <w:rPr>
          <w:sz w:val="20"/>
          <w:szCs w:val="20"/>
        </w:rPr>
      </w:pPr>
      <w:r w:rsidRPr="0066736A">
        <w:rPr>
          <w:sz w:val="20"/>
          <w:szCs w:val="20"/>
        </w:rPr>
        <w:t>From RAN1#83: TTI shortening and reduced processing times [RAN1]:</w:t>
      </w:r>
    </w:p>
    <w:p w:rsidR="0066736A" w:rsidRPr="0066736A" w:rsidRDefault="0066736A" w:rsidP="0066736A">
      <w:pPr>
        <w:pStyle w:val="afa"/>
        <w:numPr>
          <w:ilvl w:val="1"/>
          <w:numId w:val="37"/>
        </w:numPr>
        <w:rPr>
          <w:sz w:val="20"/>
          <w:szCs w:val="20"/>
        </w:rPr>
      </w:pPr>
      <w:r w:rsidRPr="0066736A">
        <w:rPr>
          <w:sz w:val="20"/>
          <w:szCs w:val="20"/>
        </w:rPr>
        <w:t xml:space="preserve">Assess specification impact and study feasibility and performance of TTI lengths between 0.5ms and one OFDM symbol, taking into account impact on reference signals and physical layer control signaling </w:t>
      </w:r>
    </w:p>
    <w:p w:rsidR="0066736A" w:rsidRPr="0066736A" w:rsidRDefault="0066736A" w:rsidP="0066736A">
      <w:pPr>
        <w:pStyle w:val="afa"/>
        <w:numPr>
          <w:ilvl w:val="1"/>
          <w:numId w:val="37"/>
        </w:numPr>
        <w:rPr>
          <w:sz w:val="20"/>
          <w:szCs w:val="20"/>
        </w:rPr>
      </w:pPr>
      <w:r w:rsidRPr="0066736A">
        <w:rPr>
          <w:sz w:val="20"/>
          <w:szCs w:val="20"/>
        </w:rPr>
        <w:t>backwards compatibility shall be preserved (thus allowing normal operation of pre-Rel 13 UEs on the same carrier);</w:t>
      </w:r>
    </w:p>
    <w:p w:rsidR="0066736A" w:rsidRDefault="0066736A" w:rsidP="00BC1430"/>
    <w:p w:rsidR="00BC1430" w:rsidRDefault="00C54703" w:rsidP="006374FE">
      <w:r>
        <w:t xml:space="preserve">This paper analyses the LTE physical layer system design of TTI shortening to reduce the latency and improve the system performance.  </w:t>
      </w:r>
    </w:p>
    <w:p w:rsidR="006D7C76" w:rsidRDefault="006D7C76" w:rsidP="006D7C76">
      <w:pPr>
        <w:rPr>
          <w:lang w:eastAsia="ja-JP"/>
        </w:rPr>
      </w:pPr>
    </w:p>
    <w:p w:rsidR="006D7C76" w:rsidRDefault="00BC1430" w:rsidP="006374FE">
      <w:pPr>
        <w:pStyle w:val="1"/>
        <w:numPr>
          <w:ilvl w:val="0"/>
          <w:numId w:val="1"/>
        </w:numPr>
        <w:rPr>
          <w:lang w:eastAsia="ja-JP"/>
        </w:rPr>
      </w:pPr>
      <w:r>
        <w:rPr>
          <w:lang w:eastAsia="ja-JP"/>
        </w:rPr>
        <w:t>Physical Layer Enhancement for Latency Reduction</w:t>
      </w:r>
    </w:p>
    <w:p w:rsidR="0066736A" w:rsidRDefault="0066736A" w:rsidP="0066736A">
      <w:r>
        <w:t>The delay in LTE network includes the delay in the air interface, signal processing at each node, and transport delay between nodes.   The transport delay had been improved within the range of expectation due to the upgrade of the transport network in wireless RAN and core network.  Signal processing delay is significantly reduced by new semi-conductor with higher processing speed.   The transport delay is also reduced by the upgrade of backhaul transport in the operator’s network.   One area to improve is the air interface delay.   The factors caused air interface delays are the Transmission Time Interval (TTI) length, the feedback delay and the retransmission delay.   The TTI length in LTE is</w:t>
      </w:r>
      <w:r w:rsidR="003E49DE">
        <w:t xml:space="preserve"> based on one subframe, which is</w:t>
      </w:r>
      <w:r>
        <w:t xml:space="preserve"> 1 ms.   The roundtrip delay of HARQ retransmission is 8 </w:t>
      </w:r>
      <w:r w:rsidR="003E49DE">
        <w:t xml:space="preserve">TTI (8 </w:t>
      </w:r>
      <w:r>
        <w:t>ms</w:t>
      </w:r>
      <w:r w:rsidR="003E49DE">
        <w:t>)</w:t>
      </w:r>
      <w:r>
        <w:t>.   A few of HARQ retransmissions would push the latency of single packet through LTE air interface to tens of ms.   Thus, an enhanced LTE air interface would reduce the latency at air interface and end-to-end delay.</w:t>
      </w:r>
    </w:p>
    <w:p w:rsidR="0066736A" w:rsidRPr="0066736A" w:rsidRDefault="0066736A" w:rsidP="006374FE">
      <w:pPr>
        <w:rPr>
          <w:color w:val="000000"/>
          <w:lang w:val="en-US"/>
        </w:rPr>
      </w:pPr>
    </w:p>
    <w:p w:rsidR="0066736A" w:rsidRDefault="0066736A" w:rsidP="006374FE">
      <w:pPr>
        <w:rPr>
          <w:color w:val="000000"/>
        </w:rPr>
      </w:pPr>
    </w:p>
    <w:p w:rsidR="006374FE" w:rsidRDefault="00BC1430" w:rsidP="006374FE">
      <w:pPr>
        <w:rPr>
          <w:lang w:eastAsia="ja-JP"/>
        </w:rPr>
      </w:pPr>
      <w:r>
        <w:rPr>
          <w:color w:val="000000"/>
        </w:rPr>
        <w:t>The principle of latency reduction i</w:t>
      </w:r>
      <w:r w:rsidR="003E49DE">
        <w:rPr>
          <w:color w:val="000000"/>
        </w:rPr>
        <w:t>n the air interface is to shorten</w:t>
      </w:r>
      <w:r>
        <w:rPr>
          <w:color w:val="000000"/>
        </w:rPr>
        <w:t xml:space="preserve"> the TTI length from a subframe interval to sub-subframe level, such as a slot or a symbol.  Current LTE subframe contains two slots.  The minimum unit of radio resource is the resource block (RB), which is specified as 12 resource elements in frequency domain over the number of symbols</w:t>
      </w:r>
      <w:r w:rsidR="003E49DE">
        <w:rPr>
          <w:color w:val="000000"/>
        </w:rPr>
        <w:t xml:space="preserve"> (7 symbols for normal CP and 6 symbols for extended CP)</w:t>
      </w:r>
      <w:r>
        <w:rPr>
          <w:color w:val="000000"/>
        </w:rPr>
        <w:t xml:space="preserve"> within a slot in time domain.   </w:t>
      </w: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Default="00AC584C" w:rsidP="00AC584C">
      <w:pPr>
        <w:pStyle w:val="3"/>
      </w:pPr>
      <w:r>
        <w:t xml:space="preserve">System Analysis of </w:t>
      </w:r>
      <w:r w:rsidR="00BC1430">
        <w:t xml:space="preserve">Slot-based TTI  </w:t>
      </w:r>
    </w:p>
    <w:p w:rsidR="00C84E5C" w:rsidRPr="00B86F8F" w:rsidRDefault="00346975" w:rsidP="00C84E5C">
      <w:r w:rsidRPr="00B86F8F">
        <w:rPr>
          <w:lang w:eastAsia="ja-JP"/>
        </w:rPr>
        <w:t xml:space="preserve">The system configuration will be impacted when the physical layer TTI is changed from a subframe to a slot. </w:t>
      </w:r>
      <w:r w:rsidR="00B86F8F">
        <w:rPr>
          <w:lang w:eastAsia="ja-JP"/>
        </w:rPr>
        <w:t xml:space="preserve"> </w:t>
      </w:r>
      <w:r w:rsidR="00C84E5C" w:rsidRPr="00B86F8F">
        <w:t>The resource structure of frame structures 1 and 2 in LTE are specified based on the slot structure frame with a subframe as a unit of the transmission time interval (TTI).   The slot-based resource structure has good foundation to have a slot as the transmission time interval.   The slot-based TTI for frame structure 1 and</w:t>
      </w:r>
      <w:r w:rsidR="00B86F8F">
        <w:t xml:space="preserve"> 2 are shown in</w:t>
      </w:r>
      <w:r w:rsidR="00C84E5C" w:rsidRPr="00B86F8F">
        <w:t xml:space="preserve"> </w:t>
      </w:r>
      <w:r w:rsidR="000B2853">
        <w:fldChar w:fldCharType="begin"/>
      </w:r>
      <w:r w:rsidR="00B86F8F">
        <w:instrText xml:space="preserve"> REF _Ref434432440 \h </w:instrText>
      </w:r>
      <w:r w:rsidR="000B2853">
        <w:fldChar w:fldCharType="separate"/>
      </w:r>
      <w:r w:rsidR="00B86F8F">
        <w:t xml:space="preserve">Figure </w:t>
      </w:r>
      <w:r w:rsidR="00B86F8F">
        <w:rPr>
          <w:noProof/>
        </w:rPr>
        <w:t>1</w:t>
      </w:r>
      <w:r w:rsidR="000B2853">
        <w:fldChar w:fldCharType="end"/>
      </w:r>
      <w:r w:rsidR="00B86F8F">
        <w:t xml:space="preserve"> and </w:t>
      </w:r>
      <w:r w:rsidR="000B2853">
        <w:fldChar w:fldCharType="begin"/>
      </w:r>
      <w:r w:rsidR="00B86F8F">
        <w:instrText xml:space="preserve"> REF _Ref434432448 \h </w:instrText>
      </w:r>
      <w:r w:rsidR="000B2853">
        <w:fldChar w:fldCharType="separate"/>
      </w:r>
      <w:r w:rsidR="00B86F8F">
        <w:t xml:space="preserve">Figure </w:t>
      </w:r>
      <w:r w:rsidR="00B86F8F">
        <w:rPr>
          <w:noProof/>
        </w:rPr>
        <w:t>2</w:t>
      </w:r>
      <w:r w:rsidR="000B2853">
        <w:fldChar w:fldCharType="end"/>
      </w:r>
      <w:r w:rsidR="00B86F8F">
        <w:t>.</w:t>
      </w:r>
    </w:p>
    <w:p w:rsidR="00B86F8F" w:rsidRDefault="00C84E5C" w:rsidP="00B86F8F">
      <w:pPr>
        <w:keepNext/>
        <w:jc w:val="center"/>
      </w:pPr>
      <w:r>
        <w:object w:dxaOrig="7061" w:dyaOrig="1995">
          <v:shape id="_x0000_i1025" type="#_x0000_t75" style="width:322.95pt;height:91.35pt" o:ole="">
            <v:imagedata r:id="rId8" o:title=""/>
          </v:shape>
          <o:OLEObject Type="Embed" ProgID="Visio.Drawing.11" ShapeID="_x0000_i1025" DrawAspect="Content" ObjectID="_1508392765" r:id="rId9"/>
        </w:object>
      </w:r>
    </w:p>
    <w:p w:rsidR="00C84E5C" w:rsidRDefault="00B86F8F" w:rsidP="00B86F8F">
      <w:pPr>
        <w:pStyle w:val="af9"/>
        <w:jc w:val="center"/>
        <w:rPr>
          <w:lang w:eastAsia="zh-CN"/>
        </w:rPr>
      </w:pPr>
      <w:bookmarkStart w:id="2" w:name="_Ref434432440"/>
      <w:r>
        <w:t xml:space="preserve">Figure </w:t>
      </w:r>
      <w:r w:rsidR="000B2853">
        <w:fldChar w:fldCharType="begin"/>
      </w:r>
      <w:r w:rsidR="009821B3">
        <w:instrText xml:space="preserve"> SEQ Figure \* ARABIC </w:instrText>
      </w:r>
      <w:r w:rsidR="000B2853">
        <w:fldChar w:fldCharType="separate"/>
      </w:r>
      <w:r w:rsidR="005E2DC6">
        <w:rPr>
          <w:noProof/>
        </w:rPr>
        <w:t>1</w:t>
      </w:r>
      <w:r w:rsidR="000B2853">
        <w:fldChar w:fldCharType="end"/>
      </w:r>
      <w:bookmarkEnd w:id="2"/>
      <w:r>
        <w:rPr>
          <w:noProof/>
        </w:rPr>
        <w:t>: Frame structure one with slot-based TTI</w:t>
      </w:r>
    </w:p>
    <w:p w:rsidR="00C84E5C" w:rsidRDefault="00C84E5C" w:rsidP="00C84E5C">
      <w:pPr>
        <w:rPr>
          <w:lang w:eastAsia="zh-CN"/>
        </w:rPr>
      </w:pPr>
    </w:p>
    <w:p w:rsidR="00C84E5C" w:rsidRPr="00B86F8F" w:rsidRDefault="00C84E5C" w:rsidP="00B86F8F">
      <w:pPr>
        <w:jc w:val="center"/>
        <w:rPr>
          <w:lang w:eastAsia="zh-CN"/>
        </w:rPr>
      </w:pPr>
      <w:r>
        <w:object w:dxaOrig="17232" w:dyaOrig="4630">
          <v:shape id="_x0000_i1026" type="#_x0000_t75" style="width:480.9pt;height:129.5pt" o:ole="">
            <v:imagedata r:id="rId10" o:title=""/>
          </v:shape>
          <o:OLEObject Type="Embed" ProgID="Visio.Drawing.11" ShapeID="_x0000_i1026" DrawAspect="Content" ObjectID="_1508392766" r:id="rId11"/>
        </w:object>
      </w:r>
    </w:p>
    <w:p w:rsidR="00B86F8F" w:rsidRDefault="00B86F8F" w:rsidP="00FD35D9">
      <w:pPr>
        <w:pStyle w:val="af9"/>
        <w:jc w:val="center"/>
        <w:rPr>
          <w:lang w:eastAsia="ja-JP"/>
        </w:rPr>
      </w:pPr>
      <w:bookmarkStart w:id="3" w:name="_Ref434432448"/>
      <w:r>
        <w:t xml:space="preserve">Figure </w:t>
      </w:r>
      <w:r w:rsidR="000B2853">
        <w:fldChar w:fldCharType="begin"/>
      </w:r>
      <w:r w:rsidR="009821B3">
        <w:instrText xml:space="preserve"> SEQ Figure \* ARABIC </w:instrText>
      </w:r>
      <w:r w:rsidR="000B2853">
        <w:fldChar w:fldCharType="separate"/>
      </w:r>
      <w:r w:rsidR="005E2DC6">
        <w:rPr>
          <w:noProof/>
        </w:rPr>
        <w:t>2</w:t>
      </w:r>
      <w:r w:rsidR="000B2853">
        <w:fldChar w:fldCharType="end"/>
      </w:r>
      <w:bookmarkEnd w:id="3"/>
      <w:r>
        <w:rPr>
          <w:noProof/>
        </w:rPr>
        <w:t>: Frame structure 2 with slot-based TTI</w:t>
      </w:r>
    </w:p>
    <w:p w:rsidR="000B2853" w:rsidRDefault="00B86F8F">
      <w:pPr>
        <w:rPr>
          <w:rFonts w:eastAsiaTheme="minorEastAsia"/>
          <w:lang w:eastAsia="zh-CN"/>
        </w:rPr>
      </w:pPr>
      <w:r>
        <w:rPr>
          <w:lang w:eastAsia="zh-CN"/>
        </w:rPr>
        <w:t>TDD configuration, which includes DL subframes, UL subframes, and special subframe,</w:t>
      </w:r>
      <w:r w:rsidR="00FD35D9">
        <w:rPr>
          <w:lang w:eastAsia="zh-CN"/>
        </w:rPr>
        <w:t xml:space="preserve"> could reuse the same configuration </w:t>
      </w:r>
      <w:r>
        <w:rPr>
          <w:lang w:eastAsia="zh-CN"/>
        </w:rPr>
        <w:t>for slot-based TTI</w:t>
      </w:r>
      <w:r w:rsidR="00FD35D9">
        <w:rPr>
          <w:lang w:eastAsia="zh-CN"/>
        </w:rPr>
        <w:t xml:space="preserve"> as shown in </w:t>
      </w:r>
      <w:r w:rsidR="000B2853">
        <w:rPr>
          <w:lang w:eastAsia="zh-CN"/>
        </w:rPr>
        <w:fldChar w:fldCharType="begin"/>
      </w:r>
      <w:r w:rsidR="00FD35D9">
        <w:rPr>
          <w:lang w:eastAsia="zh-CN"/>
        </w:rPr>
        <w:instrText xml:space="preserve"> REF _Ref434439416 \h </w:instrText>
      </w:r>
      <w:r w:rsidR="000B2853">
        <w:rPr>
          <w:lang w:eastAsia="zh-CN"/>
        </w:rPr>
      </w:r>
      <w:r w:rsidR="000B2853">
        <w:rPr>
          <w:lang w:eastAsia="zh-CN"/>
        </w:rPr>
        <w:fldChar w:fldCharType="separate"/>
      </w:r>
      <w:r w:rsidR="00FD35D9">
        <w:t xml:space="preserve">Figure </w:t>
      </w:r>
      <w:r w:rsidR="00FD35D9">
        <w:rPr>
          <w:noProof/>
        </w:rPr>
        <w:t>3</w:t>
      </w:r>
      <w:r w:rsidR="000B2853">
        <w:rPr>
          <w:lang w:eastAsia="zh-CN"/>
        </w:rPr>
        <w:fldChar w:fldCharType="end"/>
      </w:r>
      <w:r w:rsidR="00FD35D9">
        <w:rPr>
          <w:lang w:eastAsia="zh-CN"/>
        </w:rPr>
        <w:t xml:space="preserve">.  From </w:t>
      </w:r>
      <w:r w:rsidR="000B2853">
        <w:rPr>
          <w:lang w:eastAsia="zh-CN"/>
        </w:rPr>
        <w:fldChar w:fldCharType="begin"/>
      </w:r>
      <w:r w:rsidR="00FD35D9">
        <w:rPr>
          <w:lang w:eastAsia="zh-CN"/>
        </w:rPr>
        <w:instrText xml:space="preserve"> REF _Ref434439416 \h </w:instrText>
      </w:r>
      <w:r w:rsidR="000B2853">
        <w:rPr>
          <w:lang w:eastAsia="zh-CN"/>
        </w:rPr>
      </w:r>
      <w:r w:rsidR="000B2853">
        <w:rPr>
          <w:lang w:eastAsia="zh-CN"/>
        </w:rPr>
        <w:fldChar w:fldCharType="separate"/>
      </w:r>
      <w:r w:rsidR="00FD35D9">
        <w:t xml:space="preserve">Figure </w:t>
      </w:r>
      <w:r w:rsidR="00FD35D9">
        <w:rPr>
          <w:noProof/>
        </w:rPr>
        <w:t>3</w:t>
      </w:r>
      <w:r w:rsidR="000B2853">
        <w:rPr>
          <w:lang w:eastAsia="zh-CN"/>
        </w:rPr>
        <w:fldChar w:fldCharType="end"/>
      </w:r>
      <w:r w:rsidR="00FD35D9">
        <w:rPr>
          <w:lang w:eastAsia="zh-CN"/>
        </w:rPr>
        <w:t>, additional specification of special subframe type could allow 2</w:t>
      </w:r>
      <w:r w:rsidR="00FD35D9" w:rsidRPr="00FD35D9">
        <w:rPr>
          <w:vertAlign w:val="superscript"/>
          <w:lang w:eastAsia="zh-CN"/>
        </w:rPr>
        <w:t>nd</w:t>
      </w:r>
      <w:r w:rsidR="00FD35D9">
        <w:rPr>
          <w:lang w:eastAsia="zh-CN"/>
        </w:rPr>
        <w:t xml:space="preserve"> slot of the special subframe as a complete UL slot-based </w:t>
      </w:r>
      <w:proofErr w:type="spellStart"/>
      <w:r w:rsidR="00FD35D9">
        <w:rPr>
          <w:lang w:eastAsia="zh-CN"/>
        </w:rPr>
        <w:t>TTI</w:t>
      </w:r>
      <w:r w:rsidR="00511EB4">
        <w:rPr>
          <w:lang w:eastAsia="zh-CN"/>
        </w:rPr>
        <w:t>b</w:t>
      </w:r>
      <w:r w:rsidR="00511EB4">
        <w:rPr>
          <w:rFonts w:eastAsiaTheme="minorEastAsia"/>
          <w:lang w:eastAsia="zh-CN"/>
        </w:rPr>
        <w:t>y</w:t>
      </w:r>
      <w:proofErr w:type="spellEnd"/>
      <w:r w:rsidR="00511EB4">
        <w:rPr>
          <w:rFonts w:eastAsiaTheme="minorEastAsia"/>
          <w:lang w:eastAsia="zh-CN"/>
        </w:rPr>
        <w:t xml:space="preserve"> e</w:t>
      </w:r>
      <w:r w:rsidR="00511EB4">
        <w:rPr>
          <w:rFonts w:eastAsiaTheme="minorEastAsia" w:hint="eastAsia"/>
          <w:lang w:eastAsia="zh-CN"/>
        </w:rPr>
        <w:t>xtend</w:t>
      </w:r>
      <w:r w:rsidR="00511EB4">
        <w:rPr>
          <w:rFonts w:eastAsiaTheme="minorEastAsia"/>
          <w:lang w:eastAsia="zh-CN"/>
        </w:rPr>
        <w:t>ing</w:t>
      </w:r>
      <w:r w:rsidR="00511EB4">
        <w:rPr>
          <w:rFonts w:eastAsiaTheme="minorEastAsia" w:hint="eastAsia"/>
          <w:lang w:eastAsia="zh-CN"/>
        </w:rPr>
        <w:t xml:space="preserve"> the </w:t>
      </w:r>
      <w:proofErr w:type="spellStart"/>
      <w:r w:rsidR="00511EB4">
        <w:rPr>
          <w:rFonts w:eastAsiaTheme="minorEastAsia" w:hint="eastAsia"/>
          <w:lang w:eastAsia="zh-CN"/>
        </w:rPr>
        <w:t>UpPTS</w:t>
      </w:r>
      <w:proofErr w:type="spellEnd"/>
      <w:r w:rsidR="00511EB4">
        <w:rPr>
          <w:rFonts w:eastAsiaTheme="minorEastAsia" w:hint="eastAsia"/>
          <w:lang w:eastAsia="zh-CN"/>
        </w:rPr>
        <w:t xml:space="preserve"> length to support UL data and control transmisison in UpPTS</w:t>
      </w:r>
      <w:r w:rsidR="00511EB4">
        <w:rPr>
          <w:rFonts w:eastAsiaTheme="minorEastAsia"/>
          <w:lang w:eastAsia="zh-CN"/>
        </w:rPr>
        <w:t xml:space="preserve">.  The other backward compatible solution is to replace some </w:t>
      </w:r>
      <w:r w:rsidR="006E484B">
        <w:rPr>
          <w:rFonts w:eastAsiaTheme="minorEastAsia" w:hint="eastAsia"/>
          <w:lang w:eastAsia="zh-CN"/>
        </w:rPr>
        <w:t>SIB-1 UL</w:t>
      </w:r>
      <w:r w:rsidR="00511EB4">
        <w:rPr>
          <w:rFonts w:eastAsiaTheme="minorEastAsia"/>
          <w:lang w:eastAsia="zh-CN"/>
        </w:rPr>
        <w:t xml:space="preserve"> </w:t>
      </w:r>
      <w:proofErr w:type="spellStart"/>
      <w:r w:rsidR="00511EB4">
        <w:rPr>
          <w:rFonts w:eastAsiaTheme="minorEastAsia"/>
          <w:lang w:eastAsia="zh-CN"/>
        </w:rPr>
        <w:t>subframes</w:t>
      </w:r>
      <w:proofErr w:type="spellEnd"/>
      <w:r w:rsidR="00511EB4">
        <w:rPr>
          <w:rFonts w:eastAsiaTheme="minorEastAsia"/>
          <w:lang w:eastAsia="zh-CN"/>
        </w:rPr>
        <w:t xml:space="preserve"> with special </w:t>
      </w:r>
      <w:proofErr w:type="spellStart"/>
      <w:r w:rsidR="00511EB4">
        <w:rPr>
          <w:rFonts w:eastAsiaTheme="minorEastAsia"/>
          <w:lang w:eastAsia="zh-CN"/>
        </w:rPr>
        <w:t>subframe</w:t>
      </w:r>
      <w:proofErr w:type="spellEnd"/>
      <w:r w:rsidR="00511EB4">
        <w:rPr>
          <w:rFonts w:eastAsiaTheme="minorEastAsia"/>
          <w:lang w:eastAsia="zh-CN"/>
        </w:rPr>
        <w:t xml:space="preserve"> in existing TDD configuration as shown in </w:t>
      </w:r>
      <w:r w:rsidR="000B2853">
        <w:rPr>
          <w:rFonts w:eastAsiaTheme="minorEastAsia"/>
          <w:lang w:eastAsia="zh-CN"/>
        </w:rPr>
        <w:fldChar w:fldCharType="begin"/>
      </w:r>
      <w:r w:rsidR="00511EB4">
        <w:rPr>
          <w:rFonts w:eastAsiaTheme="minorEastAsia"/>
          <w:lang w:eastAsia="zh-CN"/>
        </w:rPr>
        <w:instrText xml:space="preserve"> REF _Ref434566556 \h </w:instrText>
      </w:r>
      <w:r w:rsidR="000B2853">
        <w:rPr>
          <w:rFonts w:eastAsiaTheme="minorEastAsia"/>
          <w:lang w:eastAsia="zh-CN"/>
        </w:rPr>
      </w:r>
      <w:r w:rsidR="000B2853">
        <w:rPr>
          <w:rFonts w:eastAsiaTheme="minorEastAsia"/>
          <w:lang w:eastAsia="zh-CN"/>
        </w:rPr>
        <w:fldChar w:fldCharType="separate"/>
      </w:r>
      <w:r w:rsidR="00511EB4">
        <w:t xml:space="preserve">Figure </w:t>
      </w:r>
      <w:r w:rsidR="00511EB4">
        <w:rPr>
          <w:noProof/>
        </w:rPr>
        <w:t>4</w:t>
      </w:r>
      <w:r w:rsidR="000B2853">
        <w:rPr>
          <w:rFonts w:eastAsiaTheme="minorEastAsia"/>
          <w:lang w:eastAsia="zh-CN"/>
        </w:rPr>
        <w:fldChar w:fldCharType="end"/>
      </w:r>
      <w:r w:rsidR="00511EB4">
        <w:rPr>
          <w:rFonts w:eastAsiaTheme="minorEastAsia"/>
          <w:lang w:eastAsia="zh-CN"/>
        </w:rPr>
        <w:t>.</w:t>
      </w:r>
      <w:r w:rsidR="00BB40BA">
        <w:rPr>
          <w:rFonts w:eastAsiaTheme="minorEastAsia"/>
          <w:lang w:eastAsia="zh-CN"/>
        </w:rPr>
        <w:t xml:space="preserve">  The additional special subframe </w:t>
      </w:r>
      <w:r w:rsidR="00C81B69">
        <w:rPr>
          <w:rFonts w:eastAsiaTheme="minorEastAsia" w:hint="eastAsia"/>
          <w:lang w:eastAsia="zh-CN"/>
        </w:rPr>
        <w:t>is</w:t>
      </w:r>
      <w:r w:rsidR="00BB40BA">
        <w:rPr>
          <w:rFonts w:eastAsiaTheme="minorEastAsia"/>
          <w:lang w:eastAsia="zh-CN"/>
        </w:rPr>
        <w:t xml:space="preserve"> considered as a </w:t>
      </w:r>
      <w:r w:rsidR="00C81B69">
        <w:rPr>
          <w:rFonts w:eastAsiaTheme="minorEastAsia" w:hint="eastAsia"/>
          <w:lang w:eastAsia="zh-CN"/>
        </w:rPr>
        <w:t>UL</w:t>
      </w:r>
      <w:r w:rsidR="00BB40BA">
        <w:rPr>
          <w:rFonts w:eastAsiaTheme="minorEastAsia"/>
          <w:lang w:eastAsia="zh-CN"/>
        </w:rPr>
        <w:t xml:space="preserve"> subframe for the legacy U</w:t>
      </w:r>
      <w:r w:rsidR="00C81B69">
        <w:rPr>
          <w:rFonts w:eastAsiaTheme="minorEastAsia"/>
          <w:lang w:eastAsia="zh-CN"/>
        </w:rPr>
        <w:t>e</w:t>
      </w:r>
      <w:r w:rsidR="00BB40BA">
        <w:rPr>
          <w:rFonts w:eastAsiaTheme="minorEastAsia"/>
          <w:lang w:eastAsia="zh-CN"/>
        </w:rPr>
        <w:t>s</w:t>
      </w:r>
      <w:r w:rsidR="00C81B69">
        <w:rPr>
          <w:rFonts w:eastAsiaTheme="minorEastAsia" w:hint="eastAsia"/>
          <w:lang w:eastAsia="zh-CN"/>
        </w:rPr>
        <w:t xml:space="preserve"> according to SIB-1 UL-DL configuration</w:t>
      </w:r>
      <w:r w:rsidR="00BB40BA">
        <w:rPr>
          <w:rFonts w:eastAsiaTheme="minorEastAsia"/>
          <w:lang w:eastAsia="zh-CN"/>
        </w:rPr>
        <w:t>.  The eNB could avoid scheduling the legacy UEs on the new special subframe.   The addition of special subframes would reduce the interval between DL and UL slot-based TTI</w:t>
      </w:r>
      <w:r w:rsidR="005C2573">
        <w:rPr>
          <w:rFonts w:eastAsiaTheme="minorEastAsia" w:hint="eastAsia"/>
          <w:lang w:eastAsia="zh-CN"/>
        </w:rPr>
        <w:t xml:space="preserve"> and makes the DL and UL resources more evenly distributed in </w:t>
      </w:r>
      <w:r w:rsidR="005C2573">
        <w:rPr>
          <w:rFonts w:eastAsiaTheme="minorEastAsia"/>
          <w:lang w:eastAsia="zh-CN"/>
        </w:rPr>
        <w:t>the</w:t>
      </w:r>
      <w:r w:rsidR="005C2573">
        <w:rPr>
          <w:rFonts w:eastAsiaTheme="minorEastAsia" w:hint="eastAsia"/>
          <w:lang w:eastAsia="zh-CN"/>
        </w:rPr>
        <w:t xml:space="preserve"> radio frame</w:t>
      </w:r>
      <w:r w:rsidR="00BB40BA">
        <w:rPr>
          <w:rFonts w:eastAsiaTheme="minorEastAsia"/>
          <w:lang w:eastAsia="zh-CN"/>
        </w:rPr>
        <w:t xml:space="preserve">.  Thus, the </w:t>
      </w:r>
      <w:r w:rsidR="005C2573">
        <w:rPr>
          <w:rFonts w:eastAsiaTheme="minorEastAsia" w:hint="eastAsia"/>
          <w:lang w:eastAsia="zh-CN"/>
        </w:rPr>
        <w:t>U-plane latency for both DL and UL</w:t>
      </w:r>
      <w:r w:rsidR="00BB40BA">
        <w:rPr>
          <w:rFonts w:eastAsiaTheme="minorEastAsia"/>
          <w:lang w:eastAsia="zh-CN"/>
        </w:rPr>
        <w:t xml:space="preserve"> </w:t>
      </w:r>
      <w:r w:rsidR="005C2573">
        <w:rPr>
          <w:rFonts w:eastAsiaTheme="minorEastAsia" w:hint="eastAsia"/>
          <w:lang w:eastAsia="zh-CN"/>
        </w:rPr>
        <w:t xml:space="preserve">can  </w:t>
      </w:r>
      <w:r w:rsidR="00BB40BA">
        <w:rPr>
          <w:rFonts w:eastAsiaTheme="minorEastAsia"/>
          <w:lang w:eastAsia="zh-CN"/>
        </w:rPr>
        <w:t xml:space="preserve"> be reduced. </w:t>
      </w:r>
    </w:p>
    <w:p w:rsidR="00346975" w:rsidRDefault="000B2853" w:rsidP="00AC584C">
      <w:pPr>
        <w:rPr>
          <w:lang w:eastAsia="zh-CN"/>
        </w:rPr>
      </w:pPr>
      <w:r>
        <w:rPr>
          <w:noProof/>
          <w:lang w:val="en-US" w:eastAsia="zh-CN"/>
        </w:rPr>
        <w:pict>
          <v:shape id="_x0000_s1032" type="#_x0000_t75" style="position:absolute;margin-left:93.8pt;margin-top:14.7pt;width:260.5pt;height:71.5pt;z-index:251658240">
            <v:imagedata r:id="rId12" o:title=""/>
          </v:shape>
          <o:OLEObject Type="Embed" ProgID="Visio.Drawing.11" ShapeID="_x0000_s1032" DrawAspect="Content" ObjectID="_1508392770" r:id="rId13"/>
        </w:pict>
      </w:r>
    </w:p>
    <w:p w:rsidR="00346975" w:rsidRDefault="00346975" w:rsidP="00AC584C">
      <w:pPr>
        <w:rPr>
          <w:lang w:eastAsia="ja-JP"/>
        </w:rPr>
      </w:pPr>
    </w:p>
    <w:p w:rsidR="00346975" w:rsidRDefault="00346975" w:rsidP="00AC584C">
      <w:pPr>
        <w:rPr>
          <w:lang w:eastAsia="ja-JP"/>
        </w:rPr>
      </w:pPr>
    </w:p>
    <w:p w:rsidR="00346975" w:rsidRDefault="00346975" w:rsidP="00AC584C">
      <w:pPr>
        <w:rPr>
          <w:lang w:eastAsia="ja-JP"/>
        </w:rPr>
      </w:pPr>
    </w:p>
    <w:p w:rsidR="00346975" w:rsidRDefault="000B2853" w:rsidP="00C84E5C">
      <w:pPr>
        <w:jc w:val="center"/>
        <w:rPr>
          <w:lang w:eastAsia="ja-JP"/>
        </w:rPr>
      </w:pPr>
      <w:r>
        <w:rPr>
          <w:noProof/>
          <w:lang w:val="en-US" w:eastAsia="zh-CN"/>
        </w:rPr>
        <w:pict>
          <v:shape id="_x0000_s1033" type="#_x0000_t75" style="position:absolute;left:0;text-align:left;margin-left:96.8pt;margin-top:9.7pt;width:261pt;height:71.65pt;z-index:251659264">
            <v:imagedata r:id="rId14" o:title=""/>
          </v:shape>
          <o:OLEObject Type="Embed" ProgID="Visio.Drawing.11" ShapeID="_x0000_s1033" DrawAspect="Content" ObjectID="_1508392771" r:id="rId15"/>
        </w:pict>
      </w:r>
    </w:p>
    <w:p w:rsidR="00346975" w:rsidRDefault="00346975" w:rsidP="00AC584C">
      <w:pPr>
        <w:rPr>
          <w:lang w:eastAsia="ja-JP"/>
        </w:rPr>
      </w:pPr>
    </w:p>
    <w:p w:rsidR="00346975" w:rsidRDefault="00346975" w:rsidP="00AC584C">
      <w:pPr>
        <w:rPr>
          <w:lang w:eastAsia="ja-JP"/>
        </w:rPr>
      </w:pPr>
    </w:p>
    <w:p w:rsidR="00346975" w:rsidRDefault="00346975" w:rsidP="00C84E5C">
      <w:pPr>
        <w:jc w:val="center"/>
        <w:rPr>
          <w:lang w:eastAsia="ja-JP"/>
        </w:rPr>
      </w:pPr>
    </w:p>
    <w:p w:rsidR="00FD35D9" w:rsidRDefault="00C84E5C" w:rsidP="000B3B91">
      <w:pPr>
        <w:pStyle w:val="af9"/>
        <w:jc w:val="center"/>
        <w:rPr>
          <w:rFonts w:eastAsiaTheme="minorEastAsia"/>
          <w:noProof/>
          <w:lang w:eastAsia="zh-CN"/>
        </w:rPr>
      </w:pPr>
      <w:bookmarkStart w:id="4" w:name="_Ref434439416"/>
      <w:r>
        <w:t xml:space="preserve">Figure </w:t>
      </w:r>
      <w:r w:rsidR="000B2853">
        <w:fldChar w:fldCharType="begin"/>
      </w:r>
      <w:r w:rsidR="009821B3">
        <w:instrText xml:space="preserve"> SEQ Figure \* ARABIC </w:instrText>
      </w:r>
      <w:r w:rsidR="000B2853">
        <w:fldChar w:fldCharType="separate"/>
      </w:r>
      <w:r w:rsidR="005E2DC6">
        <w:rPr>
          <w:noProof/>
        </w:rPr>
        <w:t>3</w:t>
      </w:r>
      <w:r w:rsidR="000B2853">
        <w:fldChar w:fldCharType="end"/>
      </w:r>
      <w:bookmarkEnd w:id="4"/>
      <w:r>
        <w:rPr>
          <w:noProof/>
        </w:rPr>
        <w:t>: Example of 5 ms (top) and 10 ms (bottom) switching periodicity</w:t>
      </w:r>
    </w:p>
    <w:p w:rsidR="000B2853" w:rsidRDefault="004525F4">
      <w:pPr>
        <w:keepNext/>
        <w:jc w:val="center"/>
      </w:pPr>
      <w:r w:rsidRPr="00A87D89">
        <w:rPr>
          <w:rFonts w:eastAsiaTheme="minorEastAsia"/>
          <w:lang w:eastAsia="zh-CN"/>
        </w:rPr>
        <w:object w:dxaOrig="6863" w:dyaOrig="1888">
          <v:shape id="_x0000_i1027" type="#_x0000_t75" style="width:343.35pt;height:94.55pt" o:ole="">
            <v:imagedata r:id="rId16" o:title=""/>
          </v:shape>
          <o:OLEObject Type="Embed" ProgID="Visio.Drawing.11" ShapeID="_x0000_i1027" DrawAspect="Content" ObjectID="_1508392767" r:id="rId17"/>
        </w:object>
      </w:r>
    </w:p>
    <w:p w:rsidR="005E2DC6" w:rsidRDefault="00511EB4" w:rsidP="00511EB4">
      <w:pPr>
        <w:pStyle w:val="af9"/>
        <w:jc w:val="center"/>
        <w:rPr>
          <w:rFonts w:eastAsiaTheme="minorEastAsia"/>
          <w:lang w:eastAsia="zh-CN"/>
        </w:rPr>
      </w:pPr>
      <w:bookmarkStart w:id="5" w:name="_Ref434566556"/>
      <w:r>
        <w:t xml:space="preserve">Figure </w:t>
      </w:r>
      <w:r w:rsidR="000B2853">
        <w:fldChar w:fldCharType="begin"/>
      </w:r>
      <w:r>
        <w:instrText xml:space="preserve"> SEQ Figure \* ARABIC </w:instrText>
      </w:r>
      <w:r w:rsidR="000B2853">
        <w:fldChar w:fldCharType="separate"/>
      </w:r>
      <w:r w:rsidR="005E2DC6">
        <w:rPr>
          <w:noProof/>
        </w:rPr>
        <w:t>4</w:t>
      </w:r>
      <w:r w:rsidR="000B2853">
        <w:fldChar w:fldCharType="end"/>
      </w:r>
      <w:bookmarkEnd w:id="5"/>
      <w:r>
        <w:rPr>
          <w:noProof/>
        </w:rPr>
        <w:t>: Additional special subframes for additional DL/UL switching</w:t>
      </w:r>
    </w:p>
    <w:p w:rsidR="000B2853" w:rsidRDefault="000B2853">
      <w:pPr>
        <w:rPr>
          <w:rFonts w:eastAsiaTheme="minorEastAsia"/>
          <w:lang w:eastAsia="zh-CN"/>
        </w:rPr>
      </w:pPr>
    </w:p>
    <w:p w:rsidR="000B2853" w:rsidRDefault="000B2853">
      <w:pPr>
        <w:rPr>
          <w:rFonts w:eastAsiaTheme="minorEastAsia"/>
          <w:lang w:eastAsia="zh-CN"/>
        </w:rPr>
      </w:pPr>
    </w:p>
    <w:p w:rsidR="00BC1430" w:rsidRPr="00382227" w:rsidRDefault="00AC584C" w:rsidP="00BC1430">
      <w:pPr>
        <w:pStyle w:val="3"/>
        <w:numPr>
          <w:ilvl w:val="2"/>
          <w:numId w:val="33"/>
        </w:numPr>
      </w:pPr>
      <w:r>
        <w:t xml:space="preserve"> DL System Analysis</w:t>
      </w:r>
    </w:p>
    <w:p w:rsidR="00BC1430" w:rsidRDefault="00B86F8F" w:rsidP="00BC1430">
      <w:pPr>
        <w:rPr>
          <w:lang w:eastAsia="zh-CN"/>
        </w:rPr>
      </w:pPr>
      <w:r>
        <w:rPr>
          <w:color w:val="000000"/>
        </w:rPr>
        <w:t>The design of LTE DL system to support slot-based TTI for latency reduction includes DL control channel</w:t>
      </w:r>
      <w:r w:rsidR="000B3B91">
        <w:rPr>
          <w:color w:val="000000"/>
        </w:rPr>
        <w:t>s, which include PCFICH, (E)PDCCH, PHICH</w:t>
      </w:r>
      <w:r>
        <w:rPr>
          <w:color w:val="000000"/>
        </w:rPr>
        <w:t>,</w:t>
      </w:r>
      <w:r w:rsidR="000B3B91">
        <w:rPr>
          <w:color w:val="000000"/>
        </w:rPr>
        <w:t xml:space="preserve"> and</w:t>
      </w:r>
      <w:r>
        <w:rPr>
          <w:color w:val="000000"/>
        </w:rPr>
        <w:t xml:space="preserve"> DL</w:t>
      </w:r>
      <w:r w:rsidR="000B3B91">
        <w:rPr>
          <w:color w:val="000000"/>
        </w:rPr>
        <w:t xml:space="preserve"> reference signals.     </w:t>
      </w:r>
      <w:r>
        <w:rPr>
          <w:color w:val="000000"/>
        </w:rPr>
        <w:t>A sub</w:t>
      </w:r>
      <w:r w:rsidR="000B3B91">
        <w:rPr>
          <w:color w:val="000000"/>
        </w:rPr>
        <w:t>frame is a bundling of two slot-based TTI</w:t>
      </w:r>
      <w:r>
        <w:rPr>
          <w:color w:val="000000"/>
        </w:rPr>
        <w:t xml:space="preserve">.  All legacy UEs will be scheduled and transmit on bundling of two slot-based TTI.  </w:t>
      </w:r>
    </w:p>
    <w:p w:rsidR="00BC1430" w:rsidRDefault="00B86F8F" w:rsidP="00BC1430">
      <w:pPr>
        <w:rPr>
          <w:lang w:eastAsia="zh-CN"/>
        </w:rPr>
      </w:pPr>
      <w:r>
        <w:rPr>
          <w:lang w:eastAsia="zh-CN"/>
        </w:rPr>
        <w:t>To support slot-based TTI,</w:t>
      </w:r>
      <w:r w:rsidR="00BC1430">
        <w:rPr>
          <w:lang w:eastAsia="zh-CN"/>
        </w:rPr>
        <w:t xml:space="preserve"> several aspects in the air interface need to be enhanced as follows,</w:t>
      </w:r>
    </w:p>
    <w:p w:rsidR="00BC1430" w:rsidRDefault="00BC1430" w:rsidP="00BC1430">
      <w:pPr>
        <w:numPr>
          <w:ilvl w:val="0"/>
          <w:numId w:val="35"/>
        </w:numPr>
        <w:spacing w:after="0"/>
        <w:rPr>
          <w:lang w:eastAsia="zh-CN"/>
        </w:rPr>
      </w:pPr>
      <w:r>
        <w:rPr>
          <w:lang w:eastAsia="zh-CN"/>
        </w:rPr>
        <w:t xml:space="preserve">DL control signals and channel (PDCCH/EPDCCH) –  DL and UL scheduling grants are sent on PDCCH or EPDCCH.   Both PDCCH and EPDCCH are designed to schedule DL and UL transmissions for TTI in a subframe or more.  PDCCH and EPDCCH needs to be enhanced in order to schedule DL and UL transmissions on each slot.   </w:t>
      </w:r>
    </w:p>
    <w:p w:rsidR="000B3B91" w:rsidRDefault="000B3B91" w:rsidP="000B3B91">
      <w:pPr>
        <w:spacing w:after="0"/>
        <w:ind w:left="720"/>
        <w:rPr>
          <w:lang w:eastAsia="zh-CN"/>
        </w:rPr>
      </w:pPr>
    </w:p>
    <w:p w:rsidR="00BC1430" w:rsidRDefault="000B3B91" w:rsidP="00BC1430">
      <w:pPr>
        <w:numPr>
          <w:ilvl w:val="1"/>
          <w:numId w:val="35"/>
        </w:numPr>
        <w:spacing w:after="0"/>
        <w:rPr>
          <w:lang w:eastAsia="zh-CN"/>
        </w:rPr>
      </w:pPr>
      <w:r>
        <w:rPr>
          <w:lang w:eastAsia="zh-CN"/>
        </w:rPr>
        <w:t xml:space="preserve">PDCCH enhancement for </w:t>
      </w:r>
      <w:r w:rsidR="00BC1430">
        <w:rPr>
          <w:lang w:eastAsia="zh-CN"/>
        </w:rPr>
        <w:t>slot-based TTI – PDCCH occupies full</w:t>
      </w:r>
      <w:r>
        <w:rPr>
          <w:lang w:eastAsia="zh-CN"/>
        </w:rPr>
        <w:t xml:space="preserve"> system bandwidth and allocates</w:t>
      </w:r>
      <w:r w:rsidR="00BC1430">
        <w:rPr>
          <w:lang w:eastAsia="zh-CN"/>
        </w:rPr>
        <w:t xml:space="preserve"> at 1</w:t>
      </w:r>
      <w:r w:rsidR="00BC1430" w:rsidRPr="007066B2">
        <w:rPr>
          <w:vertAlign w:val="superscript"/>
          <w:lang w:eastAsia="zh-CN"/>
        </w:rPr>
        <w:t>st</w:t>
      </w:r>
      <w:r>
        <w:rPr>
          <w:lang w:eastAsia="zh-CN"/>
        </w:rPr>
        <w:t xml:space="preserve"> three symbols of first slot.  T</w:t>
      </w:r>
      <w:r w:rsidR="00BC1430">
        <w:rPr>
          <w:lang w:eastAsia="zh-CN"/>
        </w:rPr>
        <w:t>he slot-based TTI needs to have scheduling grant for resource allocation of 2</w:t>
      </w:r>
      <w:r w:rsidR="00BC1430" w:rsidRPr="0077511E">
        <w:rPr>
          <w:vertAlign w:val="superscript"/>
          <w:lang w:eastAsia="zh-CN"/>
        </w:rPr>
        <w:t>nd</w:t>
      </w:r>
      <w:r w:rsidR="00BC1430">
        <w:rPr>
          <w:lang w:eastAsia="zh-CN"/>
        </w:rPr>
        <w:t xml:space="preserve"> slot in a subframe</w:t>
      </w:r>
      <w:r>
        <w:rPr>
          <w:lang w:eastAsia="zh-CN"/>
        </w:rPr>
        <w:t xml:space="preserve"> with PDCCH</w:t>
      </w:r>
      <w:r w:rsidR="00BC1430">
        <w:rPr>
          <w:lang w:eastAsia="zh-CN"/>
        </w:rPr>
        <w:t>.   PDCCH could not be introduced at the 2</w:t>
      </w:r>
      <w:r w:rsidR="00BC1430" w:rsidRPr="00E24E95">
        <w:rPr>
          <w:vertAlign w:val="superscript"/>
          <w:lang w:eastAsia="zh-CN"/>
        </w:rPr>
        <w:t>nd</w:t>
      </w:r>
      <w:r w:rsidR="00BC1430">
        <w:rPr>
          <w:lang w:eastAsia="zh-CN"/>
        </w:rPr>
        <w:t xml:space="preserve"> slot for the support of legacy UEs.   The possible solutions of scheduling for the 2</w:t>
      </w:r>
      <w:r w:rsidR="00BC1430" w:rsidRPr="00E24E95">
        <w:rPr>
          <w:vertAlign w:val="superscript"/>
          <w:lang w:eastAsia="zh-CN"/>
        </w:rPr>
        <w:t>nd</w:t>
      </w:r>
      <w:r w:rsidR="00BC1430">
        <w:rPr>
          <w:lang w:eastAsia="zh-CN"/>
        </w:rPr>
        <w:t xml:space="preserve"> slot are in the following, </w:t>
      </w:r>
    </w:p>
    <w:p w:rsidR="00BC1430" w:rsidRDefault="00BC1430" w:rsidP="00BC1430">
      <w:pPr>
        <w:ind w:left="2160"/>
        <w:rPr>
          <w:lang w:eastAsia="zh-CN"/>
        </w:rPr>
      </w:pPr>
    </w:p>
    <w:p w:rsidR="00BC1430" w:rsidRDefault="00BC1430" w:rsidP="00BC1430">
      <w:pPr>
        <w:numPr>
          <w:ilvl w:val="2"/>
          <w:numId w:val="35"/>
        </w:numPr>
        <w:spacing w:after="0"/>
        <w:rPr>
          <w:lang w:eastAsia="zh-CN"/>
        </w:rPr>
      </w:pPr>
      <w:r>
        <w:rPr>
          <w:lang w:eastAsia="zh-CN"/>
        </w:rPr>
        <w:t>PDCCH multi-slot scheduling – each DL grant could schedule PDSCH transmissions on one or more slots in a</w:t>
      </w:r>
      <w:r w:rsidR="000B3B91">
        <w:rPr>
          <w:lang w:eastAsia="zh-CN"/>
        </w:rPr>
        <w:t xml:space="preserve"> DCI format as shown in </w:t>
      </w:r>
      <w:r w:rsidR="000B2853">
        <w:rPr>
          <w:lang w:eastAsia="zh-CN"/>
        </w:rPr>
        <w:fldChar w:fldCharType="begin"/>
      </w:r>
      <w:r w:rsidR="000B3B91">
        <w:rPr>
          <w:lang w:eastAsia="zh-CN"/>
        </w:rPr>
        <w:instrText xml:space="preserve"> REF _Ref434440512 \h </w:instrText>
      </w:r>
      <w:r w:rsidR="000B2853">
        <w:rPr>
          <w:lang w:eastAsia="zh-CN"/>
        </w:rPr>
      </w:r>
      <w:r w:rsidR="000B2853">
        <w:rPr>
          <w:lang w:eastAsia="zh-CN"/>
        </w:rPr>
        <w:fldChar w:fldCharType="separate"/>
      </w:r>
      <w:r w:rsidR="00BB40BA">
        <w:t xml:space="preserve">Figure </w:t>
      </w:r>
      <w:r w:rsidR="00BB40BA">
        <w:rPr>
          <w:noProof/>
        </w:rPr>
        <w:t>5</w:t>
      </w:r>
      <w:r w:rsidR="000B2853">
        <w:rPr>
          <w:lang w:eastAsia="zh-CN"/>
        </w:rPr>
        <w:fldChar w:fldCharType="end"/>
      </w:r>
      <w:r w:rsidR="00D11466">
        <w:rPr>
          <w:lang w:eastAsia="zh-CN"/>
        </w:rPr>
        <w:t xml:space="preserve">. </w:t>
      </w:r>
      <w:r>
        <w:rPr>
          <w:lang w:eastAsia="zh-CN"/>
        </w:rPr>
        <w:t xml:space="preserve"> An additional field of multi-slot scheduling index (MSI) is used to indicate the number of consecutive slots for PDSCH transmission.   Multi-slot scheduling will reduce the PDCCH overhead.  The number of bits for MSI should be designed to indicate the maximum number of consecutive slots for PDSCH transmission.  For 3-bit MSI included in the extension of DCI format as an example, it could indicate up to 8-consecutive slots for PDSCH transmission </w:t>
      </w:r>
    </w:p>
    <w:p w:rsidR="000B3B91" w:rsidRDefault="00BC1430" w:rsidP="000B3B91">
      <w:pPr>
        <w:keepNext/>
        <w:jc w:val="center"/>
      </w:pPr>
      <w:r>
        <w:object w:dxaOrig="7061" w:dyaOrig="2000">
          <v:shape id="_x0000_i1028" type="#_x0000_t75" style="width:322.95pt;height:91.35pt" o:ole="">
            <v:imagedata r:id="rId18" o:title=""/>
          </v:shape>
          <o:OLEObject Type="Embed" ProgID="Visio.Drawing.11" ShapeID="_x0000_i1028" DrawAspect="Content" ObjectID="_1508392768" r:id="rId19"/>
        </w:object>
      </w:r>
    </w:p>
    <w:p w:rsidR="00BC1430" w:rsidRDefault="000B3B91" w:rsidP="000B3B91">
      <w:pPr>
        <w:pStyle w:val="af9"/>
        <w:jc w:val="center"/>
        <w:rPr>
          <w:lang w:eastAsia="zh-CN"/>
        </w:rPr>
      </w:pPr>
      <w:bookmarkStart w:id="6" w:name="_Ref434440512"/>
      <w:r>
        <w:t xml:space="preserve">Figure </w:t>
      </w:r>
      <w:r w:rsidR="000B2853">
        <w:fldChar w:fldCharType="begin"/>
      </w:r>
      <w:r w:rsidR="009821B3">
        <w:instrText xml:space="preserve"> SEQ Figure \* ARABIC </w:instrText>
      </w:r>
      <w:r w:rsidR="000B2853">
        <w:fldChar w:fldCharType="separate"/>
      </w:r>
      <w:r w:rsidR="005E2DC6">
        <w:rPr>
          <w:noProof/>
        </w:rPr>
        <w:t>5</w:t>
      </w:r>
      <w:r w:rsidR="000B2853">
        <w:fldChar w:fldCharType="end"/>
      </w:r>
      <w:bookmarkEnd w:id="6"/>
      <w:r>
        <w:rPr>
          <w:noProof/>
        </w:rPr>
        <w:t>: Multi-slot scheduling for slot-based TTI</w:t>
      </w:r>
    </w:p>
    <w:p w:rsidR="00BC1430" w:rsidRDefault="00BC1430" w:rsidP="00BC1430">
      <w:pPr>
        <w:numPr>
          <w:ilvl w:val="2"/>
          <w:numId w:val="35"/>
        </w:numPr>
        <w:spacing w:after="0"/>
        <w:rPr>
          <w:lang w:eastAsia="zh-CN"/>
        </w:rPr>
      </w:pPr>
      <w:r>
        <w:rPr>
          <w:lang w:eastAsia="zh-CN"/>
        </w:rPr>
        <w:t>PDCCH cross-slot scheduling – cross-slot scheduling is to use 1-bit cross-slot indication (CI) to indicate the scheduling grant is for 1</w:t>
      </w:r>
      <w:r w:rsidRPr="00DA7EFD">
        <w:rPr>
          <w:vertAlign w:val="superscript"/>
          <w:lang w:eastAsia="zh-CN"/>
        </w:rPr>
        <w:t>st</w:t>
      </w:r>
      <w:r>
        <w:rPr>
          <w:lang w:eastAsia="zh-CN"/>
        </w:rPr>
        <w:t xml:space="preserve"> or 2</w:t>
      </w:r>
      <w:r w:rsidRPr="00DA7EFD">
        <w:rPr>
          <w:vertAlign w:val="superscript"/>
          <w:lang w:eastAsia="zh-CN"/>
        </w:rPr>
        <w:t>nd</w:t>
      </w:r>
      <w:r>
        <w:rPr>
          <w:lang w:eastAsia="zh-CN"/>
        </w:rPr>
        <w:t xml:space="preserve"> slot of PDSCH t</w:t>
      </w:r>
      <w:r w:rsidR="00D11466">
        <w:rPr>
          <w:lang w:eastAsia="zh-CN"/>
        </w:rPr>
        <w:t xml:space="preserve">ransmission as shown in </w:t>
      </w:r>
      <w:r w:rsidR="000B2853">
        <w:rPr>
          <w:lang w:eastAsia="zh-CN"/>
        </w:rPr>
        <w:fldChar w:fldCharType="begin"/>
      </w:r>
      <w:r w:rsidR="00D11466">
        <w:rPr>
          <w:lang w:eastAsia="zh-CN"/>
        </w:rPr>
        <w:instrText xml:space="preserve"> REF _Ref434440597 \h </w:instrText>
      </w:r>
      <w:r w:rsidR="000B2853">
        <w:rPr>
          <w:lang w:eastAsia="zh-CN"/>
        </w:rPr>
      </w:r>
      <w:r w:rsidR="000B2853">
        <w:rPr>
          <w:lang w:eastAsia="zh-CN"/>
        </w:rPr>
        <w:fldChar w:fldCharType="separate"/>
      </w:r>
      <w:r w:rsidR="00BB40BA">
        <w:t xml:space="preserve">Figure </w:t>
      </w:r>
      <w:r w:rsidR="00BB40BA">
        <w:rPr>
          <w:noProof/>
          <w:lang w:eastAsia="zh-CN"/>
        </w:rPr>
        <w:t>6</w:t>
      </w:r>
      <w:r w:rsidR="000B2853">
        <w:rPr>
          <w:lang w:eastAsia="zh-CN"/>
        </w:rPr>
        <w:fldChar w:fldCharType="end"/>
      </w:r>
      <w:r>
        <w:rPr>
          <w:lang w:eastAsia="zh-CN"/>
        </w:rPr>
        <w:t xml:space="preserve">.  </w:t>
      </w:r>
    </w:p>
    <w:p w:rsidR="00BC1430" w:rsidRDefault="00BC1430" w:rsidP="00BC1430">
      <w:pPr>
        <w:rPr>
          <w:lang w:eastAsia="zh-CN"/>
        </w:rPr>
      </w:pPr>
    </w:p>
    <w:p w:rsidR="000B3B91" w:rsidRDefault="00BC1430" w:rsidP="000B3B91">
      <w:pPr>
        <w:keepNext/>
        <w:jc w:val="center"/>
      </w:pPr>
      <w:r>
        <w:object w:dxaOrig="7061" w:dyaOrig="2000">
          <v:shape id="_x0000_i1029" type="#_x0000_t75" style="width:322.95pt;height:91.35pt" o:ole="">
            <v:imagedata r:id="rId20" o:title=""/>
          </v:shape>
          <o:OLEObject Type="Embed" ProgID="Visio.Drawing.11" ShapeID="_x0000_i1029" DrawAspect="Content" ObjectID="_1508392769" r:id="rId21"/>
        </w:object>
      </w:r>
    </w:p>
    <w:p w:rsidR="00BC1430" w:rsidRPr="000B3B91" w:rsidRDefault="000B3B91" w:rsidP="000B3B91">
      <w:pPr>
        <w:pStyle w:val="af9"/>
        <w:jc w:val="center"/>
        <w:rPr>
          <w:lang w:eastAsia="zh-CN"/>
        </w:rPr>
      </w:pPr>
      <w:bookmarkStart w:id="7" w:name="_Ref434440597"/>
      <w:r>
        <w:t xml:space="preserve">Figure </w:t>
      </w:r>
      <w:r w:rsidR="000B2853">
        <w:rPr>
          <w:lang w:eastAsia="zh-CN"/>
        </w:rPr>
        <w:fldChar w:fldCharType="begin"/>
      </w:r>
      <w:r>
        <w:rPr>
          <w:lang w:eastAsia="zh-CN"/>
        </w:rPr>
        <w:instrText xml:space="preserve"> SEQ Figure \* ARABIC </w:instrText>
      </w:r>
      <w:r w:rsidR="000B2853">
        <w:rPr>
          <w:lang w:eastAsia="zh-CN"/>
        </w:rPr>
        <w:fldChar w:fldCharType="separate"/>
      </w:r>
      <w:r w:rsidR="005E2DC6">
        <w:rPr>
          <w:noProof/>
          <w:lang w:eastAsia="zh-CN"/>
        </w:rPr>
        <w:t>6</w:t>
      </w:r>
      <w:r w:rsidR="000B2853">
        <w:rPr>
          <w:lang w:eastAsia="zh-CN"/>
        </w:rPr>
        <w:fldChar w:fldCharType="end"/>
      </w:r>
      <w:bookmarkEnd w:id="7"/>
      <w:r>
        <w:rPr>
          <w:noProof/>
        </w:rPr>
        <w:t>: Cross-slot scheduling for slot-based TTI</w:t>
      </w:r>
    </w:p>
    <w:p w:rsidR="00BC1430" w:rsidRDefault="00BC1430" w:rsidP="00BC1430">
      <w:pPr>
        <w:numPr>
          <w:ilvl w:val="1"/>
          <w:numId w:val="35"/>
        </w:numPr>
        <w:spacing w:after="0"/>
        <w:rPr>
          <w:lang w:eastAsia="zh-CN"/>
        </w:rPr>
      </w:pPr>
      <w:r>
        <w:rPr>
          <w:lang w:eastAsia="zh-CN"/>
        </w:rPr>
        <w:t>EPDCCH enhancement for slot-based TTI – EPDCCH</w:t>
      </w:r>
      <w:r>
        <w:t xml:space="preserve"> is configured on a set physical resource-block pairs for a UE to monitor.   Additional EPDCCH formats</w:t>
      </w:r>
      <w:r w:rsidR="00D11466">
        <w:t xml:space="preserve"> and associated DM RS within a slot</w:t>
      </w:r>
      <w:r>
        <w:t xml:space="preserve"> are needed to support RE mapping and DM RS  based on a resource block instead of resource block pair.</w:t>
      </w:r>
    </w:p>
    <w:p w:rsidR="00BC1430" w:rsidRDefault="00BC1430" w:rsidP="00BC1430">
      <w:pPr>
        <w:ind w:left="1440"/>
        <w:rPr>
          <w:lang w:eastAsia="zh-CN"/>
        </w:rPr>
      </w:pPr>
    </w:p>
    <w:p w:rsidR="00BC1430" w:rsidRDefault="00BC1430" w:rsidP="00BC1430">
      <w:pPr>
        <w:numPr>
          <w:ilvl w:val="1"/>
          <w:numId w:val="35"/>
        </w:numPr>
        <w:spacing w:after="0"/>
        <w:rPr>
          <w:lang w:eastAsia="zh-CN"/>
        </w:rPr>
      </w:pPr>
      <w:r>
        <w:rPr>
          <w:lang w:eastAsia="zh-CN"/>
        </w:rPr>
        <w:t xml:space="preserve">DCI formats enhancement – Additional field, such as MSI or CI, are needed to support multi-slot scheduling or cross-slot scheduling respectively, is needed for PDCCH.   Thus, DL DCI format, such as DCI format 1, 1A, 1B, 1D, 2, 2A, 2B, 2C, 2D, needs to enhance with extension field of MSI or CI for the support of multi-slot or cross-slot scheduling.  </w:t>
      </w:r>
    </w:p>
    <w:p w:rsidR="00BC1430" w:rsidRDefault="00BC1430" w:rsidP="00BC1430">
      <w:pPr>
        <w:ind w:left="1440"/>
        <w:rPr>
          <w:lang w:eastAsia="zh-CN"/>
        </w:rPr>
      </w:pPr>
    </w:p>
    <w:p w:rsidR="00BC1430" w:rsidRDefault="00BC1430" w:rsidP="00BC1430">
      <w:pPr>
        <w:numPr>
          <w:ilvl w:val="0"/>
          <w:numId w:val="35"/>
        </w:numPr>
        <w:spacing w:after="0"/>
        <w:rPr>
          <w:lang w:eastAsia="zh-CN"/>
        </w:rPr>
      </w:pPr>
      <w:r>
        <w:rPr>
          <w:lang w:eastAsia="zh-CN"/>
        </w:rPr>
        <w:t>PCFICH – PCFICH is used to indicate the number of PDCCH symbols within a subframe.   The number of PDCCH symbol within a subframe is determined based on the number of DL and UL scheduling grants.   For multi-slot scheduling and cross-slot scheduling PDCCH solutions.   No change of PCFICH is needed.  The number of PDCCH symbols required for 1</w:t>
      </w:r>
      <w:r w:rsidRPr="002768BC">
        <w:rPr>
          <w:vertAlign w:val="superscript"/>
          <w:lang w:eastAsia="zh-CN"/>
        </w:rPr>
        <w:t>st</w:t>
      </w:r>
      <w:r>
        <w:rPr>
          <w:lang w:eastAsia="zh-CN"/>
        </w:rPr>
        <w:t xml:space="preserve">  slot and 2</w:t>
      </w:r>
      <w:r w:rsidRPr="002768BC">
        <w:rPr>
          <w:vertAlign w:val="superscript"/>
          <w:lang w:eastAsia="zh-CN"/>
        </w:rPr>
        <w:t>nd</w:t>
      </w:r>
      <w:r>
        <w:rPr>
          <w:lang w:eastAsia="zh-CN"/>
        </w:rPr>
        <w:t xml:space="preserve"> slot should not change much.  PCFIC</w:t>
      </w:r>
      <w:r w:rsidR="00E11B9A">
        <w:rPr>
          <w:lang w:eastAsia="zh-CN"/>
        </w:rPr>
        <w:t xml:space="preserve">H does not need to be enhanced </w:t>
      </w:r>
      <w:r>
        <w:rPr>
          <w:lang w:eastAsia="zh-CN"/>
        </w:rPr>
        <w:t>for introducing new PDCCH at the 2</w:t>
      </w:r>
      <w:r w:rsidRPr="00CA47E0">
        <w:rPr>
          <w:vertAlign w:val="superscript"/>
          <w:lang w:eastAsia="zh-CN"/>
        </w:rPr>
        <w:t>nd</w:t>
      </w:r>
      <w:r>
        <w:rPr>
          <w:lang w:eastAsia="zh-CN"/>
        </w:rPr>
        <w:t xml:space="preserve"> slot solution.  </w:t>
      </w:r>
    </w:p>
    <w:p w:rsidR="00BC1430" w:rsidRDefault="00BC1430" w:rsidP="00BC1430">
      <w:pPr>
        <w:pStyle w:val="afa"/>
        <w:ind w:firstLine="400"/>
        <w:rPr>
          <w:lang w:eastAsia="zh-CN"/>
        </w:rPr>
      </w:pPr>
    </w:p>
    <w:p w:rsidR="00BC1430" w:rsidRDefault="00BC1430" w:rsidP="00BC1430">
      <w:pPr>
        <w:numPr>
          <w:ilvl w:val="0"/>
          <w:numId w:val="35"/>
        </w:numPr>
        <w:spacing w:after="0"/>
        <w:rPr>
          <w:lang w:eastAsia="zh-CN"/>
        </w:rPr>
      </w:pPr>
      <w:r>
        <w:rPr>
          <w:lang w:eastAsia="zh-CN"/>
        </w:rPr>
        <w:t xml:space="preserve">DL RS – </w:t>
      </w:r>
      <w:r w:rsidR="00E11B9A">
        <w:rPr>
          <w:lang w:eastAsia="zh-CN"/>
        </w:rPr>
        <w:t xml:space="preserve">DL RS includes CRS, CSI-RS and DM RS.   The </w:t>
      </w:r>
      <w:r>
        <w:rPr>
          <w:lang w:eastAsia="zh-CN"/>
        </w:rPr>
        <w:t>CRS and CSI-R</w:t>
      </w:r>
      <w:r w:rsidR="007F7B29">
        <w:rPr>
          <w:lang w:eastAsia="zh-CN"/>
        </w:rPr>
        <w:t xml:space="preserve">S are configured to transmit continuously across TTI for the </w:t>
      </w:r>
      <w:r>
        <w:rPr>
          <w:lang w:eastAsia="zh-CN"/>
        </w:rPr>
        <w:t>measureme</w:t>
      </w:r>
      <w:r w:rsidR="00E11B9A">
        <w:rPr>
          <w:lang w:eastAsia="zh-CN"/>
        </w:rPr>
        <w:t>nts</w:t>
      </w:r>
      <w:r w:rsidR="007F7B29">
        <w:rPr>
          <w:lang w:eastAsia="zh-CN"/>
        </w:rPr>
        <w:t xml:space="preserve"> of the radio channel</w:t>
      </w:r>
      <w:r w:rsidR="00E11B9A">
        <w:rPr>
          <w:lang w:eastAsia="zh-CN"/>
        </w:rPr>
        <w:t>.   Thus, CRS and CSI-RS do</w:t>
      </w:r>
      <w:r>
        <w:rPr>
          <w:lang w:eastAsia="zh-CN"/>
        </w:rPr>
        <w:t xml:space="preserve"> not need to be enhanced for slot-based TTI.  UE-specific reference signals, antenna port</w:t>
      </w:r>
      <w:r w:rsidR="00E11B9A">
        <w:rPr>
          <w:lang w:eastAsia="zh-CN"/>
        </w:rPr>
        <w:t>s</w:t>
      </w:r>
      <w:r>
        <w:rPr>
          <w:lang w:eastAsia="zh-CN"/>
        </w:rPr>
        <w:t xml:space="preserve"> 7-14, are designed uniformly distributed cross 2 slots in a subframe as shown in </w:t>
      </w:r>
      <w:r w:rsidR="000B2853">
        <w:rPr>
          <w:lang w:eastAsia="zh-CN"/>
        </w:rPr>
        <w:fldChar w:fldCharType="begin"/>
      </w:r>
      <w:r w:rsidR="00BB40BA">
        <w:rPr>
          <w:lang w:eastAsia="zh-CN"/>
        </w:rPr>
        <w:instrText xml:space="preserve"> REF _Ref434566919 \h </w:instrText>
      </w:r>
      <w:r w:rsidR="000B2853">
        <w:rPr>
          <w:lang w:eastAsia="zh-CN"/>
        </w:rPr>
      </w:r>
      <w:r w:rsidR="000B2853">
        <w:rPr>
          <w:lang w:eastAsia="zh-CN"/>
        </w:rPr>
        <w:fldChar w:fldCharType="separate"/>
      </w:r>
      <w:r w:rsidR="00BB40BA">
        <w:t xml:space="preserve">Figure </w:t>
      </w:r>
      <w:r w:rsidR="00BB40BA">
        <w:rPr>
          <w:noProof/>
        </w:rPr>
        <w:t>7</w:t>
      </w:r>
      <w:r w:rsidR="000B2853">
        <w:rPr>
          <w:lang w:eastAsia="zh-CN"/>
        </w:rPr>
        <w:fldChar w:fldCharType="end"/>
      </w:r>
      <w:r>
        <w:rPr>
          <w:lang w:eastAsia="zh-CN"/>
        </w:rPr>
        <w:t>.</w:t>
      </w:r>
      <w:r w:rsidR="00E11B9A">
        <w:rPr>
          <w:lang w:eastAsia="zh-CN"/>
        </w:rPr>
        <w:t xml:space="preserve">  The CDM type multiplexing of antenna ports 7-14 have time domain OCC across two slots.  In order to support slot-based TTI, the</w:t>
      </w:r>
      <w:r>
        <w:rPr>
          <w:lang w:eastAsia="zh-CN"/>
        </w:rPr>
        <w:t xml:space="preserve"> UE-specific R</w:t>
      </w:r>
      <w:r w:rsidR="00931A97">
        <w:rPr>
          <w:lang w:eastAsia="zh-CN"/>
        </w:rPr>
        <w:t>S</w:t>
      </w:r>
      <w:r>
        <w:rPr>
          <w:lang w:eastAsia="zh-CN"/>
        </w:rPr>
        <w:t xml:space="preserve"> need</w:t>
      </w:r>
      <w:r w:rsidR="00E11B9A">
        <w:rPr>
          <w:lang w:eastAsia="zh-CN"/>
        </w:rPr>
        <w:t>s</w:t>
      </w:r>
      <w:r>
        <w:rPr>
          <w:lang w:eastAsia="zh-CN"/>
        </w:rPr>
        <w:t xml:space="preserve"> to be enhanced </w:t>
      </w:r>
      <w:r w:rsidR="00E11B9A">
        <w:rPr>
          <w:lang w:eastAsia="zh-CN"/>
        </w:rPr>
        <w:t xml:space="preserve">without OCC across the slots </w:t>
      </w:r>
      <w:r>
        <w:rPr>
          <w:lang w:eastAsia="zh-CN"/>
        </w:rPr>
        <w:t>for slot-based TTI operation.</w:t>
      </w:r>
    </w:p>
    <w:p w:rsidR="00BC1430" w:rsidRDefault="00BC1430" w:rsidP="00BC1430">
      <w:pPr>
        <w:rPr>
          <w:lang w:eastAsia="zh-CN"/>
        </w:rPr>
      </w:pPr>
    </w:p>
    <w:p w:rsidR="00650A29" w:rsidRDefault="00BC1430" w:rsidP="00650A29">
      <w:pPr>
        <w:pStyle w:val="afa"/>
        <w:keepNext/>
        <w:ind w:firstLine="400"/>
        <w:jc w:val="center"/>
      </w:pPr>
      <w:r>
        <w:rPr>
          <w:noProof/>
          <w:lang w:eastAsia="zh-CN"/>
        </w:rPr>
        <w:drawing>
          <wp:inline distT="0" distB="0" distL="0" distR="0">
            <wp:extent cx="4256405" cy="168719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4256405" cy="1687195"/>
                    </a:xfrm>
                    <a:prstGeom prst="rect">
                      <a:avLst/>
                    </a:prstGeom>
                    <a:noFill/>
                    <a:ln w="9525">
                      <a:noFill/>
                      <a:miter lim="800000"/>
                      <a:headEnd/>
                      <a:tailEnd/>
                    </a:ln>
                  </pic:spPr>
                </pic:pic>
              </a:graphicData>
            </a:graphic>
          </wp:inline>
        </w:drawing>
      </w:r>
    </w:p>
    <w:p w:rsidR="00BC1430" w:rsidRDefault="00650A29" w:rsidP="00650A29">
      <w:pPr>
        <w:pStyle w:val="af9"/>
        <w:jc w:val="center"/>
        <w:rPr>
          <w:lang w:eastAsia="zh-CN"/>
        </w:rPr>
      </w:pPr>
      <w:bookmarkStart w:id="8" w:name="_Ref434566919"/>
      <w:r>
        <w:t xml:space="preserve">Figure </w:t>
      </w:r>
      <w:r w:rsidR="000B2853">
        <w:fldChar w:fldCharType="begin"/>
      </w:r>
      <w:r w:rsidR="009821B3">
        <w:instrText xml:space="preserve"> SEQ Figure \* ARABIC </w:instrText>
      </w:r>
      <w:r w:rsidR="000B2853">
        <w:fldChar w:fldCharType="separate"/>
      </w:r>
      <w:r w:rsidR="005E2DC6">
        <w:rPr>
          <w:noProof/>
        </w:rPr>
        <w:t>7</w:t>
      </w:r>
      <w:r w:rsidR="000B2853">
        <w:fldChar w:fldCharType="end"/>
      </w:r>
      <w:bookmarkEnd w:id="8"/>
      <w:r>
        <w:rPr>
          <w:noProof/>
        </w:rPr>
        <w:t>: UE specific RS antenna port {7, 8, 9, 10, 11, 12, 13, 14]</w:t>
      </w:r>
    </w:p>
    <w:p w:rsidR="00BC1430" w:rsidRPr="00931A97" w:rsidRDefault="00BC1430" w:rsidP="00931A97">
      <w:pPr>
        <w:jc w:val="center"/>
        <w:rPr>
          <w:b/>
          <w:bCs/>
          <w:color w:val="000000"/>
        </w:rPr>
      </w:pPr>
    </w:p>
    <w:p w:rsidR="00BC1430" w:rsidRDefault="00BC1430" w:rsidP="00AC584C">
      <w:pPr>
        <w:numPr>
          <w:ilvl w:val="0"/>
          <w:numId w:val="35"/>
        </w:numPr>
        <w:spacing w:after="0"/>
        <w:rPr>
          <w:lang w:eastAsia="zh-CN"/>
        </w:rPr>
      </w:pPr>
      <w:r>
        <w:rPr>
          <w:lang w:eastAsia="zh-CN"/>
        </w:rPr>
        <w:t>PDSCH RE mapping – PDSCH RE mapping is based on PRB-pair.  The PDSCH RE mapping and rate matching would be based on PRB for slot-based TTI operation.</w:t>
      </w:r>
    </w:p>
    <w:p w:rsidR="00AC584C" w:rsidRDefault="00AC584C" w:rsidP="00AC584C">
      <w:pPr>
        <w:spacing w:after="0"/>
        <w:ind w:left="720"/>
        <w:rPr>
          <w:lang w:eastAsia="zh-CN"/>
        </w:rPr>
      </w:pPr>
    </w:p>
    <w:p w:rsidR="00BC1430" w:rsidRDefault="00BC1430" w:rsidP="00BC1430">
      <w:pPr>
        <w:numPr>
          <w:ilvl w:val="0"/>
          <w:numId w:val="35"/>
        </w:numPr>
        <w:spacing w:after="0"/>
        <w:rPr>
          <w:lang w:eastAsia="zh-CN"/>
        </w:rPr>
      </w:pPr>
      <w:r>
        <w:rPr>
          <w:lang w:eastAsia="zh-CN"/>
        </w:rPr>
        <w:t xml:space="preserve">HARQ </w:t>
      </w:r>
      <w:r w:rsidR="00650A29">
        <w:rPr>
          <w:lang w:eastAsia="zh-CN"/>
        </w:rPr>
        <w:t>time – T</w:t>
      </w:r>
      <w:r>
        <w:rPr>
          <w:lang w:eastAsia="zh-CN"/>
        </w:rPr>
        <w:t>he</w:t>
      </w:r>
      <w:r w:rsidR="00D11466">
        <w:rPr>
          <w:lang w:eastAsia="zh-CN"/>
        </w:rPr>
        <w:t xml:space="preserve"> HA</w:t>
      </w:r>
      <w:r w:rsidR="00650A29">
        <w:rPr>
          <w:lang w:eastAsia="zh-CN"/>
        </w:rPr>
        <w:t xml:space="preserve">RQ round trip time of 8 TTI.  For slot-based TTI, the </w:t>
      </w:r>
      <w:r>
        <w:rPr>
          <w:lang w:eastAsia="zh-CN"/>
        </w:rPr>
        <w:t>latency</w:t>
      </w:r>
      <w:r w:rsidR="00650A29">
        <w:rPr>
          <w:lang w:eastAsia="zh-CN"/>
        </w:rPr>
        <w:t xml:space="preserve"> is reduced in half in the Uu </w:t>
      </w:r>
      <w:r>
        <w:rPr>
          <w:lang w:eastAsia="zh-CN"/>
        </w:rPr>
        <w:t xml:space="preserve">interface.   </w:t>
      </w:r>
    </w:p>
    <w:p w:rsidR="00BC1430" w:rsidRDefault="00BC1430" w:rsidP="00BC1430"/>
    <w:p w:rsidR="00BC1430" w:rsidRDefault="001E7EFC" w:rsidP="00BC1430">
      <w:pPr>
        <w:pStyle w:val="3"/>
        <w:numPr>
          <w:ilvl w:val="2"/>
          <w:numId w:val="33"/>
        </w:numPr>
      </w:pPr>
      <w:r>
        <w:lastRenderedPageBreak/>
        <w:t>U</w:t>
      </w:r>
      <w:r w:rsidRPr="001E7EFC">
        <w:t>L System Analysis</w:t>
      </w:r>
    </w:p>
    <w:p w:rsidR="00BC1430" w:rsidRPr="00BC1430" w:rsidRDefault="005F6C81" w:rsidP="00BC1430">
      <w:pPr>
        <w:rPr>
          <w:lang w:eastAsia="ja-JP"/>
        </w:rPr>
      </w:pPr>
      <w:r>
        <w:rPr>
          <w:color w:val="000000"/>
        </w:rPr>
        <w:t xml:space="preserve">The LTE UL system design for slot-based TTI includes </w:t>
      </w:r>
      <w:r w:rsidR="00CB6C1B">
        <w:rPr>
          <w:color w:val="000000"/>
        </w:rPr>
        <w:t xml:space="preserve">the enhancement of PUCCH, </w:t>
      </w:r>
      <w:r>
        <w:rPr>
          <w:color w:val="000000"/>
        </w:rPr>
        <w:t>PUSCH</w:t>
      </w:r>
      <w:r w:rsidR="00CB6C1B">
        <w:rPr>
          <w:color w:val="000000"/>
        </w:rPr>
        <w:t xml:space="preserve"> and RACH</w:t>
      </w:r>
      <w:r>
        <w:rPr>
          <w:color w:val="000000"/>
        </w:rPr>
        <w:t xml:space="preserve">.  SRS </w:t>
      </w:r>
      <w:r w:rsidR="00CB6C1B">
        <w:rPr>
          <w:color w:val="000000"/>
        </w:rPr>
        <w:t xml:space="preserve">does not need then enhancement for slot-based TTI structure since it </w:t>
      </w:r>
      <w:r>
        <w:rPr>
          <w:color w:val="000000"/>
        </w:rPr>
        <w:t>is sent at the last symbol of the subframe.</w:t>
      </w:r>
      <w:r w:rsidR="00CB6C1B">
        <w:rPr>
          <w:lang w:eastAsia="ja-JP"/>
        </w:rPr>
        <w:t xml:space="preserve">   The enhancement of PUSCH and PUCCH </w:t>
      </w:r>
    </w:p>
    <w:p w:rsidR="00CB6C1B" w:rsidRDefault="00CB6C1B" w:rsidP="00CB6C1B">
      <w:pPr>
        <w:numPr>
          <w:ilvl w:val="0"/>
          <w:numId w:val="38"/>
        </w:numPr>
        <w:spacing w:after="0"/>
        <w:rPr>
          <w:lang w:eastAsia="zh-CN"/>
        </w:rPr>
      </w:pPr>
      <w:r>
        <w:rPr>
          <w:lang w:eastAsia="zh-CN"/>
        </w:rPr>
        <w:t xml:space="preserve">PUSCH – the main enhancements of PUSCH for slot-based TTI are the UL RS and the RE mapping.    </w:t>
      </w:r>
    </w:p>
    <w:p w:rsidR="00CB6C1B" w:rsidRDefault="00CB6C1B" w:rsidP="00CB6C1B">
      <w:pPr>
        <w:numPr>
          <w:ilvl w:val="1"/>
          <w:numId w:val="38"/>
        </w:numPr>
        <w:spacing w:after="0"/>
        <w:rPr>
          <w:lang w:eastAsia="zh-CN"/>
        </w:rPr>
      </w:pPr>
      <w:r>
        <w:rPr>
          <w:lang w:eastAsia="zh-CN"/>
        </w:rPr>
        <w:t xml:space="preserve">The RE mapping - </w:t>
      </w:r>
      <w:r w:rsidR="00E250E1">
        <w:rPr>
          <w:lang w:eastAsia="zh-CN"/>
        </w:rPr>
        <w:t xml:space="preserve">The PUSCH RE mapping for slot-based TTI would be based on per PRB instead of PRB pair.   </w:t>
      </w:r>
    </w:p>
    <w:p w:rsidR="00CB6C1B" w:rsidRDefault="00CB6C1B" w:rsidP="00CB6C1B">
      <w:pPr>
        <w:numPr>
          <w:ilvl w:val="1"/>
          <w:numId w:val="38"/>
        </w:numPr>
        <w:spacing w:after="0"/>
        <w:rPr>
          <w:lang w:eastAsia="zh-CN"/>
        </w:rPr>
      </w:pPr>
      <w:r>
        <w:rPr>
          <w:lang w:eastAsia="zh-CN"/>
        </w:rPr>
        <w:t>UL DM RS - T</w:t>
      </w:r>
      <w:r w:rsidR="00E250E1">
        <w:rPr>
          <w:lang w:eastAsia="zh-CN"/>
        </w:rPr>
        <w:t>he UL DM RS has OCC across two RS symbol.  T</w:t>
      </w:r>
      <w:r>
        <w:rPr>
          <w:lang w:eastAsia="zh-CN"/>
        </w:rPr>
        <w:t>he</w:t>
      </w:r>
      <w:r w:rsidR="00E250E1">
        <w:rPr>
          <w:lang w:eastAsia="zh-CN"/>
        </w:rPr>
        <w:t xml:space="preserve"> DM</w:t>
      </w:r>
      <w:r>
        <w:rPr>
          <w:lang w:eastAsia="zh-CN"/>
        </w:rPr>
        <w:t xml:space="preserve"> RS needs to be enhanced without OCC across the slots for slot-based TTI operation.</w:t>
      </w:r>
      <w:r w:rsidR="00E250E1">
        <w:rPr>
          <w:lang w:eastAsia="zh-CN"/>
        </w:rPr>
        <w:t xml:space="preserve">  A</w:t>
      </w:r>
      <w:r w:rsidR="004C3234">
        <w:rPr>
          <w:lang w:eastAsia="zh-CN"/>
        </w:rPr>
        <w:t xml:space="preserve">uxiliary DM RS REs at another OFDM symbol within a slot for slot-based TTI as shown in </w:t>
      </w:r>
      <w:r w:rsidR="000B2853">
        <w:rPr>
          <w:lang w:eastAsia="zh-CN"/>
        </w:rPr>
        <w:fldChar w:fldCharType="begin"/>
      </w:r>
      <w:r w:rsidR="004C3234">
        <w:rPr>
          <w:lang w:eastAsia="zh-CN"/>
        </w:rPr>
        <w:instrText xml:space="preserve"> REF _Ref434445383 \h </w:instrText>
      </w:r>
      <w:r w:rsidR="000B2853">
        <w:rPr>
          <w:lang w:eastAsia="zh-CN"/>
        </w:rPr>
      </w:r>
      <w:r w:rsidR="000B2853">
        <w:rPr>
          <w:lang w:eastAsia="zh-CN"/>
        </w:rPr>
        <w:fldChar w:fldCharType="separate"/>
      </w:r>
      <w:r w:rsidR="00BB40BA">
        <w:t xml:space="preserve">Figure </w:t>
      </w:r>
      <w:r w:rsidR="00BB40BA">
        <w:rPr>
          <w:noProof/>
        </w:rPr>
        <w:t>8</w:t>
      </w:r>
      <w:r w:rsidR="000B2853">
        <w:rPr>
          <w:lang w:eastAsia="zh-CN"/>
        </w:rPr>
        <w:fldChar w:fldCharType="end"/>
      </w:r>
      <w:r w:rsidR="004C3234">
        <w:rPr>
          <w:lang w:eastAsia="zh-CN"/>
        </w:rPr>
        <w:t xml:space="preserve"> are needed for frequency tracking and Doppler estimation.   </w:t>
      </w:r>
    </w:p>
    <w:p w:rsidR="00E1035C" w:rsidRDefault="00E1035C" w:rsidP="00E1035C">
      <w:pPr>
        <w:numPr>
          <w:ilvl w:val="0"/>
          <w:numId w:val="38"/>
        </w:numPr>
        <w:spacing w:after="0"/>
        <w:rPr>
          <w:lang w:eastAsia="zh-CN"/>
        </w:rPr>
      </w:pPr>
      <w:r>
        <w:rPr>
          <w:lang w:eastAsia="zh-CN"/>
        </w:rPr>
        <w:t xml:space="preserve">PUCCH – all PUCCH formats are based on PRB pairs.   To support slot-based TTI, new PUCCH formats are needed for </w:t>
      </w:r>
      <w:r w:rsidR="001C7173">
        <w:rPr>
          <w:lang w:eastAsia="zh-CN"/>
        </w:rPr>
        <w:t xml:space="preserve">the </w:t>
      </w:r>
      <w:r>
        <w:rPr>
          <w:lang w:eastAsia="zh-CN"/>
        </w:rPr>
        <w:t>transport of HARQ-ACK, P-CSI, and SR</w:t>
      </w:r>
      <w:r w:rsidR="001C7173">
        <w:rPr>
          <w:lang w:eastAsia="zh-CN"/>
        </w:rPr>
        <w:t xml:space="preserve"> information.  New PUCCH formats 4 and 5 are PUSCH-like and can carry HARQ-ACK, P-CSI and SR.   A new PUSCH design for slot-based TTI could be reused for PUSCH-like PUCCH format</w:t>
      </w:r>
    </w:p>
    <w:p w:rsidR="001C7173" w:rsidRDefault="001C7173" w:rsidP="00E1035C">
      <w:pPr>
        <w:numPr>
          <w:ilvl w:val="0"/>
          <w:numId w:val="38"/>
        </w:numPr>
        <w:spacing w:after="0"/>
        <w:rPr>
          <w:lang w:eastAsia="zh-CN"/>
        </w:rPr>
      </w:pPr>
      <w:r>
        <w:rPr>
          <w:lang w:eastAsia="zh-CN"/>
        </w:rPr>
        <w:t xml:space="preserve">PRACH – The preamble sequence for PRACH is also based on a subframe based TTI or 2-subframe TTI.   A shorter RACH preamble sequence similar to PRACH format 4 should be introduced for slot-based TTI.  UE supports slot-based TTI should also support legacy PRACH preamble sequence for initial access.   </w:t>
      </w:r>
    </w:p>
    <w:p w:rsidR="00F243C7" w:rsidRDefault="00F243C7" w:rsidP="00F243C7">
      <w:pPr>
        <w:ind w:left="1440" w:hanging="1440"/>
        <w:rPr>
          <w:b/>
          <w:bCs/>
          <w:u w:val="single"/>
        </w:rPr>
      </w:pPr>
    </w:p>
    <w:p w:rsidR="00E250E1" w:rsidRDefault="00E250E1" w:rsidP="00E250E1">
      <w:pPr>
        <w:keepNext/>
        <w:jc w:val="center"/>
      </w:pPr>
      <w:r w:rsidRPr="00E250E1">
        <w:rPr>
          <w:b/>
          <w:noProof/>
          <w:lang w:val="en-US" w:eastAsia="zh-CN"/>
        </w:rPr>
        <w:drawing>
          <wp:inline distT="0" distB="0" distL="0" distR="0">
            <wp:extent cx="2463800" cy="1644650"/>
            <wp:effectExtent l="0" t="0" r="0" b="0"/>
            <wp:docPr id="1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24336" cy="2303676"/>
                      <a:chOff x="5940152" y="2060848"/>
                      <a:chExt cx="3024336" cy="2303676"/>
                    </a:xfrm>
                  </a:grpSpPr>
                  <a:grpSp>
                    <a:nvGrpSpPr>
                      <a:cNvPr id="72" name="组合 71"/>
                      <a:cNvGrpSpPr/>
                    </a:nvGrpSpPr>
                    <a:grpSpPr>
                      <a:xfrm>
                        <a:off x="5940152" y="2060848"/>
                        <a:ext cx="3024336" cy="2303676"/>
                        <a:chOff x="4932040" y="2420888"/>
                        <a:chExt cx="3024336" cy="2303676"/>
                      </a:xfrm>
                    </a:grpSpPr>
                    <a:grpSp>
                      <a:nvGrpSpPr>
                        <a:cNvPr id="3" name="组合 37"/>
                        <a:cNvGrpSpPr/>
                      </a:nvGrpSpPr>
                      <a:grpSpPr>
                        <a:xfrm>
                          <a:off x="4932040" y="2420888"/>
                          <a:ext cx="1512168" cy="1728192"/>
                          <a:chOff x="5508104" y="1772816"/>
                          <a:chExt cx="1512168" cy="1728192"/>
                        </a:xfrm>
                      </a:grpSpPr>
                      <a:sp>
                        <a:nvSpPr>
                          <a:cNvPr id="5" name="矩形 4"/>
                          <a:cNvSpPr/>
                        </a:nvSpPr>
                        <a:spPr>
                          <a:xfrm>
                            <a:off x="5508104"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直接连接符 6"/>
                          <a:cNvCxnSpPr/>
                        </a:nvCxnSpPr>
                        <a:spPr>
                          <a:xfrm>
                            <a:off x="572412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594015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a:off x="615617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637220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658822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直接连接符 15"/>
                          <a:cNvCxnSpPr/>
                        </a:nvCxnSpPr>
                        <a:spPr>
                          <a:xfrm>
                            <a:off x="680424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a:off x="5508104"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5508104"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5508104"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5508104"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5508104"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5508104"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5508104"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5508104"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5508104"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5508104"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5508104"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39" name="矩形 38"/>
                        <a:cNvSpPr/>
                      </a:nvSpPr>
                      <a:spPr>
                        <a:xfrm>
                          <a:off x="5580112"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5580112"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6228184"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5580112" y="2420888"/>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6228184"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 name="组合 43"/>
                        <a:cNvGrpSpPr/>
                      </a:nvGrpSpPr>
                      <a:grpSpPr>
                        <a:xfrm>
                          <a:off x="6444208" y="2420888"/>
                          <a:ext cx="1512168" cy="1728192"/>
                          <a:chOff x="5508104" y="1772816"/>
                          <a:chExt cx="1512168" cy="1728192"/>
                        </a:xfrm>
                      </a:grpSpPr>
                      <a:sp>
                        <a:nvSpPr>
                          <a:cNvPr id="45" name="矩形 44"/>
                          <a:cNvSpPr/>
                        </a:nvSpPr>
                        <a:spPr>
                          <a:xfrm>
                            <a:off x="5508104"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连接符 45"/>
                          <a:cNvCxnSpPr/>
                        </a:nvCxnSpPr>
                        <a:spPr>
                          <a:xfrm>
                            <a:off x="572412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594015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8" name="直接连接符 47"/>
                          <a:cNvCxnSpPr/>
                        </a:nvCxnSpPr>
                        <a:spPr>
                          <a:xfrm>
                            <a:off x="615617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637220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直接连接符 49"/>
                          <a:cNvCxnSpPr/>
                        </a:nvCxnSpPr>
                        <a:spPr>
                          <a:xfrm>
                            <a:off x="658822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a:off x="680424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2" name="直接连接符 51"/>
                          <a:cNvCxnSpPr/>
                        </a:nvCxnSpPr>
                        <a:spPr>
                          <a:xfrm>
                            <a:off x="5508104"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3" name="直接连接符 52"/>
                          <a:cNvCxnSpPr/>
                        </a:nvCxnSpPr>
                        <a:spPr>
                          <a:xfrm>
                            <a:off x="5508104"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4" name="直接连接符 53"/>
                          <a:cNvCxnSpPr/>
                        </a:nvCxnSpPr>
                        <a:spPr>
                          <a:xfrm>
                            <a:off x="5508104"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直接连接符 54"/>
                          <a:cNvCxnSpPr/>
                        </a:nvCxnSpPr>
                        <a:spPr>
                          <a:xfrm>
                            <a:off x="5508104"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 name="直接连接符 55"/>
                          <a:cNvCxnSpPr/>
                        </a:nvCxnSpPr>
                        <a:spPr>
                          <a:xfrm>
                            <a:off x="5508104"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7" name="直接连接符 56"/>
                          <a:cNvCxnSpPr/>
                        </a:nvCxnSpPr>
                        <a:spPr>
                          <a:xfrm>
                            <a:off x="5508104"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5508104"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9" name="直接连接符 58"/>
                          <a:cNvCxnSpPr/>
                        </a:nvCxnSpPr>
                        <a:spPr>
                          <a:xfrm>
                            <a:off x="5508104"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直接连接符 59"/>
                          <a:cNvCxnSpPr/>
                        </a:nvCxnSpPr>
                        <a:spPr>
                          <a:xfrm>
                            <a:off x="5508104"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直接连接符 60"/>
                          <a:cNvCxnSpPr/>
                        </a:nvCxnSpPr>
                        <a:spPr>
                          <a:xfrm>
                            <a:off x="5508104"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直接连接符 61"/>
                          <a:cNvCxnSpPr/>
                        </a:nvCxnSpPr>
                        <a:spPr>
                          <a:xfrm>
                            <a:off x="5508104"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63" name="矩形 62"/>
                        <a:cNvSpPr/>
                      </a:nvSpPr>
                      <a:spPr>
                        <a:xfrm>
                          <a:off x="7092280"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2280"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740352"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092280" y="2420888"/>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7740352"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直接箭头连接符 68"/>
                        <a:cNvCxnSpPr/>
                      </a:nvCxnSpPr>
                      <a:spPr>
                        <a:xfrm>
                          <a:off x="4932040" y="4437112"/>
                          <a:ext cx="1512168"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5652120" y="4509120"/>
                          <a:ext cx="343364"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Slot</a:t>
                            </a:r>
                            <a:endParaRPr lang="en-US" sz="800" dirty="0"/>
                          </a:p>
                        </a:txBody>
                        <a:useSpRect/>
                      </a:txSp>
                    </a:sp>
                    <a:sp>
                      <a:nvSpPr>
                        <a:cNvPr id="71" name="TextBox 70"/>
                        <a:cNvSpPr txBox="1"/>
                      </a:nvSpPr>
                      <a:spPr>
                        <a:xfrm>
                          <a:off x="6516216" y="4509120"/>
                          <a:ext cx="122413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Auxiliary DMRS symbol</a:t>
                            </a:r>
                            <a:endParaRPr lang="en-US" sz="800" dirty="0"/>
                          </a:p>
                        </a:txBody>
                        <a:useSpRect/>
                      </a:txSp>
                    </a:sp>
                    <a:cxnSp>
                      <a:nvCxnSpPr>
                        <a:cNvPr id="73" name="直接箭头连接符 72"/>
                        <a:cNvCxnSpPr/>
                      </a:nvCxnSpPr>
                      <a:spPr>
                        <a:xfrm flipH="1" flipV="1">
                          <a:off x="6372200" y="4221088"/>
                          <a:ext cx="288032"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4" name="直接箭头连接符 73"/>
                        <a:cNvCxnSpPr/>
                      </a:nvCxnSpPr>
                      <a:spPr>
                        <a:xfrm flipV="1">
                          <a:off x="7452320" y="4149080"/>
                          <a:ext cx="360040" cy="43204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E250E1" w:rsidRDefault="00E250E1" w:rsidP="001C7173">
      <w:pPr>
        <w:pStyle w:val="af9"/>
        <w:jc w:val="center"/>
        <w:rPr>
          <w:lang w:eastAsia="ja-JP"/>
        </w:rPr>
      </w:pPr>
      <w:bookmarkStart w:id="9" w:name="_Ref434445383"/>
      <w:r>
        <w:t xml:space="preserve">Figure </w:t>
      </w:r>
      <w:r w:rsidR="000B2853">
        <w:fldChar w:fldCharType="begin"/>
      </w:r>
      <w:r w:rsidR="009821B3">
        <w:instrText xml:space="preserve"> SEQ Figure \* ARABIC </w:instrText>
      </w:r>
      <w:r w:rsidR="000B2853">
        <w:fldChar w:fldCharType="separate"/>
      </w:r>
      <w:r w:rsidR="005E2DC6">
        <w:rPr>
          <w:noProof/>
        </w:rPr>
        <w:t>8</w:t>
      </w:r>
      <w:r w:rsidR="000B2853">
        <w:fldChar w:fldCharType="end"/>
      </w:r>
      <w:bookmarkEnd w:id="9"/>
      <w:r>
        <w:rPr>
          <w:noProof/>
        </w:rPr>
        <w:t>:  Auxilliary DM RS symbol for UL slot-based TTI</w:t>
      </w:r>
    </w:p>
    <w:p w:rsidR="00E250E1" w:rsidRPr="00F243C7" w:rsidRDefault="00E250E1" w:rsidP="00017155">
      <w:pPr>
        <w:rPr>
          <w:lang w:eastAsia="ja-JP"/>
        </w:rPr>
      </w:pPr>
    </w:p>
    <w:p w:rsidR="006374FE" w:rsidRDefault="00650A29" w:rsidP="00AC584C">
      <w:pPr>
        <w:pStyle w:val="3"/>
      </w:pPr>
      <w:r>
        <w:t>System Analysis of Symbol-Level TTI</w:t>
      </w:r>
    </w:p>
    <w:p w:rsidR="004D3A55" w:rsidRDefault="004D3A55" w:rsidP="004D3A55">
      <w:pPr>
        <w:rPr>
          <w:lang w:eastAsia="ja-JP"/>
        </w:rPr>
      </w:pPr>
      <w:r w:rsidRPr="00B86F8F">
        <w:rPr>
          <w:lang w:eastAsia="ja-JP"/>
        </w:rPr>
        <w:t>The system configuration will be impacted when the physical layer TTI is c</w:t>
      </w:r>
      <w:r>
        <w:rPr>
          <w:lang w:eastAsia="ja-JP"/>
        </w:rPr>
        <w:t>hanged from a subframe to a symbol</w:t>
      </w:r>
      <w:r w:rsidRPr="00B86F8F">
        <w:rPr>
          <w:lang w:eastAsia="ja-JP"/>
        </w:rPr>
        <w:t xml:space="preserve">. </w:t>
      </w:r>
      <w:r>
        <w:rPr>
          <w:lang w:eastAsia="ja-JP"/>
        </w:rPr>
        <w:t xml:space="preserve"> </w:t>
      </w:r>
      <w:r w:rsidRPr="00B86F8F">
        <w:t>The resource structure of frame str</w:t>
      </w:r>
      <w:r>
        <w:t xml:space="preserve">uctures 1 and 2 in LTE needs to be </w:t>
      </w:r>
      <w:r w:rsidR="00F352B8">
        <w:t>re-</w:t>
      </w:r>
      <w:r>
        <w:t>specified</w:t>
      </w:r>
      <w:r w:rsidR="00F352B8">
        <w:t xml:space="preserve"> for </w:t>
      </w:r>
      <w:r>
        <w:t>symbol</w:t>
      </w:r>
      <w:r w:rsidR="00F352B8">
        <w:t xml:space="preserve">-based TTI.   </w:t>
      </w:r>
      <w:r w:rsidR="00BB40BA">
        <w:t xml:space="preserve">TDD </w:t>
      </w:r>
      <w:r w:rsidR="006C12EE">
        <w:t>DL/UL configuration for symbol-based TTI could</w:t>
      </w:r>
      <w:r w:rsidR="008875E8">
        <w:t xml:space="preserve"> be</w:t>
      </w:r>
      <w:r w:rsidR="006C12EE">
        <w:t xml:space="preserve"> configured within a subframe as shown in </w:t>
      </w:r>
      <w:r w:rsidR="000B2853">
        <w:fldChar w:fldCharType="begin"/>
      </w:r>
      <w:r w:rsidR="006C12EE">
        <w:instrText xml:space="preserve"> REF _Ref434569363 \h </w:instrText>
      </w:r>
      <w:r w:rsidR="000B2853">
        <w:fldChar w:fldCharType="separate"/>
      </w:r>
      <w:r w:rsidR="006C12EE">
        <w:t xml:space="preserve">Figure </w:t>
      </w:r>
      <w:r w:rsidR="006C12EE">
        <w:rPr>
          <w:noProof/>
        </w:rPr>
        <w:t>9</w:t>
      </w:r>
      <w:r w:rsidR="000B2853">
        <w:fldChar w:fldCharType="end"/>
      </w:r>
      <w:r w:rsidR="006C12EE">
        <w:t xml:space="preserve">.  </w:t>
      </w:r>
      <w:r w:rsidR="005E1489">
        <w:rPr>
          <w:rFonts w:eastAsiaTheme="minorEastAsia" w:hint="eastAsia"/>
          <w:lang w:eastAsia="zh-CN"/>
        </w:rPr>
        <w:t>There is a trade off between latency reductio</w:t>
      </w:r>
      <w:r w:rsidR="00B74DA8">
        <w:rPr>
          <w:rFonts w:eastAsiaTheme="minorEastAsia" w:hint="eastAsia"/>
          <w:lang w:eastAsia="zh-CN"/>
        </w:rPr>
        <w:t xml:space="preserve">n performance and the overhead for </w:t>
      </w:r>
      <w:r w:rsidR="005E1489">
        <w:rPr>
          <w:rFonts w:eastAsiaTheme="minorEastAsia" w:hint="eastAsia"/>
          <w:lang w:eastAsia="zh-CN"/>
        </w:rPr>
        <w:t>DL-UL switchings</w:t>
      </w:r>
      <w:r w:rsidR="00B74DA8">
        <w:rPr>
          <w:rFonts w:eastAsiaTheme="minorEastAsia" w:hint="eastAsia"/>
          <w:lang w:eastAsia="zh-CN"/>
        </w:rPr>
        <w:t xml:space="preserve">. </w:t>
      </w:r>
      <w:r w:rsidR="006C12EE">
        <w:t xml:space="preserve">The number of symbols for a gap period could also be configured </w:t>
      </w:r>
      <w:r w:rsidR="00A73169">
        <w:rPr>
          <w:rFonts w:eastAsiaTheme="minorEastAsia" w:hint="eastAsia"/>
          <w:lang w:eastAsia="zh-CN"/>
        </w:rPr>
        <w:t xml:space="preserve">flexibly </w:t>
      </w:r>
      <w:r w:rsidR="006C12EE">
        <w:t xml:space="preserve">based on the coverage area in the deployment </w:t>
      </w:r>
      <w:r w:rsidR="008875E8">
        <w:t xml:space="preserve">environment. </w:t>
      </w:r>
      <w:r w:rsidR="006C12EE">
        <w:t xml:space="preserve">  </w:t>
      </w:r>
      <w:r w:rsidR="00BB40BA">
        <w:t xml:space="preserve"> </w:t>
      </w:r>
      <w:r w:rsidR="00F352B8">
        <w:t xml:space="preserve"> Both DL and UL physical channels and reference signals need to be enhanced to support </w:t>
      </w:r>
      <w:r w:rsidR="00E25FBC">
        <w:t xml:space="preserve">symbol-based TTI.  </w:t>
      </w:r>
    </w:p>
    <w:p w:rsidR="004D3A55" w:rsidRDefault="000B2853" w:rsidP="004D3A55">
      <w:pPr>
        <w:rPr>
          <w:lang w:eastAsia="ja-JP"/>
        </w:rPr>
      </w:pPr>
      <w:r>
        <w:rPr>
          <w:noProof/>
          <w:lang w:val="en-US" w:eastAsia="zh-CN"/>
        </w:rPr>
        <w:pict>
          <v:shape id="_x0000_s1040" type="#_x0000_t75" style="position:absolute;margin-left:88.65pt;margin-top:6.1pt;width:243.8pt;height:73.1pt;z-index:251660288">
            <v:imagedata r:id="rId23" o:title=""/>
          </v:shape>
          <o:OLEObject Type="Embed" ProgID="Visio.Drawing.11" ShapeID="_x0000_s1040" DrawAspect="Content" ObjectID="_1508392772" r:id="rId24"/>
        </w:pict>
      </w:r>
    </w:p>
    <w:p w:rsidR="00AD30C8" w:rsidRDefault="00AD30C8" w:rsidP="004D3A55">
      <w:pPr>
        <w:rPr>
          <w:lang w:eastAsia="ja-JP"/>
        </w:rPr>
      </w:pPr>
    </w:p>
    <w:p w:rsidR="00AD30C8" w:rsidRDefault="00AD30C8" w:rsidP="004D3A55">
      <w:pPr>
        <w:rPr>
          <w:lang w:eastAsia="ja-JP"/>
        </w:rPr>
      </w:pPr>
    </w:p>
    <w:p w:rsidR="00AD30C8" w:rsidRDefault="00AD30C8" w:rsidP="004D3A55">
      <w:pPr>
        <w:rPr>
          <w:lang w:eastAsia="ja-JP"/>
        </w:rPr>
      </w:pPr>
    </w:p>
    <w:p w:rsidR="00AD30C8" w:rsidRDefault="000B2853" w:rsidP="004D3A55">
      <w:pPr>
        <w:rPr>
          <w:lang w:eastAsia="ja-JP"/>
        </w:rPr>
      </w:pPr>
      <w:r w:rsidRPr="000B2853">
        <w:rPr>
          <w:noProof/>
        </w:rPr>
        <w:pict>
          <v:shapetype id="_x0000_t202" coordsize="21600,21600" o:spt="202" path="m,l,21600r21600,l21600,xe">
            <v:stroke joinstyle="miter"/>
            <v:path gradientshapeok="t" o:connecttype="rect"/>
          </v:shapetype>
          <v:shape id="_x0000_s1041" type="#_x0000_t202" style="position:absolute;margin-left:54.8pt;margin-top:1.65pt;width:387pt;height:32pt;z-index:251662336" stroked="f">
            <v:textbox style="mso-fit-shape-to-text:t" inset="0,0,0,0">
              <w:txbxContent>
                <w:p w:rsidR="000B2853" w:rsidRDefault="005E2DC6">
                  <w:pPr>
                    <w:pStyle w:val="af9"/>
                    <w:rPr>
                      <w:noProof/>
                    </w:rPr>
                  </w:pPr>
                  <w:bookmarkStart w:id="10" w:name="_Ref434569363"/>
                  <w:r>
                    <w:t xml:space="preserve">Figure </w:t>
                  </w:r>
                  <w:r w:rsidR="000B2853">
                    <w:fldChar w:fldCharType="begin"/>
                  </w:r>
                  <w:r>
                    <w:instrText xml:space="preserve"> SEQ Figure \* ARABIC </w:instrText>
                  </w:r>
                  <w:r w:rsidR="000B2853">
                    <w:fldChar w:fldCharType="separate"/>
                  </w:r>
                  <w:r>
                    <w:rPr>
                      <w:noProof/>
                    </w:rPr>
                    <w:t>9</w:t>
                  </w:r>
                  <w:r w:rsidR="000B2853">
                    <w:fldChar w:fldCharType="end"/>
                  </w:r>
                  <w:bookmarkEnd w:id="10"/>
                  <w:r>
                    <w:rPr>
                      <w:noProof/>
                    </w:rPr>
                    <w:t>: An example of dynamic TDD DL/UL configuration for symbol-based TTI</w:t>
                  </w:r>
                </w:p>
              </w:txbxContent>
            </v:textbox>
          </v:shape>
        </w:pict>
      </w:r>
    </w:p>
    <w:p w:rsidR="00AD30C8" w:rsidRDefault="00AD30C8" w:rsidP="004D3A55">
      <w:pPr>
        <w:rPr>
          <w:lang w:eastAsia="ja-JP"/>
        </w:rPr>
      </w:pPr>
    </w:p>
    <w:p w:rsidR="00AD30C8" w:rsidRDefault="00AD30C8" w:rsidP="004D3A55">
      <w:pPr>
        <w:rPr>
          <w:lang w:eastAsia="ja-JP"/>
        </w:rPr>
      </w:pPr>
    </w:p>
    <w:p w:rsidR="00AD30C8" w:rsidRDefault="00AD30C8" w:rsidP="004D3A55">
      <w:pPr>
        <w:rPr>
          <w:lang w:eastAsia="ja-JP"/>
        </w:rPr>
      </w:pPr>
    </w:p>
    <w:p w:rsidR="00AD30C8" w:rsidRPr="004D3A55" w:rsidRDefault="00AD30C8" w:rsidP="004D3A55">
      <w:pPr>
        <w:rPr>
          <w:lang w:eastAsia="ja-JP"/>
        </w:rPr>
      </w:pPr>
    </w:p>
    <w:p w:rsidR="00650A29" w:rsidRDefault="00650A29" w:rsidP="00650A29">
      <w:pPr>
        <w:pStyle w:val="3"/>
        <w:numPr>
          <w:ilvl w:val="2"/>
          <w:numId w:val="33"/>
        </w:numPr>
      </w:pPr>
      <w:r>
        <w:lastRenderedPageBreak/>
        <w:t>DL System Analysis</w:t>
      </w:r>
    </w:p>
    <w:p w:rsidR="008B2CC7" w:rsidRPr="00B7683E" w:rsidRDefault="00E25FBC" w:rsidP="00B7683E">
      <w:r>
        <w:rPr>
          <w:color w:val="000000"/>
        </w:rPr>
        <w:t>The enhancement</w:t>
      </w:r>
      <w:r w:rsidR="00496008">
        <w:rPr>
          <w:color w:val="000000"/>
        </w:rPr>
        <w:t>s</w:t>
      </w:r>
      <w:r>
        <w:rPr>
          <w:color w:val="000000"/>
        </w:rPr>
        <w:t xml:space="preserve"> of DL channel</w:t>
      </w:r>
      <w:r w:rsidR="00496008">
        <w:rPr>
          <w:color w:val="000000"/>
        </w:rPr>
        <w:t>s</w:t>
      </w:r>
      <w:r>
        <w:rPr>
          <w:color w:val="000000"/>
        </w:rPr>
        <w:t xml:space="preserve"> and RS </w:t>
      </w:r>
      <w:r w:rsidR="00496008">
        <w:rPr>
          <w:color w:val="000000"/>
        </w:rPr>
        <w:t>in</w:t>
      </w:r>
      <w:r>
        <w:rPr>
          <w:color w:val="000000"/>
        </w:rPr>
        <w:t xml:space="preserve"> support</w:t>
      </w:r>
      <w:r w:rsidR="00496008">
        <w:rPr>
          <w:color w:val="000000"/>
        </w:rPr>
        <w:t>ing</w:t>
      </w:r>
      <w:r>
        <w:rPr>
          <w:color w:val="000000"/>
        </w:rPr>
        <w:t xml:space="preserve"> symbol-based TTI with backward compatibility include new DL control channel</w:t>
      </w:r>
      <w:r w:rsidR="00496008">
        <w:rPr>
          <w:color w:val="000000"/>
        </w:rPr>
        <w:t xml:space="preserve">s for scheduling and </w:t>
      </w:r>
      <w:r>
        <w:rPr>
          <w:color w:val="000000"/>
        </w:rPr>
        <w:t>HARQ-ACK feedback</w:t>
      </w:r>
      <w:r w:rsidR="00496008">
        <w:rPr>
          <w:color w:val="000000"/>
        </w:rPr>
        <w:t>,</w:t>
      </w:r>
      <w:r>
        <w:rPr>
          <w:color w:val="000000"/>
        </w:rPr>
        <w:t xml:space="preserve"> and</w:t>
      </w:r>
      <w:r w:rsidR="00496008">
        <w:rPr>
          <w:color w:val="000000"/>
        </w:rPr>
        <w:t xml:space="preserve"> new</w:t>
      </w:r>
      <w:r>
        <w:rPr>
          <w:color w:val="000000"/>
        </w:rPr>
        <w:t xml:space="preserve"> RS</w:t>
      </w:r>
      <w:r w:rsidR="00496008">
        <w:rPr>
          <w:color w:val="000000"/>
        </w:rPr>
        <w:t xml:space="preserve"> pattern</w:t>
      </w:r>
      <w:r>
        <w:rPr>
          <w:color w:val="000000"/>
        </w:rPr>
        <w:t xml:space="preserve"> for channel estimation.   </w:t>
      </w:r>
    </w:p>
    <w:p w:rsidR="00661520" w:rsidRDefault="00B7683E" w:rsidP="00E259D3">
      <w:pPr>
        <w:numPr>
          <w:ilvl w:val="0"/>
          <w:numId w:val="40"/>
        </w:numPr>
        <w:rPr>
          <w:lang w:val="en-US" w:eastAsia="ja-JP"/>
        </w:rPr>
      </w:pPr>
      <w:r>
        <w:rPr>
          <w:lang w:val="en-US" w:eastAsia="ja-JP"/>
        </w:rPr>
        <w:t xml:space="preserve">New </w:t>
      </w:r>
      <w:r w:rsidR="00456BF9" w:rsidRPr="004D3A55">
        <w:rPr>
          <w:lang w:val="en-US" w:eastAsia="ja-JP"/>
        </w:rPr>
        <w:t>DL control channel (L-PDCCH)</w:t>
      </w:r>
      <w:r>
        <w:rPr>
          <w:lang w:val="en-US" w:eastAsia="ja-JP"/>
        </w:rPr>
        <w:t xml:space="preserve"> with CCEs within one OFDM symbol – The L-PDCCH could be designed similar to EPDCCH with all REs allocated within </w:t>
      </w:r>
      <w:r w:rsidR="00661520">
        <w:rPr>
          <w:lang w:val="en-US" w:eastAsia="ja-JP"/>
        </w:rPr>
        <w:t xml:space="preserve">the TTI, which is </w:t>
      </w:r>
      <w:r>
        <w:rPr>
          <w:lang w:val="en-US" w:eastAsia="ja-JP"/>
        </w:rPr>
        <w:t xml:space="preserve">an OFDM symbol.   </w:t>
      </w:r>
      <w:r w:rsidR="00661520">
        <w:rPr>
          <w:lang w:val="en-US" w:eastAsia="ja-JP"/>
        </w:rPr>
        <w:t>The considerations of  new DL control channel are as follows,</w:t>
      </w:r>
    </w:p>
    <w:p w:rsidR="0011058C" w:rsidRDefault="00661520" w:rsidP="00661520">
      <w:pPr>
        <w:numPr>
          <w:ilvl w:val="1"/>
          <w:numId w:val="40"/>
        </w:numPr>
        <w:rPr>
          <w:lang w:val="en-US" w:eastAsia="ja-JP"/>
        </w:rPr>
      </w:pPr>
      <w:r>
        <w:rPr>
          <w:lang w:val="en-US" w:eastAsia="ja-JP"/>
        </w:rPr>
        <w:t xml:space="preserve">Resource allocation of L-PDCCH – The symbol level TTI needs to be designed with backward compatibility.  The PDCCH region in each subframe would remain for legacy UEs.  The PDCCH could also be used </w:t>
      </w:r>
      <w:r w:rsidR="0011058C">
        <w:rPr>
          <w:lang w:val="en-US" w:eastAsia="ja-JP"/>
        </w:rPr>
        <w:t xml:space="preserve">for the initial access for those </w:t>
      </w:r>
      <w:r>
        <w:rPr>
          <w:lang w:val="en-US" w:eastAsia="ja-JP"/>
        </w:rPr>
        <w:t>UE</w:t>
      </w:r>
      <w:r w:rsidR="0011058C">
        <w:rPr>
          <w:lang w:val="en-US" w:eastAsia="ja-JP"/>
        </w:rPr>
        <w:t>s</w:t>
      </w:r>
      <w:r>
        <w:rPr>
          <w:lang w:val="en-US" w:eastAsia="ja-JP"/>
        </w:rPr>
        <w:t xml:space="preserve"> supporting symbol-based TTI.   A set of </w:t>
      </w:r>
      <w:r w:rsidR="00E259D3">
        <w:rPr>
          <w:lang w:val="en-US" w:eastAsia="ja-JP"/>
        </w:rPr>
        <w:t>resource</w:t>
      </w:r>
      <w:r>
        <w:rPr>
          <w:lang w:val="en-US" w:eastAsia="ja-JP"/>
        </w:rPr>
        <w:t>s</w:t>
      </w:r>
      <w:r w:rsidR="00E259D3">
        <w:rPr>
          <w:lang w:val="en-US" w:eastAsia="ja-JP"/>
        </w:rPr>
        <w:t xml:space="preserve"> for L-PDCCH could be </w:t>
      </w:r>
      <w:r>
        <w:rPr>
          <w:lang w:val="en-US" w:eastAsia="ja-JP"/>
        </w:rPr>
        <w:t>semi-statically preconfigured</w:t>
      </w:r>
      <w:r w:rsidR="00E259D3">
        <w:rPr>
          <w:lang w:val="en-US" w:eastAsia="ja-JP"/>
        </w:rPr>
        <w:t xml:space="preserve"> by higher layer signaling.   </w:t>
      </w:r>
    </w:p>
    <w:p w:rsidR="008B2CC7" w:rsidRPr="00545912" w:rsidRDefault="0011058C" w:rsidP="00545912">
      <w:pPr>
        <w:numPr>
          <w:ilvl w:val="1"/>
          <w:numId w:val="40"/>
        </w:numPr>
        <w:rPr>
          <w:lang w:val="en-US" w:eastAsia="ja-JP"/>
        </w:rPr>
      </w:pPr>
      <w:r>
        <w:rPr>
          <w:lang w:val="en-US" w:eastAsia="ja-JP"/>
        </w:rPr>
        <w:t>Scheduling flexibility – The</w:t>
      </w:r>
      <w:r w:rsidR="00736C41">
        <w:rPr>
          <w:lang w:val="en-US" w:eastAsia="ja-JP"/>
        </w:rPr>
        <w:t xml:space="preserve"> number of CCEs in one </w:t>
      </w:r>
      <w:r w:rsidR="00E259D3">
        <w:rPr>
          <w:lang w:val="en-US" w:eastAsia="ja-JP"/>
        </w:rPr>
        <w:t xml:space="preserve">L-PDCCH could </w:t>
      </w:r>
      <w:r>
        <w:rPr>
          <w:lang w:val="en-US" w:eastAsia="ja-JP"/>
        </w:rPr>
        <w:t>be designed</w:t>
      </w:r>
      <w:r w:rsidR="00736C41">
        <w:rPr>
          <w:lang w:val="en-US" w:eastAsia="ja-JP"/>
        </w:rPr>
        <w:t xml:space="preserve"> in a flexible way to allow</w:t>
      </w:r>
      <w:r w:rsidR="00790501">
        <w:rPr>
          <w:lang w:val="en-US" w:eastAsia="ja-JP"/>
        </w:rPr>
        <w:t xml:space="preserve"> carrying</w:t>
      </w:r>
      <w:r w:rsidR="00E259D3">
        <w:rPr>
          <w:lang w:val="en-US" w:eastAsia="ja-JP"/>
        </w:rPr>
        <w:t xml:space="preserve"> e</w:t>
      </w:r>
      <w:r w:rsidR="00456BF9" w:rsidRPr="00E259D3">
        <w:rPr>
          <w:lang w:val="en-US" w:eastAsia="ja-JP"/>
        </w:rPr>
        <w:t>ither</w:t>
      </w:r>
      <w:r w:rsidR="00736C41">
        <w:rPr>
          <w:lang w:val="en-US" w:eastAsia="ja-JP"/>
        </w:rPr>
        <w:t xml:space="preserve"> single or multi-user DCI information</w:t>
      </w:r>
      <w:r w:rsidR="00790501">
        <w:rPr>
          <w:lang w:val="en-US" w:eastAsia="ja-JP"/>
        </w:rPr>
        <w:t xml:space="preserve">.  The important of multi-user scheduling within a TTI is to allow the system to schedule multiple users with small payload size, such as TCP ACK packet.  Reducing latency for small packet has been shown beneficial in RAN2 study.   </w:t>
      </w:r>
    </w:p>
    <w:p w:rsidR="008B2CC7" w:rsidRDefault="00545912" w:rsidP="00B7683E">
      <w:pPr>
        <w:numPr>
          <w:ilvl w:val="1"/>
          <w:numId w:val="40"/>
        </w:numPr>
        <w:rPr>
          <w:lang w:val="en-US" w:eastAsia="ja-JP"/>
        </w:rPr>
      </w:pPr>
      <w:r w:rsidRPr="00932969">
        <w:rPr>
          <w:lang w:val="en-US" w:eastAsia="ja-JP"/>
        </w:rPr>
        <w:t>Control overhead reduction – For symbol-based TTI, the total</w:t>
      </w:r>
      <w:r w:rsidR="00C83EB9" w:rsidRPr="00932969">
        <w:rPr>
          <w:lang w:val="en-US" w:eastAsia="ja-JP"/>
        </w:rPr>
        <w:t xml:space="preserve"> number of REs are capped at 1200 REs for 20 MHz system BW. </w:t>
      </w:r>
      <w:r w:rsidR="00932969" w:rsidRPr="00932969">
        <w:rPr>
          <w:rFonts w:eastAsiaTheme="minorEastAsia" w:hint="eastAsia"/>
          <w:lang w:val="en-US" w:eastAsia="zh-CN"/>
        </w:rPr>
        <w:t xml:space="preserve"> </w:t>
      </w:r>
      <w:r w:rsidR="00932969">
        <w:rPr>
          <w:rFonts w:eastAsiaTheme="minorEastAsia"/>
          <w:lang w:val="en-US" w:eastAsia="zh-CN"/>
        </w:rPr>
        <w:t>For large file size transport with scheduling on each TTI, the control channel overhead would</w:t>
      </w:r>
      <w:r w:rsidR="00932969">
        <w:rPr>
          <w:lang w:val="en-US" w:eastAsia="ja-JP"/>
        </w:rPr>
        <w:t xml:space="preserve"> be relatively high.   Moreover, the turbo coding gain with smaller payload size would not be as good as well.</w:t>
      </w:r>
      <w:r w:rsidR="00C83EB9" w:rsidRPr="00932969">
        <w:rPr>
          <w:lang w:val="en-US" w:eastAsia="ja-JP"/>
        </w:rPr>
        <w:t xml:space="preserve">  Supporting </w:t>
      </w:r>
      <w:r w:rsidR="00932969">
        <w:rPr>
          <w:lang w:val="en-US" w:eastAsia="ja-JP"/>
        </w:rPr>
        <w:t>m</w:t>
      </w:r>
      <w:r w:rsidR="00456BF9" w:rsidRPr="00932969">
        <w:rPr>
          <w:lang w:val="en-US" w:eastAsia="ja-JP"/>
        </w:rPr>
        <w:t>ulti-symbol scheduling</w:t>
      </w:r>
      <w:r w:rsidR="00932969">
        <w:rPr>
          <w:lang w:val="en-US" w:eastAsia="ja-JP"/>
        </w:rPr>
        <w:t xml:space="preserve"> or symbol-based TTI bundling would reduce the required control channel overhead and have relative better turbo coding performance as shown </w:t>
      </w:r>
      <w:proofErr w:type="gramStart"/>
      <w:r w:rsidR="00932969">
        <w:rPr>
          <w:lang w:val="en-US" w:eastAsia="ja-JP"/>
        </w:rPr>
        <w:t xml:space="preserve">in </w:t>
      </w:r>
      <w:proofErr w:type="gramEnd"/>
      <w:r w:rsidR="000B2853">
        <w:rPr>
          <w:lang w:val="en-US" w:eastAsia="ja-JP"/>
        </w:rPr>
        <w:fldChar w:fldCharType="begin"/>
      </w:r>
      <w:r w:rsidR="00932969">
        <w:rPr>
          <w:lang w:val="en-US" w:eastAsia="ja-JP"/>
        </w:rPr>
        <w:instrText xml:space="preserve"> REF _Ref434482131 \h </w:instrText>
      </w:r>
      <w:r w:rsidR="000B2853">
        <w:rPr>
          <w:lang w:val="en-US" w:eastAsia="ja-JP"/>
        </w:rPr>
      </w:r>
      <w:r w:rsidR="000B2853">
        <w:rPr>
          <w:lang w:val="en-US" w:eastAsia="ja-JP"/>
        </w:rPr>
        <w:fldChar w:fldCharType="separate"/>
      </w:r>
      <w:r w:rsidR="000B2853">
        <w:fldChar w:fldCharType="begin"/>
      </w:r>
      <w:r w:rsidR="005E2DC6">
        <w:rPr>
          <w:lang w:val="en-US" w:eastAsia="ja-JP"/>
        </w:rPr>
        <w:instrText xml:space="preserve"> REF _Ref434482131 \h </w:instrText>
      </w:r>
      <w:r w:rsidR="000B2853">
        <w:fldChar w:fldCharType="separate"/>
      </w:r>
      <w:r w:rsidR="005E2DC6">
        <w:t xml:space="preserve">Figure </w:t>
      </w:r>
      <w:r w:rsidR="005E2DC6">
        <w:rPr>
          <w:noProof/>
        </w:rPr>
        <w:t>10</w:t>
      </w:r>
      <w:r w:rsidR="000B2853">
        <w:fldChar w:fldCharType="end"/>
      </w:r>
      <w:r w:rsidR="000B2853">
        <w:rPr>
          <w:lang w:val="en-US" w:eastAsia="ja-JP"/>
        </w:rPr>
        <w:fldChar w:fldCharType="end"/>
      </w:r>
      <w:r w:rsidR="00932969">
        <w:rPr>
          <w:lang w:val="en-US" w:eastAsia="ja-JP"/>
        </w:rPr>
        <w:t>.</w:t>
      </w:r>
    </w:p>
    <w:p w:rsidR="00496008" w:rsidRPr="00932969" w:rsidRDefault="00496008" w:rsidP="00496008">
      <w:pPr>
        <w:numPr>
          <w:ilvl w:val="0"/>
          <w:numId w:val="40"/>
        </w:numPr>
        <w:rPr>
          <w:lang w:val="en-US" w:eastAsia="ja-JP"/>
        </w:rPr>
      </w:pPr>
      <w:r>
        <w:rPr>
          <w:lang w:val="en-US" w:eastAsia="ja-JP"/>
        </w:rPr>
        <w:t>New PHICH channel –New PHICH channel should be available at each TTI for HARQ-ACK transmission.  The resource for new PHICH channel could be semi-statically allocated with dynamic indication implicitly or explicitly by UL PUSCH resource allocation.</w:t>
      </w:r>
    </w:p>
    <w:p w:rsidR="008B2CC7" w:rsidRPr="004D3A55" w:rsidRDefault="00932969" w:rsidP="00B7683E">
      <w:pPr>
        <w:numPr>
          <w:ilvl w:val="0"/>
          <w:numId w:val="40"/>
        </w:numPr>
        <w:rPr>
          <w:lang w:val="en-US" w:eastAsia="ja-JP"/>
        </w:rPr>
      </w:pPr>
      <w:r>
        <w:rPr>
          <w:lang w:val="en-US" w:eastAsia="ja-JP"/>
        </w:rPr>
        <w:t xml:space="preserve">New DM RS for demodulation and possible Channel tracking – New DM RS is need at every symbol for demodulation for symbol-based TTI.   The preferable DM RS pattern should be designed to reuse the existing channel estimation filter with spacing of 6 REs.   New DM RS pattern could also be used for channel tracking in addition to CRS.   </w:t>
      </w:r>
    </w:p>
    <w:p w:rsidR="004D3A55" w:rsidRDefault="004D3A55" w:rsidP="004D3A55">
      <w:pPr>
        <w:rPr>
          <w:lang w:val="en-US" w:eastAsia="ja-JP"/>
        </w:rPr>
      </w:pPr>
    </w:p>
    <w:p w:rsidR="00932969" w:rsidRDefault="004D3A55" w:rsidP="00932969">
      <w:pPr>
        <w:keepNext/>
        <w:jc w:val="center"/>
      </w:pPr>
      <w:r w:rsidRPr="004D3A55">
        <w:rPr>
          <w:b/>
          <w:noProof/>
          <w:lang w:val="en-US" w:eastAsia="zh-CN"/>
        </w:rPr>
        <w:drawing>
          <wp:inline distT="0" distB="0" distL="0" distR="0">
            <wp:extent cx="1454150" cy="3098800"/>
            <wp:effectExtent l="19050" t="0" r="0" b="0"/>
            <wp:docPr id="12" name="对象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08312" cy="5111988"/>
                      <a:chOff x="6156176" y="1412776"/>
                      <a:chExt cx="2808312" cy="5111988"/>
                    </a:xfrm>
                  </a:grpSpPr>
                  <a:grpSp>
                    <a:nvGrpSpPr>
                      <a:cNvPr id="30" name="组合 29"/>
                      <a:cNvGrpSpPr/>
                    </a:nvGrpSpPr>
                    <a:grpSpPr>
                      <a:xfrm>
                        <a:off x="6156176" y="1412776"/>
                        <a:ext cx="2808312" cy="5111988"/>
                        <a:chOff x="6156176" y="1412776"/>
                        <a:chExt cx="2808312" cy="5111988"/>
                      </a:xfrm>
                    </a:grpSpPr>
                    <a:sp>
                      <a:nvSpPr>
                        <a:cNvPr id="5" name="矩形 4"/>
                        <a:cNvSpPr/>
                      </a:nvSpPr>
                      <a:spPr>
                        <a:xfrm>
                          <a:off x="716428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52432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788436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824440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680424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44420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860444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44420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680424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752432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860444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444208" y="184482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444208" y="220486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444208" y="2708920"/>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6444208" y="3212976"/>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6444208" y="3717032"/>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6444208" y="4221088"/>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6444208" y="472514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444208" y="5229200"/>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6444208" y="5661248"/>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直接箭头连接符 26"/>
                        <a:cNvCxnSpPr/>
                      </a:nvCxnSpPr>
                      <a:spPr>
                        <a:xfrm>
                          <a:off x="6444208" y="6237312"/>
                          <a:ext cx="36004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6156176" y="6309320"/>
                          <a:ext cx="77938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OFDM Symbol</a:t>
                            </a:r>
                            <a:endParaRPr lang="en-US" sz="800" dirty="0"/>
                          </a:p>
                        </a:txBody>
                        <a:useSpRect/>
                      </a:txSp>
                    </a:sp>
                    <a:sp>
                      <a:nvSpPr>
                        <a:cNvPr id="29" name="TextBox 28"/>
                        <a:cNvSpPr txBox="1"/>
                      </a:nvSpPr>
                      <a:spPr>
                        <a:xfrm>
                          <a:off x="6876256" y="2852936"/>
                          <a:ext cx="460382"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 RS</a:t>
                            </a:r>
                            <a:endParaRPr lang="en-US" sz="800" dirty="0"/>
                          </a:p>
                        </a:txBody>
                        <a:useSpRect/>
                      </a:txSp>
                    </a:sp>
                    <a:cxnSp>
                      <a:nvCxnSpPr>
                        <a:cNvPr id="31" name="直接箭头连接符 30"/>
                        <a:cNvCxnSpPr/>
                      </a:nvCxnSpPr>
                      <a:spPr>
                        <a:xfrm>
                          <a:off x="7452320" y="2996952"/>
                          <a:ext cx="576064"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flipV="1">
                          <a:off x="7452320" y="2780928"/>
                          <a:ext cx="504056"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4D3A55" w:rsidRPr="004D3A55" w:rsidRDefault="00932969" w:rsidP="00932969">
      <w:pPr>
        <w:pStyle w:val="af9"/>
        <w:jc w:val="center"/>
        <w:rPr>
          <w:lang w:val="en-US" w:eastAsia="ja-JP"/>
        </w:rPr>
      </w:pPr>
      <w:bookmarkStart w:id="11" w:name="_Ref434482131"/>
      <w:r>
        <w:t xml:space="preserve">Figure </w:t>
      </w:r>
      <w:r w:rsidR="000B2853">
        <w:fldChar w:fldCharType="begin"/>
      </w:r>
      <w:r w:rsidR="009821B3">
        <w:instrText xml:space="preserve"> SEQ Figure \* ARABIC </w:instrText>
      </w:r>
      <w:r w:rsidR="000B2853">
        <w:fldChar w:fldCharType="separate"/>
      </w:r>
      <w:r w:rsidR="005E2DC6">
        <w:rPr>
          <w:noProof/>
        </w:rPr>
        <w:t>10</w:t>
      </w:r>
      <w:r w:rsidR="000B2853">
        <w:fldChar w:fldCharType="end"/>
      </w:r>
      <w:bookmarkEnd w:id="11"/>
      <w:r>
        <w:t>: An example of RS (blue) and control channel (</w:t>
      </w:r>
      <w:r>
        <w:rPr>
          <w:noProof/>
        </w:rPr>
        <w:t>Red) design for symbol-based TTI with TTI-bundling</w:t>
      </w:r>
    </w:p>
    <w:p w:rsidR="004D3A55" w:rsidRPr="004D3A55" w:rsidRDefault="004D3A55" w:rsidP="004D3A55">
      <w:pPr>
        <w:rPr>
          <w:lang w:eastAsia="ja-JP"/>
        </w:rPr>
      </w:pPr>
    </w:p>
    <w:p w:rsidR="00650A29" w:rsidRDefault="00650A29" w:rsidP="00650A29">
      <w:pPr>
        <w:pStyle w:val="3"/>
        <w:numPr>
          <w:ilvl w:val="2"/>
          <w:numId w:val="33"/>
        </w:numPr>
      </w:pPr>
      <w:r>
        <w:lastRenderedPageBreak/>
        <w:t>U</w:t>
      </w:r>
      <w:r w:rsidRPr="001E7EFC">
        <w:t>L System Analysis</w:t>
      </w:r>
    </w:p>
    <w:p w:rsidR="00496008" w:rsidRPr="00496008" w:rsidRDefault="000D13FE" w:rsidP="00496008">
      <w:r>
        <w:rPr>
          <w:color w:val="000000"/>
        </w:rPr>
        <w:t xml:space="preserve">Both PUSCH and PUCCH need to be enhanced for </w:t>
      </w:r>
      <w:r w:rsidR="00496008">
        <w:rPr>
          <w:color w:val="000000"/>
        </w:rPr>
        <w:t>symbol-based TT</w:t>
      </w:r>
      <w:r>
        <w:rPr>
          <w:color w:val="000000"/>
        </w:rPr>
        <w:t xml:space="preserve">I.   </w:t>
      </w:r>
      <w:r w:rsidR="00496008">
        <w:rPr>
          <w:color w:val="000000"/>
        </w:rPr>
        <w:t xml:space="preserve"> </w:t>
      </w:r>
      <w:r w:rsidR="008E75BD">
        <w:rPr>
          <w:color w:val="000000"/>
        </w:rPr>
        <w:t>SRS is transmitted at the last symbol of the subframe and does not need to be enhanced.   The exist PRACH could be reused for initial access</w:t>
      </w:r>
    </w:p>
    <w:p w:rsidR="008B2CC7" w:rsidRPr="008E75BD" w:rsidRDefault="00456BF9" w:rsidP="008E75BD">
      <w:pPr>
        <w:numPr>
          <w:ilvl w:val="0"/>
          <w:numId w:val="42"/>
        </w:numPr>
        <w:rPr>
          <w:lang w:val="en-US" w:eastAsia="ja-JP"/>
        </w:rPr>
      </w:pPr>
      <w:r w:rsidRPr="004D3A55">
        <w:rPr>
          <w:lang w:val="en-US" w:eastAsia="ja-JP"/>
        </w:rPr>
        <w:t>PUSCH</w:t>
      </w:r>
      <w:r w:rsidR="008E75BD">
        <w:rPr>
          <w:lang w:val="en-US" w:eastAsia="ja-JP"/>
        </w:rPr>
        <w:t xml:space="preserve"> enhancement</w:t>
      </w:r>
      <w:r w:rsidRPr="004D3A55">
        <w:rPr>
          <w:lang w:val="en-US" w:eastAsia="ja-JP"/>
        </w:rPr>
        <w:t xml:space="preserve"> –</w:t>
      </w:r>
      <w:r w:rsidR="008E75BD">
        <w:rPr>
          <w:lang w:val="en-US" w:eastAsia="ja-JP"/>
        </w:rPr>
        <w:t xml:space="preserve"> The primary enhancement of PUSCH is the DM RS.   Currently, UL DM RS is allocated at every RE of the OFDM symbol to maintain the single carrier properties.  For symbol-based TTI, the DM RS needs to be in each OFDM symbol.   There for the density of DM RS needs to be reduced and multiplexed with data REs.   The considerations of DM RS design are as follows,</w:t>
      </w:r>
    </w:p>
    <w:p w:rsidR="008E75BD" w:rsidRDefault="008E75BD" w:rsidP="008E75BD">
      <w:pPr>
        <w:numPr>
          <w:ilvl w:val="1"/>
          <w:numId w:val="42"/>
        </w:numPr>
        <w:rPr>
          <w:lang w:val="en-US" w:eastAsia="ja-JP"/>
        </w:rPr>
      </w:pPr>
      <w:r w:rsidRPr="008E75BD">
        <w:rPr>
          <w:lang w:val="en-US" w:eastAsia="ja-JP"/>
        </w:rPr>
        <w:t>PAPR – When DM</w:t>
      </w:r>
      <w:r>
        <w:rPr>
          <w:lang w:val="en-US" w:eastAsia="ja-JP"/>
        </w:rPr>
        <w:t xml:space="preserve"> RS is multiplexed with data</w:t>
      </w:r>
      <w:r w:rsidRPr="008E75BD">
        <w:rPr>
          <w:lang w:val="en-US" w:eastAsia="ja-JP"/>
        </w:rPr>
        <w:t xml:space="preserve"> in the same symbol, the DM RS could be inserted before or after </w:t>
      </w:r>
      <w:r>
        <w:rPr>
          <w:lang w:val="en-US" w:eastAsia="ja-JP"/>
        </w:rPr>
        <w:t xml:space="preserve">the </w:t>
      </w:r>
      <w:r w:rsidRPr="008E75BD">
        <w:rPr>
          <w:lang w:val="en-US" w:eastAsia="ja-JP"/>
        </w:rPr>
        <w:t xml:space="preserve">DFT spread.  If the DM </w:t>
      </w:r>
      <w:r>
        <w:rPr>
          <w:lang w:val="en-US" w:eastAsia="ja-JP"/>
        </w:rPr>
        <w:t xml:space="preserve">RS is multiplexed with data before the DFT spread, the radio channel effect from data REs will be propagated through IDFT function at the receiver.  The channel estimation performance will be degraded.   If the DM RS is inserted after the DFT spread, the PAPR will increase due to lose of single carrier property.   The maximum transmission power will be reduced.    </w:t>
      </w:r>
    </w:p>
    <w:p w:rsidR="008B2CC7" w:rsidRPr="008E75BD" w:rsidRDefault="00380740" w:rsidP="008E75BD">
      <w:pPr>
        <w:numPr>
          <w:ilvl w:val="1"/>
          <w:numId w:val="42"/>
        </w:numPr>
        <w:rPr>
          <w:lang w:val="en-US" w:eastAsia="ja-JP"/>
        </w:rPr>
      </w:pPr>
      <w:r>
        <w:rPr>
          <w:lang w:val="en-US" w:eastAsia="ja-JP"/>
        </w:rPr>
        <w:t>RS overhead and channel estimation -  The new RS pattern should have one DM RS RE every 6 REs to have similar channel estimation for the both low and high speed UEs.  The RS overhead would 16%.  Dynamic RS allocation with m</w:t>
      </w:r>
      <w:r w:rsidR="00456BF9" w:rsidRPr="008E75BD">
        <w:rPr>
          <w:lang w:val="en-US" w:eastAsia="ja-JP"/>
        </w:rPr>
        <w:t>ulti-symbol scheduling (symbol-bundling)</w:t>
      </w:r>
      <w:r>
        <w:rPr>
          <w:lang w:val="en-US" w:eastAsia="ja-JP"/>
        </w:rPr>
        <w:t xml:space="preserve"> would help to reduce the RS overhead by not allocating RS at each OFDM symbol as shown in </w:t>
      </w:r>
      <w:r w:rsidR="000B2853">
        <w:rPr>
          <w:lang w:val="en-US" w:eastAsia="ja-JP"/>
        </w:rPr>
        <w:fldChar w:fldCharType="begin"/>
      </w:r>
      <w:r>
        <w:rPr>
          <w:lang w:val="en-US" w:eastAsia="ja-JP"/>
        </w:rPr>
        <w:instrText xml:space="preserve"> REF _Ref434484963 \h </w:instrText>
      </w:r>
      <w:r w:rsidR="000B2853">
        <w:rPr>
          <w:lang w:val="en-US" w:eastAsia="ja-JP"/>
        </w:rPr>
      </w:r>
      <w:r w:rsidR="000B2853">
        <w:rPr>
          <w:lang w:val="en-US" w:eastAsia="ja-JP"/>
        </w:rPr>
        <w:fldChar w:fldCharType="separate"/>
      </w:r>
      <w:r w:rsidR="005E2DC6">
        <w:t xml:space="preserve">Figure </w:t>
      </w:r>
      <w:r w:rsidR="005E2DC6">
        <w:rPr>
          <w:noProof/>
        </w:rPr>
        <w:t>11</w:t>
      </w:r>
      <w:r w:rsidR="000B2853">
        <w:rPr>
          <w:lang w:val="en-US" w:eastAsia="ja-JP"/>
        </w:rPr>
        <w:fldChar w:fldCharType="end"/>
      </w:r>
      <w:r>
        <w:rPr>
          <w:lang w:val="en-US" w:eastAsia="ja-JP"/>
        </w:rPr>
        <w:t xml:space="preserve">.  </w:t>
      </w:r>
    </w:p>
    <w:p w:rsidR="00017155" w:rsidRPr="006374FE" w:rsidRDefault="00456BF9" w:rsidP="00017155">
      <w:pPr>
        <w:numPr>
          <w:ilvl w:val="0"/>
          <w:numId w:val="42"/>
        </w:numPr>
        <w:rPr>
          <w:lang w:eastAsia="ja-JP"/>
        </w:rPr>
      </w:pPr>
      <w:r w:rsidRPr="00380740">
        <w:rPr>
          <w:lang w:val="en-US" w:eastAsia="ja-JP"/>
        </w:rPr>
        <w:t>PUCCH –</w:t>
      </w:r>
      <w:r w:rsidR="00380740" w:rsidRPr="00380740">
        <w:rPr>
          <w:lang w:val="en-US" w:eastAsia="ja-JP"/>
        </w:rPr>
        <w:t xml:space="preserve"> new PUCCH formats need to be designed to carry HARQ-ACK, P-CSI, and SR information for symbol-level TTI.  The new PUCCH for carrying HARQ-ACK should be available at each TTI.  The new PUCCH formats should be flexible in resource allocation and adjustable for different payload size.  The new PUSCH-like PUCCH formats 4 and 5 for eCA could be reused for the new PUCCH format for symbol-based TTI.  The symbol-based TTI PUSCH structure could be used directly for new PUCCH format.   </w:t>
      </w:r>
    </w:p>
    <w:p w:rsidR="00932969" w:rsidRDefault="004D3A55" w:rsidP="00932969">
      <w:pPr>
        <w:keepNext/>
        <w:jc w:val="center"/>
      </w:pPr>
      <w:r w:rsidRPr="004D3A55">
        <w:rPr>
          <w:b/>
          <w:noProof/>
          <w:lang w:val="en-US" w:eastAsia="zh-CN"/>
        </w:rPr>
        <w:drawing>
          <wp:inline distT="0" distB="0" distL="0" distR="0">
            <wp:extent cx="2241550" cy="3619500"/>
            <wp:effectExtent l="19050" t="0" r="0" b="0"/>
            <wp:docPr id="13" name="对象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48771" cy="4751948"/>
                      <a:chOff x="5220072" y="1772816"/>
                      <a:chExt cx="3548771" cy="4751948"/>
                    </a:xfrm>
                  </a:grpSpPr>
                  <a:sp>
                    <a:nvSpPr>
                      <a:cNvPr id="4" name="灯片编号占位符 3"/>
                      <a:cNvSpPr>
                        <a:spLocks noGrp="1"/>
                      </a:cNvSpPr>
                    </a:nvSpPr>
                    <a:spPr>
                      <a:xfrm>
                        <a:off x="8172400" y="5976084"/>
                        <a:ext cx="596443" cy="432048"/>
                      </a:xfrm>
                      <a:prstGeom prst="rect">
                        <a:avLst/>
                      </a:prstGeom>
                    </a:spPr>
                    <a:txSp>
                      <a:txBody>
                        <a:bodyPr vert="horz" lIns="91440" tIns="45720" rIns="91440" bIns="45720" rtlCol="0" anchor="ctr"/>
                        <a:lstStyle>
                          <a:defPPr>
                            <a:defRPr lang="zh-CN"/>
                          </a:defPPr>
                          <a:lvl1pPr marL="0" algn="r" defTabSz="914400" rtl="0" eaLnBrk="1" latinLnBrk="0" hangingPunct="1">
                            <a:defRPr sz="1400" kern="1200">
                              <a:solidFill>
                                <a:srgbClr val="10386B"/>
                              </a:solidFill>
                              <a:latin typeface="Arial" pitchFamily="34" charset="0"/>
                              <a:ea typeface="+mn-ea"/>
                              <a:cs typeface="Arial" pitchFamily="34" charset="0"/>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fld id="{7C091945-BED8-40C6-A17E-143F3A6898E6}" type="slidenum">
                            <a:rPr lang="zh-CN" altLang="en-US" smtClean="0"/>
                            <a:pPr/>
                            <a:t>12</a:t>
                          </a:fld>
                          <a:endParaRPr lang="zh-CN" altLang="en-US" dirty="0"/>
                        </a:p>
                      </a:txBody>
                      <a:useSpRect/>
                    </a:txSp>
                  </a:sp>
                  <a:grpSp>
                    <a:nvGrpSpPr>
                      <a:cNvPr id="151" name="组合 150"/>
                      <a:cNvGrpSpPr/>
                    </a:nvGrpSpPr>
                    <a:grpSpPr>
                      <a:xfrm>
                        <a:off x="5508104" y="1772816"/>
                        <a:ext cx="1512168" cy="1728192"/>
                        <a:chOff x="5508104" y="1772816"/>
                        <a:chExt cx="1512168" cy="1728192"/>
                      </a:xfrm>
                    </a:grpSpPr>
                    <a:sp>
                      <a:nvSpPr>
                        <a:cNvPr id="5" name="矩形 4"/>
                        <a:cNvSpPr/>
                      </a:nvSpPr>
                      <a:spPr>
                        <a:xfrm>
                          <a:off x="5508104"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直接连接符 6"/>
                        <a:cNvCxnSpPr/>
                      </a:nvCxnSpPr>
                      <a:spPr>
                        <a:xfrm>
                          <a:off x="572412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594015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a:off x="615617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637220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658822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直接连接符 15"/>
                        <a:cNvCxnSpPr/>
                      </a:nvCxnSpPr>
                      <a:spPr>
                        <a:xfrm>
                          <a:off x="680424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a:off x="5508104"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5508104"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5508104"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5508104"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5508104"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5508104"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5508104"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5508104"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5508104"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5508104"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5508104"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39" name="矩形 38"/>
                      <a:cNvSpPr/>
                    </a:nvSpPr>
                    <a:spPr>
                      <a:xfrm>
                        <a:off x="6156176"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6156176"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6804248"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6156176" y="1772816"/>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6804248"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2" name="组合 151"/>
                      <a:cNvGrpSpPr/>
                    </a:nvGrpSpPr>
                    <a:grpSpPr>
                      <a:xfrm>
                        <a:off x="7020272" y="1772816"/>
                        <a:ext cx="1512168" cy="1728192"/>
                        <a:chOff x="7020272" y="1772816"/>
                        <a:chExt cx="1512168" cy="1728192"/>
                      </a:xfrm>
                    </a:grpSpPr>
                    <a:sp>
                      <a:nvSpPr>
                        <a:cNvPr id="45" name="矩形 44"/>
                        <a:cNvSpPr/>
                      </a:nvSpPr>
                      <a:spPr>
                        <a:xfrm>
                          <a:off x="7020272"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连接符 45"/>
                        <a:cNvCxnSpPr/>
                      </a:nvCxnSpPr>
                      <a:spPr>
                        <a:xfrm>
                          <a:off x="723629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745232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8" name="直接连接符 47"/>
                        <a:cNvCxnSpPr/>
                      </a:nvCxnSpPr>
                      <a:spPr>
                        <a:xfrm>
                          <a:off x="766834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788436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直接连接符 49"/>
                        <a:cNvCxnSpPr/>
                      </a:nvCxnSpPr>
                      <a:spPr>
                        <a:xfrm>
                          <a:off x="810039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a:off x="831641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2" name="直接连接符 51"/>
                        <a:cNvCxnSpPr/>
                      </a:nvCxnSpPr>
                      <a:spPr>
                        <a:xfrm>
                          <a:off x="7020272"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3" name="直接连接符 52"/>
                        <a:cNvCxnSpPr/>
                      </a:nvCxnSpPr>
                      <a:spPr>
                        <a:xfrm>
                          <a:off x="7020272"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4" name="直接连接符 53"/>
                        <a:cNvCxnSpPr/>
                      </a:nvCxnSpPr>
                      <a:spPr>
                        <a:xfrm>
                          <a:off x="7020272"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直接连接符 54"/>
                        <a:cNvCxnSpPr/>
                      </a:nvCxnSpPr>
                      <a:spPr>
                        <a:xfrm>
                          <a:off x="7020272"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 name="直接连接符 55"/>
                        <a:cNvCxnSpPr/>
                      </a:nvCxnSpPr>
                      <a:spPr>
                        <a:xfrm>
                          <a:off x="7020272"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7" name="直接连接符 56"/>
                        <a:cNvCxnSpPr/>
                      </a:nvCxnSpPr>
                      <a:spPr>
                        <a:xfrm>
                          <a:off x="7020272"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7020272"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9" name="直接连接符 58"/>
                        <a:cNvCxnSpPr/>
                      </a:nvCxnSpPr>
                      <a:spPr>
                        <a:xfrm>
                          <a:off x="7020272"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直接连接符 59"/>
                        <a:cNvCxnSpPr/>
                      </a:nvCxnSpPr>
                      <a:spPr>
                        <a:xfrm>
                          <a:off x="7020272"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直接连接符 60"/>
                        <a:cNvCxnSpPr/>
                      </a:nvCxnSpPr>
                      <a:spPr>
                        <a:xfrm>
                          <a:off x="7020272"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直接连接符 61"/>
                        <a:cNvCxnSpPr/>
                      </a:nvCxnSpPr>
                      <a:spPr>
                        <a:xfrm>
                          <a:off x="7020272"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63" name="矩形 62"/>
                      <a:cNvSpPr/>
                    </a:nvSpPr>
                    <a:spPr>
                      <a:xfrm>
                        <a:off x="7668344"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668344"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8316416"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668344" y="1772816"/>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8316416"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直接箭头连接符 68"/>
                      <a:cNvCxnSpPr/>
                    </a:nvCxnSpPr>
                    <a:spPr>
                      <a:xfrm>
                        <a:off x="5508104" y="3573016"/>
                        <a:ext cx="21602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5220072" y="3645024"/>
                        <a:ext cx="77938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OFDM Symbol</a:t>
                          </a:r>
                          <a:endParaRPr lang="en-US" sz="800" dirty="0"/>
                        </a:p>
                      </a:txBody>
                      <a:useSpRect/>
                    </a:txSp>
                  </a:sp>
                  <a:sp>
                    <a:nvSpPr>
                      <a:cNvPr id="71" name="TextBox 70"/>
                      <a:cNvSpPr txBox="1"/>
                    </a:nvSpPr>
                    <a:spPr>
                      <a:xfrm>
                        <a:off x="7092280" y="3933056"/>
                        <a:ext cx="576064"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DMRS </a:t>
                          </a:r>
                          <a:endParaRPr lang="en-US" sz="800" dirty="0"/>
                        </a:p>
                      </a:txBody>
                      <a:useSpRect/>
                    </a:txSp>
                  </a:sp>
                  <a:cxnSp>
                    <a:nvCxnSpPr>
                      <a:cNvPr id="73" name="直接箭头连接符 72"/>
                      <a:cNvCxnSpPr>
                        <a:endCxn id="89" idx="2"/>
                      </a:cNvCxnSpPr>
                    </a:nvCxnSpPr>
                    <a:spPr>
                      <a:xfrm flipH="1" flipV="1">
                        <a:off x="6696236" y="3068960"/>
                        <a:ext cx="540060" cy="86409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4" name="直接箭头连接符 73"/>
                      <a:cNvCxnSpPr>
                        <a:stCxn id="71" idx="0"/>
                      </a:cNvCxnSpPr>
                    </a:nvCxnSpPr>
                    <a:spPr>
                      <a:xfrm flipV="1">
                        <a:off x="7380312" y="2132856"/>
                        <a:ext cx="864096" cy="1800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矩形 71"/>
                      <a:cNvSpPr/>
                    </a:nvSpPr>
                    <a:spPr>
                      <a:xfrm>
                        <a:off x="5508104"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5724128"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5940152"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6372200"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6588224"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7020272"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7236296"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矩形 81"/>
                      <a:cNvSpPr/>
                    </a:nvSpPr>
                    <a:spPr>
                      <a:xfrm>
                        <a:off x="7452320"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矩形 82"/>
                      <a:cNvSpPr/>
                    </a:nvSpPr>
                    <a:spPr>
                      <a:xfrm>
                        <a:off x="7884368"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矩形 83"/>
                      <a:cNvSpPr/>
                    </a:nvSpPr>
                    <a:spPr>
                      <a:xfrm>
                        <a:off x="8100392"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矩形 84"/>
                      <a:cNvSpPr/>
                    </a:nvSpPr>
                    <a:spPr>
                      <a:xfrm>
                        <a:off x="5508104"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矩形 85"/>
                      <a:cNvSpPr/>
                    </a:nvSpPr>
                    <a:spPr>
                      <a:xfrm>
                        <a:off x="5940152"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矩形 86"/>
                      <a:cNvSpPr/>
                    </a:nvSpPr>
                    <a:spPr>
                      <a:xfrm>
                        <a:off x="5724128"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矩形 87"/>
                      <a:cNvSpPr/>
                    </a:nvSpPr>
                    <a:spPr>
                      <a:xfrm>
                        <a:off x="6372200"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矩形 88"/>
                      <a:cNvSpPr/>
                    </a:nvSpPr>
                    <a:spPr>
                      <a:xfrm>
                        <a:off x="6588224"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矩形 89"/>
                      <a:cNvSpPr/>
                    </a:nvSpPr>
                    <a:spPr>
                      <a:xfrm>
                        <a:off x="7020272"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矩形 90"/>
                      <a:cNvSpPr/>
                    </a:nvSpPr>
                    <a:spPr>
                      <a:xfrm>
                        <a:off x="7236296"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矩形 91"/>
                      <a:cNvSpPr/>
                    </a:nvSpPr>
                    <a:spPr>
                      <a:xfrm>
                        <a:off x="7452320"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矩形 92"/>
                      <a:cNvSpPr/>
                    </a:nvSpPr>
                    <a:spPr>
                      <a:xfrm>
                        <a:off x="7884368"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8100392"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3" name="组合 152"/>
                      <a:cNvGrpSpPr/>
                    </a:nvGrpSpPr>
                    <a:grpSpPr>
                      <a:xfrm>
                        <a:off x="5436096" y="4149080"/>
                        <a:ext cx="1512168" cy="1728192"/>
                        <a:chOff x="5436096" y="4149080"/>
                        <a:chExt cx="1512168" cy="1728192"/>
                      </a:xfrm>
                    </a:grpSpPr>
                    <a:sp>
                      <a:nvSpPr>
                        <a:cNvPr id="98" name="矩形 97"/>
                        <a:cNvSpPr/>
                      </a:nvSpPr>
                      <a:spPr>
                        <a:xfrm>
                          <a:off x="5436096" y="4149080"/>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9" name="直接连接符 98"/>
                        <a:cNvCxnSpPr/>
                      </a:nvCxnSpPr>
                      <a:spPr>
                        <a:xfrm>
                          <a:off x="5652120"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0" name="直接连接符 99"/>
                        <a:cNvCxnSpPr/>
                      </a:nvCxnSpPr>
                      <a:spPr>
                        <a:xfrm>
                          <a:off x="5868144"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1" name="直接连接符 100"/>
                        <a:cNvCxnSpPr/>
                      </a:nvCxnSpPr>
                      <a:spPr>
                        <a:xfrm>
                          <a:off x="6084168"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2" name="直接连接符 101"/>
                        <a:cNvCxnSpPr/>
                      </a:nvCxnSpPr>
                      <a:spPr>
                        <a:xfrm>
                          <a:off x="6300192"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3" name="直接连接符 102"/>
                        <a:cNvCxnSpPr/>
                      </a:nvCxnSpPr>
                      <a:spPr>
                        <a:xfrm>
                          <a:off x="6516216"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4" name="直接连接符 103"/>
                        <a:cNvCxnSpPr/>
                      </a:nvCxnSpPr>
                      <a:spPr>
                        <a:xfrm>
                          <a:off x="6732240"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直接连接符 104"/>
                        <a:cNvCxnSpPr/>
                      </a:nvCxnSpPr>
                      <a:spPr>
                        <a:xfrm>
                          <a:off x="5436096" y="42930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直接连接符 105"/>
                        <a:cNvCxnSpPr/>
                      </a:nvCxnSpPr>
                      <a:spPr>
                        <a:xfrm>
                          <a:off x="5436096" y="44371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7" name="直接连接符 106"/>
                        <a:cNvCxnSpPr/>
                      </a:nvCxnSpPr>
                      <a:spPr>
                        <a:xfrm>
                          <a:off x="5436096" y="45811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8" name="直接连接符 107"/>
                        <a:cNvCxnSpPr/>
                      </a:nvCxnSpPr>
                      <a:spPr>
                        <a:xfrm>
                          <a:off x="5436096" y="47251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9" name="直接连接符 108"/>
                        <a:cNvCxnSpPr/>
                      </a:nvCxnSpPr>
                      <a:spPr>
                        <a:xfrm>
                          <a:off x="5436096" y="48691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直接连接符 109"/>
                        <a:cNvCxnSpPr/>
                      </a:nvCxnSpPr>
                      <a:spPr>
                        <a:xfrm>
                          <a:off x="5436096" y="50131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1" name="直接连接符 110"/>
                        <a:cNvCxnSpPr/>
                      </a:nvCxnSpPr>
                      <a:spPr>
                        <a:xfrm>
                          <a:off x="5436096" y="515719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2" name="直接连接符 111"/>
                        <a:cNvCxnSpPr/>
                      </a:nvCxnSpPr>
                      <a:spPr>
                        <a:xfrm>
                          <a:off x="5436096" y="530120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3" name="直接连接符 112"/>
                        <a:cNvCxnSpPr/>
                      </a:nvCxnSpPr>
                      <a:spPr>
                        <a:xfrm>
                          <a:off x="5436096" y="544522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4" name="直接连接符 113"/>
                        <a:cNvCxnSpPr/>
                      </a:nvCxnSpPr>
                      <a:spPr>
                        <a:xfrm>
                          <a:off x="5436096" y="558924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5" name="直接连接符 114"/>
                        <a:cNvCxnSpPr/>
                      </a:nvCxnSpPr>
                      <a:spPr>
                        <a:xfrm>
                          <a:off x="5436096" y="5733256"/>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116" name="矩形 115"/>
                      <a:cNvSpPr/>
                    </a:nvSpPr>
                    <a:spPr>
                      <a:xfrm>
                        <a:off x="6084168"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矩形 116"/>
                      <a:cNvSpPr/>
                    </a:nvSpPr>
                    <a:spPr>
                      <a:xfrm>
                        <a:off x="6084168"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矩形 118"/>
                      <a:cNvSpPr/>
                    </a:nvSpPr>
                    <a:spPr>
                      <a:xfrm>
                        <a:off x="6084168" y="4149080"/>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6" name="组合 155"/>
                      <a:cNvGrpSpPr/>
                    </a:nvGrpSpPr>
                    <a:grpSpPr>
                      <a:xfrm>
                        <a:off x="6948264" y="4149080"/>
                        <a:ext cx="1512168" cy="1728192"/>
                        <a:chOff x="6948264" y="4149080"/>
                        <a:chExt cx="1512168" cy="1728192"/>
                      </a:xfrm>
                    </a:grpSpPr>
                    <a:sp>
                      <a:nvSpPr>
                        <a:cNvPr id="122" name="矩形 121"/>
                        <a:cNvSpPr/>
                      </a:nvSpPr>
                      <a:spPr>
                        <a:xfrm>
                          <a:off x="6948264" y="4149080"/>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3" name="直接连接符 122"/>
                        <a:cNvCxnSpPr/>
                      </a:nvCxnSpPr>
                      <a:spPr>
                        <a:xfrm>
                          <a:off x="7164288"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4" name="直接连接符 123"/>
                        <a:cNvCxnSpPr/>
                      </a:nvCxnSpPr>
                      <a:spPr>
                        <a:xfrm>
                          <a:off x="7380312"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5" name="直接连接符 124"/>
                        <a:cNvCxnSpPr/>
                      </a:nvCxnSpPr>
                      <a:spPr>
                        <a:xfrm>
                          <a:off x="7596336"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6" name="直接连接符 125"/>
                        <a:cNvCxnSpPr/>
                      </a:nvCxnSpPr>
                      <a:spPr>
                        <a:xfrm>
                          <a:off x="7812360"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7" name="直接连接符 126"/>
                        <a:cNvCxnSpPr/>
                      </a:nvCxnSpPr>
                      <a:spPr>
                        <a:xfrm>
                          <a:off x="8028384"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8" name="直接连接符 127"/>
                        <a:cNvCxnSpPr/>
                      </a:nvCxnSpPr>
                      <a:spPr>
                        <a:xfrm>
                          <a:off x="8244408"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9" name="直接连接符 128"/>
                        <a:cNvCxnSpPr/>
                      </a:nvCxnSpPr>
                      <a:spPr>
                        <a:xfrm>
                          <a:off x="6948264" y="42930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0" name="直接连接符 129"/>
                        <a:cNvCxnSpPr/>
                      </a:nvCxnSpPr>
                      <a:spPr>
                        <a:xfrm>
                          <a:off x="6948264" y="44371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1" name="直接连接符 130"/>
                        <a:cNvCxnSpPr/>
                      </a:nvCxnSpPr>
                      <a:spPr>
                        <a:xfrm>
                          <a:off x="6948264" y="45811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2" name="直接连接符 131"/>
                        <a:cNvCxnSpPr/>
                      </a:nvCxnSpPr>
                      <a:spPr>
                        <a:xfrm>
                          <a:off x="6948264" y="47251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3" name="直接连接符 132"/>
                        <a:cNvCxnSpPr/>
                      </a:nvCxnSpPr>
                      <a:spPr>
                        <a:xfrm>
                          <a:off x="6948264" y="48691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4" name="直接连接符 133"/>
                        <a:cNvCxnSpPr/>
                      </a:nvCxnSpPr>
                      <a:spPr>
                        <a:xfrm>
                          <a:off x="6948264" y="50131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5" name="直接连接符 134"/>
                        <a:cNvCxnSpPr/>
                      </a:nvCxnSpPr>
                      <a:spPr>
                        <a:xfrm>
                          <a:off x="6948264" y="515719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6" name="直接连接符 135"/>
                        <a:cNvCxnSpPr/>
                      </a:nvCxnSpPr>
                      <a:spPr>
                        <a:xfrm>
                          <a:off x="6948264" y="530120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7" name="直接连接符 136"/>
                        <a:cNvCxnSpPr/>
                      </a:nvCxnSpPr>
                      <a:spPr>
                        <a:xfrm>
                          <a:off x="6948264" y="544522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8" name="直接连接符 137"/>
                        <a:cNvCxnSpPr/>
                      </a:nvCxnSpPr>
                      <a:spPr>
                        <a:xfrm>
                          <a:off x="6948264" y="558924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9" name="直接连接符 138"/>
                        <a:cNvCxnSpPr/>
                      </a:nvCxnSpPr>
                      <a:spPr>
                        <a:xfrm>
                          <a:off x="6948264" y="5733256"/>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140" name="矩形 139"/>
                      <a:cNvSpPr/>
                    </a:nvSpPr>
                    <a:spPr>
                      <a:xfrm>
                        <a:off x="7596336"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7596336"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8244408"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7596336" y="4149080"/>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矩形 143"/>
                      <a:cNvSpPr/>
                    </a:nvSpPr>
                    <a:spPr>
                      <a:xfrm>
                        <a:off x="8244408"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5" name="直接箭头连接符 144"/>
                      <a:cNvCxnSpPr/>
                    </a:nvCxnSpPr>
                    <a:spPr>
                      <a:xfrm>
                        <a:off x="5364088" y="5976084"/>
                        <a:ext cx="864096"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46" name="TextBox 145"/>
                      <a:cNvSpPr txBox="1"/>
                    </a:nvSpPr>
                    <a:spPr>
                      <a:xfrm>
                        <a:off x="5436096" y="6048092"/>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4-Symbol TTI</a:t>
                          </a:r>
                          <a:endParaRPr lang="en-US" sz="800" dirty="0"/>
                        </a:p>
                      </a:txBody>
                      <a:useSpRect/>
                    </a:txSp>
                  </a:sp>
                  <a:sp>
                    <a:nvSpPr>
                      <a:cNvPr id="147" name="TextBox 146"/>
                      <a:cNvSpPr txBox="1"/>
                    </a:nvSpPr>
                    <a:spPr>
                      <a:xfrm>
                        <a:off x="6732240" y="6309320"/>
                        <a:ext cx="576064"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DMRS </a:t>
                          </a:r>
                          <a:endParaRPr lang="en-US" sz="800" dirty="0"/>
                        </a:p>
                      </a:txBody>
                      <a:useSpRect/>
                    </a:txSp>
                  </a:sp>
                  <a:cxnSp>
                    <a:nvCxnSpPr>
                      <a:cNvPr id="148" name="直接箭头连接符 147"/>
                      <a:cNvCxnSpPr>
                        <a:endCxn id="164" idx="2"/>
                      </a:cNvCxnSpPr>
                    </a:nvCxnSpPr>
                    <a:spPr>
                      <a:xfrm flipH="1" flipV="1">
                        <a:off x="6408204" y="5472028"/>
                        <a:ext cx="540060" cy="86409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49" name="直接箭头连接符 148"/>
                      <a:cNvCxnSpPr/>
                    </a:nvCxnSpPr>
                    <a:spPr>
                      <a:xfrm flipV="1">
                        <a:off x="7308304" y="4509120"/>
                        <a:ext cx="864096" cy="1800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50" name="矩形 149"/>
                      <a:cNvSpPr/>
                    </a:nvSpPr>
                    <a:spPr>
                      <a:xfrm>
                        <a:off x="5436096"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矩形 153"/>
                      <a:cNvSpPr/>
                    </a:nvSpPr>
                    <a:spPr>
                      <a:xfrm>
                        <a:off x="6300192" y="44639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矩形 154"/>
                      <a:cNvSpPr/>
                    </a:nvSpPr>
                    <a:spPr>
                      <a:xfrm>
                        <a:off x="6948264"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矩形 157"/>
                      <a:cNvSpPr/>
                    </a:nvSpPr>
                    <a:spPr>
                      <a:xfrm>
                        <a:off x="7812360"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矩形 158"/>
                      <a:cNvSpPr/>
                    </a:nvSpPr>
                    <a:spPr>
                      <a:xfrm>
                        <a:off x="8028384"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矩形 159"/>
                      <a:cNvSpPr/>
                    </a:nvSpPr>
                    <a:spPr>
                      <a:xfrm>
                        <a:off x="5436096"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矩形 163"/>
                      <a:cNvSpPr/>
                    </a:nvSpPr>
                    <a:spPr>
                      <a:xfrm>
                        <a:off x="6300192" y="53280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矩形 164"/>
                      <a:cNvSpPr/>
                    </a:nvSpPr>
                    <a:spPr>
                      <a:xfrm>
                        <a:off x="6948264"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矩形 167"/>
                      <a:cNvSpPr/>
                    </a:nvSpPr>
                    <a:spPr>
                      <a:xfrm>
                        <a:off x="7812360"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9" name="矩形 168"/>
                      <a:cNvSpPr/>
                    </a:nvSpPr>
                    <a:spPr>
                      <a:xfrm>
                        <a:off x="8028384"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4" name="直接箭头连接符 173"/>
                      <a:cNvCxnSpPr/>
                    </a:nvCxnSpPr>
                    <a:spPr>
                      <a:xfrm>
                        <a:off x="6156176" y="5976084"/>
                        <a:ext cx="144016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77" name="TextBox 176"/>
                      <a:cNvSpPr txBox="1"/>
                    </a:nvSpPr>
                    <a:spPr>
                      <a:xfrm>
                        <a:off x="6660232" y="5976084"/>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6-Symbol TTI</a:t>
                          </a:r>
                          <a:endParaRPr lang="en-US" sz="800" dirty="0"/>
                        </a:p>
                      </a:txBody>
                      <a:useSpRect/>
                    </a:txSp>
                  </a:sp>
                  <a:cxnSp>
                    <a:nvCxnSpPr>
                      <a:cNvPr id="178" name="直接箭头连接符 177"/>
                      <a:cNvCxnSpPr/>
                    </a:nvCxnSpPr>
                    <a:spPr>
                      <a:xfrm>
                        <a:off x="7812360" y="5976084"/>
                        <a:ext cx="64807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181" name="直接箭头连接符 180"/>
                      <a:cNvCxnSpPr/>
                    </a:nvCxnSpPr>
                    <a:spPr>
                      <a:xfrm>
                        <a:off x="7524328" y="6048092"/>
                        <a:ext cx="28803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84" name="TextBox 183"/>
                      <a:cNvSpPr txBox="1"/>
                    </a:nvSpPr>
                    <a:spPr>
                      <a:xfrm>
                        <a:off x="7956376" y="6048092"/>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3-Symbol TTI</a:t>
                          </a:r>
                          <a:endParaRPr lang="en-US" sz="800" dirty="0"/>
                        </a:p>
                      </a:txBody>
                      <a:useSpRect/>
                    </a:txSp>
                  </a:sp>
                  <a:sp>
                    <a:nvSpPr>
                      <a:cNvPr id="185" name="TextBox 184"/>
                      <a:cNvSpPr txBox="1"/>
                    </a:nvSpPr>
                    <a:spPr>
                      <a:xfrm>
                        <a:off x="7164288" y="6120100"/>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1-Symbol TTI</a:t>
                          </a:r>
                          <a:endParaRPr lang="en-US" sz="800" dirty="0"/>
                        </a:p>
                      </a:txBody>
                      <a:useSpRect/>
                    </a:txSp>
                  </a:sp>
                </lc:lockedCanvas>
              </a:graphicData>
            </a:graphic>
          </wp:inline>
        </w:drawing>
      </w:r>
    </w:p>
    <w:p w:rsidR="00DF2522" w:rsidRDefault="00932969" w:rsidP="00932969">
      <w:pPr>
        <w:pStyle w:val="af9"/>
        <w:jc w:val="center"/>
        <w:rPr>
          <w:lang w:val="en-US"/>
        </w:rPr>
      </w:pPr>
      <w:bookmarkStart w:id="12" w:name="_Ref434484963"/>
      <w:r>
        <w:t xml:space="preserve">Figure </w:t>
      </w:r>
      <w:r w:rsidR="000B2853">
        <w:fldChar w:fldCharType="begin"/>
      </w:r>
      <w:r w:rsidR="009821B3">
        <w:instrText xml:space="preserve"> SEQ Figure \* ARABIC </w:instrText>
      </w:r>
      <w:r w:rsidR="000B2853">
        <w:fldChar w:fldCharType="separate"/>
      </w:r>
      <w:r w:rsidR="005E2DC6">
        <w:rPr>
          <w:noProof/>
        </w:rPr>
        <w:t>11</w:t>
      </w:r>
      <w:r w:rsidR="000B2853">
        <w:fldChar w:fldCharType="end"/>
      </w:r>
      <w:bookmarkEnd w:id="12"/>
      <w:r>
        <w:rPr>
          <w:noProof/>
        </w:rPr>
        <w:t>: An example of UL RS design for symbol-based TTI with TTI bundling</w:t>
      </w:r>
    </w:p>
    <w:p w:rsidR="000859B2" w:rsidRPr="001D1EC3" w:rsidRDefault="000859B2" w:rsidP="000859B2">
      <w:pPr>
        <w:pStyle w:val="2"/>
        <w:numPr>
          <w:ilvl w:val="0"/>
          <w:numId w:val="1"/>
        </w:numPr>
        <w:rPr>
          <w:rFonts w:cs="Arial"/>
          <w:lang w:eastAsia="ja-JP"/>
        </w:rPr>
      </w:pPr>
      <w:r>
        <w:rPr>
          <w:rFonts w:cs="Arial"/>
          <w:lang w:eastAsia="ja-JP"/>
        </w:rPr>
        <w:t>Conclusion</w:t>
      </w:r>
    </w:p>
    <w:p w:rsidR="00017155" w:rsidRDefault="00380740" w:rsidP="00DF2522">
      <w:r>
        <w:t xml:space="preserve">This paper provides the preliminary system analysis of the enhancements of frame structure and DL/UL control channels and RS in supporting of shorten TTI for latency reduction.  The system design alternatives discussion in Section 2 should be considered for the performance evaluation of latency reduction.   </w:t>
      </w:r>
    </w:p>
    <w:p w:rsidR="00017155" w:rsidRPr="001D1EC3" w:rsidRDefault="00017155" w:rsidP="00017155">
      <w:pPr>
        <w:pStyle w:val="2"/>
        <w:numPr>
          <w:ilvl w:val="0"/>
          <w:numId w:val="1"/>
        </w:numPr>
        <w:rPr>
          <w:rFonts w:cs="Arial"/>
          <w:lang w:eastAsia="ja-JP"/>
        </w:rPr>
      </w:pPr>
      <w:r>
        <w:rPr>
          <w:rFonts w:cs="Arial"/>
          <w:lang w:eastAsia="ja-JP"/>
        </w:rPr>
        <w:lastRenderedPageBreak/>
        <w:t>Reference</w:t>
      </w:r>
    </w:p>
    <w:p w:rsidR="00017155" w:rsidRPr="00DF2522" w:rsidRDefault="00017155" w:rsidP="00DF2522"/>
    <w:p w:rsidR="0066736A" w:rsidRPr="0066736A" w:rsidRDefault="0066736A" w:rsidP="00017155">
      <w:pPr>
        <w:pStyle w:val="afa"/>
        <w:numPr>
          <w:ilvl w:val="0"/>
          <w:numId w:val="29"/>
        </w:numPr>
        <w:rPr>
          <w:rFonts w:eastAsia="MS Mincho"/>
          <w:iCs/>
          <w:lang w:eastAsia="ja-JP"/>
        </w:rPr>
      </w:pPr>
      <w:bookmarkStart w:id="13" w:name="_Ref434215512"/>
      <w:bookmarkStart w:id="14" w:name="_Ref430885014"/>
      <w:r>
        <w:rPr>
          <w:rFonts w:eastAsia="MS Mincho"/>
          <w:iCs/>
          <w:lang w:eastAsia="ja-JP"/>
        </w:rPr>
        <w:t>RP-150465, “</w:t>
      </w:r>
      <w:r w:rsidRPr="0066736A">
        <w:rPr>
          <w:rFonts w:eastAsia="MS Mincho"/>
          <w:iCs/>
          <w:lang w:eastAsia="ja-JP"/>
        </w:rPr>
        <w:t>Study on Latency reduction techniques for LTE</w:t>
      </w:r>
      <w:r>
        <w:rPr>
          <w:rFonts w:eastAsia="MS Mincho"/>
          <w:iCs/>
          <w:lang w:eastAsia="ja-JP"/>
        </w:rPr>
        <w:t>”, Ericsson, Huawei</w:t>
      </w:r>
      <w:bookmarkEnd w:id="13"/>
    </w:p>
    <w:p w:rsidR="00017155" w:rsidRPr="00017155" w:rsidRDefault="0066736A" w:rsidP="00017155">
      <w:pPr>
        <w:pStyle w:val="afa"/>
        <w:numPr>
          <w:ilvl w:val="0"/>
          <w:numId w:val="29"/>
        </w:numPr>
        <w:rPr>
          <w:rFonts w:eastAsia="MS Mincho"/>
          <w:iCs/>
          <w:lang w:eastAsia="ja-JP"/>
        </w:rPr>
      </w:pPr>
      <w:r>
        <w:rPr>
          <w:rFonts w:eastAsia="MS Mincho"/>
          <w:iCs/>
          <w:szCs w:val="20"/>
          <w:lang w:eastAsia="ja-JP"/>
        </w:rPr>
        <w:t>TR36.881v0.1.3, “</w:t>
      </w:r>
      <w:r w:rsidRPr="0066736A">
        <w:rPr>
          <w:rFonts w:eastAsia="MS Mincho"/>
          <w:iCs/>
          <w:lang w:eastAsia="ja-JP"/>
        </w:rPr>
        <w:t>Study on laten</w:t>
      </w:r>
      <w:r>
        <w:rPr>
          <w:rFonts w:eastAsia="MS Mincho"/>
          <w:iCs/>
          <w:lang w:eastAsia="ja-JP"/>
        </w:rPr>
        <w:t>cy reduction techniques for LTE”</w:t>
      </w:r>
      <w:bookmarkEnd w:id="14"/>
    </w:p>
    <w:p w:rsidR="00E42E42" w:rsidRPr="00017155" w:rsidRDefault="00E42E42" w:rsidP="00DF2522">
      <w:pPr>
        <w:rPr>
          <w:b/>
        </w:rPr>
      </w:pPr>
    </w:p>
    <w:sectPr w:rsidR="00E42E42" w:rsidRPr="00017155" w:rsidSect="002D51E6">
      <w:headerReference w:type="default" r:id="rId25"/>
      <w:foot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E66" w:rsidRDefault="004B1E66">
      <w:r>
        <w:separator/>
      </w:r>
    </w:p>
  </w:endnote>
  <w:endnote w:type="continuationSeparator" w:id="0">
    <w:p w:rsidR="004B1E66" w:rsidRDefault="004B1E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Univers 55">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B285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B285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67429">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E66" w:rsidRDefault="004B1E66">
      <w:r>
        <w:separator/>
      </w:r>
    </w:p>
  </w:footnote>
  <w:footnote w:type="continuationSeparator" w:id="0">
    <w:p w:rsidR="004B1E66" w:rsidRDefault="004B1E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10"/>
      </v:shape>
    </w:pict>
  </w:numPicBullet>
  <w:abstractNum w:abstractNumId="0">
    <w:nsid w:val="05CA4FF3"/>
    <w:multiLevelType w:val="hybridMultilevel"/>
    <w:tmpl w:val="D7A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16C8"/>
    <w:multiLevelType w:val="hybridMultilevel"/>
    <w:tmpl w:val="4754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B30CD"/>
    <w:multiLevelType w:val="hybridMultilevel"/>
    <w:tmpl w:val="ED127CDE"/>
    <w:lvl w:ilvl="0" w:tplc="F57072C8">
      <w:start w:val="1"/>
      <w:numFmt w:val="bullet"/>
      <w:lvlText w:val="–"/>
      <w:lvlJc w:val="left"/>
      <w:pPr>
        <w:tabs>
          <w:tab w:val="num" w:pos="720"/>
        </w:tabs>
        <w:ind w:left="720" w:hanging="360"/>
      </w:pPr>
      <w:rPr>
        <w:rFonts w:ascii="Arial" w:hAnsi="Arial" w:hint="default"/>
      </w:rPr>
    </w:lvl>
    <w:lvl w:ilvl="1" w:tplc="EF02BF2A">
      <w:start w:val="1"/>
      <w:numFmt w:val="bullet"/>
      <w:lvlText w:val="–"/>
      <w:lvlJc w:val="left"/>
      <w:pPr>
        <w:tabs>
          <w:tab w:val="num" w:pos="1440"/>
        </w:tabs>
        <w:ind w:left="1440" w:hanging="360"/>
      </w:pPr>
      <w:rPr>
        <w:rFonts w:ascii="Arial" w:hAnsi="Arial" w:hint="default"/>
      </w:rPr>
    </w:lvl>
    <w:lvl w:ilvl="2" w:tplc="1E46DA06" w:tentative="1">
      <w:start w:val="1"/>
      <w:numFmt w:val="bullet"/>
      <w:lvlText w:val="–"/>
      <w:lvlJc w:val="left"/>
      <w:pPr>
        <w:tabs>
          <w:tab w:val="num" w:pos="2160"/>
        </w:tabs>
        <w:ind w:left="2160" w:hanging="360"/>
      </w:pPr>
      <w:rPr>
        <w:rFonts w:ascii="Arial" w:hAnsi="Arial" w:hint="default"/>
      </w:rPr>
    </w:lvl>
    <w:lvl w:ilvl="3" w:tplc="B684598E" w:tentative="1">
      <w:start w:val="1"/>
      <w:numFmt w:val="bullet"/>
      <w:lvlText w:val="–"/>
      <w:lvlJc w:val="left"/>
      <w:pPr>
        <w:tabs>
          <w:tab w:val="num" w:pos="2880"/>
        </w:tabs>
        <w:ind w:left="2880" w:hanging="360"/>
      </w:pPr>
      <w:rPr>
        <w:rFonts w:ascii="Arial" w:hAnsi="Arial" w:hint="default"/>
      </w:rPr>
    </w:lvl>
    <w:lvl w:ilvl="4" w:tplc="0C3CB8CC" w:tentative="1">
      <w:start w:val="1"/>
      <w:numFmt w:val="bullet"/>
      <w:lvlText w:val="–"/>
      <w:lvlJc w:val="left"/>
      <w:pPr>
        <w:tabs>
          <w:tab w:val="num" w:pos="3600"/>
        </w:tabs>
        <w:ind w:left="3600" w:hanging="360"/>
      </w:pPr>
      <w:rPr>
        <w:rFonts w:ascii="Arial" w:hAnsi="Arial" w:hint="default"/>
      </w:rPr>
    </w:lvl>
    <w:lvl w:ilvl="5" w:tplc="E432FB2E" w:tentative="1">
      <w:start w:val="1"/>
      <w:numFmt w:val="bullet"/>
      <w:lvlText w:val="–"/>
      <w:lvlJc w:val="left"/>
      <w:pPr>
        <w:tabs>
          <w:tab w:val="num" w:pos="4320"/>
        </w:tabs>
        <w:ind w:left="4320" w:hanging="360"/>
      </w:pPr>
      <w:rPr>
        <w:rFonts w:ascii="Arial" w:hAnsi="Arial" w:hint="default"/>
      </w:rPr>
    </w:lvl>
    <w:lvl w:ilvl="6" w:tplc="99B65650" w:tentative="1">
      <w:start w:val="1"/>
      <w:numFmt w:val="bullet"/>
      <w:lvlText w:val="–"/>
      <w:lvlJc w:val="left"/>
      <w:pPr>
        <w:tabs>
          <w:tab w:val="num" w:pos="5040"/>
        </w:tabs>
        <w:ind w:left="5040" w:hanging="360"/>
      </w:pPr>
      <w:rPr>
        <w:rFonts w:ascii="Arial" w:hAnsi="Arial" w:hint="default"/>
      </w:rPr>
    </w:lvl>
    <w:lvl w:ilvl="7" w:tplc="9BB84DDE" w:tentative="1">
      <w:start w:val="1"/>
      <w:numFmt w:val="bullet"/>
      <w:lvlText w:val="–"/>
      <w:lvlJc w:val="left"/>
      <w:pPr>
        <w:tabs>
          <w:tab w:val="num" w:pos="5760"/>
        </w:tabs>
        <w:ind w:left="5760" w:hanging="360"/>
      </w:pPr>
      <w:rPr>
        <w:rFonts w:ascii="Arial" w:hAnsi="Arial" w:hint="default"/>
      </w:rPr>
    </w:lvl>
    <w:lvl w:ilvl="8" w:tplc="D5D01612" w:tentative="1">
      <w:start w:val="1"/>
      <w:numFmt w:val="bullet"/>
      <w:lvlText w:val="–"/>
      <w:lvlJc w:val="left"/>
      <w:pPr>
        <w:tabs>
          <w:tab w:val="num" w:pos="6480"/>
        </w:tabs>
        <w:ind w:left="6480" w:hanging="360"/>
      </w:pPr>
      <w:rPr>
        <w:rFonts w:ascii="Arial" w:hAnsi="Arial" w:hint="default"/>
      </w:rPr>
    </w:lvl>
  </w:abstractNum>
  <w:abstractNum w:abstractNumId="3">
    <w:nsid w:val="0D3675BB"/>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3CE7"/>
    <w:multiLevelType w:val="hybridMultilevel"/>
    <w:tmpl w:val="30D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652EA"/>
    <w:multiLevelType w:val="hybridMultilevel"/>
    <w:tmpl w:val="D0F4D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447CD"/>
    <w:multiLevelType w:val="hybridMultilevel"/>
    <w:tmpl w:val="AC082AB6"/>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8B273D4"/>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4C586D"/>
    <w:multiLevelType w:val="hybridMultilevel"/>
    <w:tmpl w:val="D76C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5A6D96"/>
    <w:multiLevelType w:val="hybridMultilevel"/>
    <w:tmpl w:val="78BA0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740A26"/>
    <w:multiLevelType w:val="hybridMultilevel"/>
    <w:tmpl w:val="585A0134"/>
    <w:lvl w:ilvl="0" w:tplc="081EE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8305C"/>
    <w:multiLevelType w:val="hybridMultilevel"/>
    <w:tmpl w:val="E24E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B3A8F"/>
    <w:multiLevelType w:val="hybridMultilevel"/>
    <w:tmpl w:val="2E42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19019A"/>
    <w:multiLevelType w:val="hybridMultilevel"/>
    <w:tmpl w:val="5C56A40E"/>
    <w:lvl w:ilvl="0" w:tplc="1FCADDB2">
      <w:start w:val="1"/>
      <w:numFmt w:val="bullet"/>
      <w:lvlText w:val="•"/>
      <w:lvlJc w:val="left"/>
      <w:pPr>
        <w:tabs>
          <w:tab w:val="num" w:pos="720"/>
        </w:tabs>
        <w:ind w:left="720" w:hanging="360"/>
      </w:pPr>
      <w:rPr>
        <w:rFonts w:ascii="Arial" w:hAnsi="Arial" w:hint="default"/>
      </w:rPr>
    </w:lvl>
    <w:lvl w:ilvl="1" w:tplc="8FAC5A26">
      <w:start w:val="1603"/>
      <w:numFmt w:val="bullet"/>
      <w:lvlText w:val="–"/>
      <w:lvlJc w:val="left"/>
      <w:pPr>
        <w:tabs>
          <w:tab w:val="num" w:pos="1440"/>
        </w:tabs>
        <w:ind w:left="1440" w:hanging="360"/>
      </w:pPr>
      <w:rPr>
        <w:rFonts w:ascii="Arial" w:hAnsi="Arial" w:hint="default"/>
      </w:rPr>
    </w:lvl>
    <w:lvl w:ilvl="2" w:tplc="CEAC13C6">
      <w:start w:val="1603"/>
      <w:numFmt w:val="bullet"/>
      <w:lvlText w:val="•"/>
      <w:lvlJc w:val="left"/>
      <w:pPr>
        <w:tabs>
          <w:tab w:val="num" w:pos="2160"/>
        </w:tabs>
        <w:ind w:left="2160" w:hanging="360"/>
      </w:pPr>
      <w:rPr>
        <w:rFonts w:ascii="Arial" w:hAnsi="Arial" w:hint="default"/>
      </w:rPr>
    </w:lvl>
    <w:lvl w:ilvl="3" w:tplc="E7A4FF08">
      <w:start w:val="1603"/>
      <w:numFmt w:val="bullet"/>
      <w:lvlText w:val="–"/>
      <w:lvlJc w:val="left"/>
      <w:pPr>
        <w:tabs>
          <w:tab w:val="num" w:pos="2880"/>
        </w:tabs>
        <w:ind w:left="2880" w:hanging="360"/>
      </w:pPr>
      <w:rPr>
        <w:rFonts w:ascii="Arial" w:hAnsi="Arial" w:hint="default"/>
      </w:rPr>
    </w:lvl>
    <w:lvl w:ilvl="4" w:tplc="9B1E7E76" w:tentative="1">
      <w:start w:val="1"/>
      <w:numFmt w:val="bullet"/>
      <w:lvlText w:val="•"/>
      <w:lvlJc w:val="left"/>
      <w:pPr>
        <w:tabs>
          <w:tab w:val="num" w:pos="3600"/>
        </w:tabs>
        <w:ind w:left="3600" w:hanging="360"/>
      </w:pPr>
      <w:rPr>
        <w:rFonts w:ascii="Arial" w:hAnsi="Arial" w:hint="default"/>
      </w:rPr>
    </w:lvl>
    <w:lvl w:ilvl="5" w:tplc="FD844932" w:tentative="1">
      <w:start w:val="1"/>
      <w:numFmt w:val="bullet"/>
      <w:lvlText w:val="•"/>
      <w:lvlJc w:val="left"/>
      <w:pPr>
        <w:tabs>
          <w:tab w:val="num" w:pos="4320"/>
        </w:tabs>
        <w:ind w:left="4320" w:hanging="360"/>
      </w:pPr>
      <w:rPr>
        <w:rFonts w:ascii="Arial" w:hAnsi="Arial" w:hint="default"/>
      </w:rPr>
    </w:lvl>
    <w:lvl w:ilvl="6" w:tplc="6C2C44C2" w:tentative="1">
      <w:start w:val="1"/>
      <w:numFmt w:val="bullet"/>
      <w:lvlText w:val="•"/>
      <w:lvlJc w:val="left"/>
      <w:pPr>
        <w:tabs>
          <w:tab w:val="num" w:pos="5040"/>
        </w:tabs>
        <w:ind w:left="5040" w:hanging="360"/>
      </w:pPr>
      <w:rPr>
        <w:rFonts w:ascii="Arial" w:hAnsi="Arial" w:hint="default"/>
      </w:rPr>
    </w:lvl>
    <w:lvl w:ilvl="7" w:tplc="1FAC8A44" w:tentative="1">
      <w:start w:val="1"/>
      <w:numFmt w:val="bullet"/>
      <w:lvlText w:val="•"/>
      <w:lvlJc w:val="left"/>
      <w:pPr>
        <w:tabs>
          <w:tab w:val="num" w:pos="5760"/>
        </w:tabs>
        <w:ind w:left="5760" w:hanging="360"/>
      </w:pPr>
      <w:rPr>
        <w:rFonts w:ascii="Arial" w:hAnsi="Arial" w:hint="default"/>
      </w:rPr>
    </w:lvl>
    <w:lvl w:ilvl="8" w:tplc="E99A76EA" w:tentative="1">
      <w:start w:val="1"/>
      <w:numFmt w:val="bullet"/>
      <w:lvlText w:val="•"/>
      <w:lvlJc w:val="left"/>
      <w:pPr>
        <w:tabs>
          <w:tab w:val="num" w:pos="6480"/>
        </w:tabs>
        <w:ind w:left="6480" w:hanging="360"/>
      </w:pPr>
      <w:rPr>
        <w:rFonts w:ascii="Arial" w:hAnsi="Arial" w:hint="default"/>
      </w:rPr>
    </w:lvl>
  </w:abstractNum>
  <w:abstractNum w:abstractNumId="20">
    <w:nsid w:val="45F45AEF"/>
    <w:multiLevelType w:val="hybridMultilevel"/>
    <w:tmpl w:val="6D9A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F4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96326A0"/>
    <w:multiLevelType w:val="hybridMultilevel"/>
    <w:tmpl w:val="E71A8A22"/>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96473F"/>
    <w:multiLevelType w:val="hybridMultilevel"/>
    <w:tmpl w:val="4B3809C8"/>
    <w:lvl w:ilvl="0" w:tplc="24B4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8E2706"/>
    <w:multiLevelType w:val="hybridMultilevel"/>
    <w:tmpl w:val="8F0893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54D77D3E"/>
    <w:multiLevelType w:val="hybridMultilevel"/>
    <w:tmpl w:val="0172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C4E5771"/>
    <w:multiLevelType w:val="hybridMultilevel"/>
    <w:tmpl w:val="C8C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E37928"/>
    <w:multiLevelType w:val="hybridMultilevel"/>
    <w:tmpl w:val="F036FBB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67CD7832"/>
    <w:multiLevelType w:val="hybridMultilevel"/>
    <w:tmpl w:val="CDA8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706A58"/>
    <w:multiLevelType w:val="hybridMultilevel"/>
    <w:tmpl w:val="FD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E4169E"/>
    <w:multiLevelType w:val="hybridMultilevel"/>
    <w:tmpl w:val="A91C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1B151C"/>
    <w:multiLevelType w:val="hybridMultilevel"/>
    <w:tmpl w:val="1EA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13725D"/>
    <w:multiLevelType w:val="hybridMultilevel"/>
    <w:tmpl w:val="7A9A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0B111C"/>
    <w:multiLevelType w:val="hybridMultilevel"/>
    <w:tmpl w:val="08F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3311D1"/>
    <w:multiLevelType w:val="hybridMultilevel"/>
    <w:tmpl w:val="3488C21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8">
    <w:nsid w:val="76630665"/>
    <w:multiLevelType w:val="hybridMultilevel"/>
    <w:tmpl w:val="FF54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735787"/>
    <w:multiLevelType w:val="hybridMultilevel"/>
    <w:tmpl w:val="4C1A0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B76E55"/>
    <w:multiLevelType w:val="hybridMultilevel"/>
    <w:tmpl w:val="F1D05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E153EA"/>
    <w:multiLevelType w:val="hybridMultilevel"/>
    <w:tmpl w:val="04709CE2"/>
    <w:lvl w:ilvl="0" w:tplc="F7C602AE">
      <w:start w:val="1"/>
      <w:numFmt w:val="bullet"/>
      <w:lvlText w:val="•"/>
      <w:lvlJc w:val="left"/>
      <w:pPr>
        <w:tabs>
          <w:tab w:val="num" w:pos="720"/>
        </w:tabs>
        <w:ind w:left="720" w:hanging="360"/>
      </w:pPr>
      <w:rPr>
        <w:rFonts w:ascii="Arial" w:hAnsi="Arial" w:hint="default"/>
      </w:rPr>
    </w:lvl>
    <w:lvl w:ilvl="1" w:tplc="0FB2752E">
      <w:start w:val="1140"/>
      <w:numFmt w:val="bullet"/>
      <w:lvlText w:val="–"/>
      <w:lvlJc w:val="left"/>
      <w:pPr>
        <w:tabs>
          <w:tab w:val="num" w:pos="1440"/>
        </w:tabs>
        <w:ind w:left="1440" w:hanging="360"/>
      </w:pPr>
      <w:rPr>
        <w:rFonts w:ascii="Arial" w:hAnsi="Arial" w:hint="default"/>
      </w:rPr>
    </w:lvl>
    <w:lvl w:ilvl="2" w:tplc="D1C882AC">
      <w:start w:val="1140"/>
      <w:numFmt w:val="bullet"/>
      <w:lvlText w:val="•"/>
      <w:lvlJc w:val="left"/>
      <w:pPr>
        <w:tabs>
          <w:tab w:val="num" w:pos="2160"/>
        </w:tabs>
        <w:ind w:left="2160" w:hanging="360"/>
      </w:pPr>
      <w:rPr>
        <w:rFonts w:ascii="Arial" w:hAnsi="Arial" w:hint="default"/>
      </w:rPr>
    </w:lvl>
    <w:lvl w:ilvl="3" w:tplc="6B1CA8B2" w:tentative="1">
      <w:start w:val="1"/>
      <w:numFmt w:val="bullet"/>
      <w:lvlText w:val="•"/>
      <w:lvlJc w:val="left"/>
      <w:pPr>
        <w:tabs>
          <w:tab w:val="num" w:pos="2880"/>
        </w:tabs>
        <w:ind w:left="2880" w:hanging="360"/>
      </w:pPr>
      <w:rPr>
        <w:rFonts w:ascii="Arial" w:hAnsi="Arial" w:hint="default"/>
      </w:rPr>
    </w:lvl>
    <w:lvl w:ilvl="4" w:tplc="3BAEF24E" w:tentative="1">
      <w:start w:val="1"/>
      <w:numFmt w:val="bullet"/>
      <w:lvlText w:val="•"/>
      <w:lvlJc w:val="left"/>
      <w:pPr>
        <w:tabs>
          <w:tab w:val="num" w:pos="3600"/>
        </w:tabs>
        <w:ind w:left="3600" w:hanging="360"/>
      </w:pPr>
      <w:rPr>
        <w:rFonts w:ascii="Arial" w:hAnsi="Arial" w:hint="default"/>
      </w:rPr>
    </w:lvl>
    <w:lvl w:ilvl="5" w:tplc="3DBCD57E" w:tentative="1">
      <w:start w:val="1"/>
      <w:numFmt w:val="bullet"/>
      <w:lvlText w:val="•"/>
      <w:lvlJc w:val="left"/>
      <w:pPr>
        <w:tabs>
          <w:tab w:val="num" w:pos="4320"/>
        </w:tabs>
        <w:ind w:left="4320" w:hanging="360"/>
      </w:pPr>
      <w:rPr>
        <w:rFonts w:ascii="Arial" w:hAnsi="Arial" w:hint="default"/>
      </w:rPr>
    </w:lvl>
    <w:lvl w:ilvl="6" w:tplc="DA70A9E2" w:tentative="1">
      <w:start w:val="1"/>
      <w:numFmt w:val="bullet"/>
      <w:lvlText w:val="•"/>
      <w:lvlJc w:val="left"/>
      <w:pPr>
        <w:tabs>
          <w:tab w:val="num" w:pos="5040"/>
        </w:tabs>
        <w:ind w:left="5040" w:hanging="360"/>
      </w:pPr>
      <w:rPr>
        <w:rFonts w:ascii="Arial" w:hAnsi="Arial" w:hint="default"/>
      </w:rPr>
    </w:lvl>
    <w:lvl w:ilvl="7" w:tplc="B55C39EC" w:tentative="1">
      <w:start w:val="1"/>
      <w:numFmt w:val="bullet"/>
      <w:lvlText w:val="•"/>
      <w:lvlJc w:val="left"/>
      <w:pPr>
        <w:tabs>
          <w:tab w:val="num" w:pos="5760"/>
        </w:tabs>
        <w:ind w:left="5760" w:hanging="360"/>
      </w:pPr>
      <w:rPr>
        <w:rFonts w:ascii="Arial" w:hAnsi="Arial" w:hint="default"/>
      </w:rPr>
    </w:lvl>
    <w:lvl w:ilvl="8" w:tplc="6CBCE66E" w:tentative="1">
      <w:start w:val="1"/>
      <w:numFmt w:val="bullet"/>
      <w:lvlText w:val="•"/>
      <w:lvlJc w:val="left"/>
      <w:pPr>
        <w:tabs>
          <w:tab w:val="num" w:pos="6480"/>
        </w:tabs>
        <w:ind w:left="6480" w:hanging="360"/>
      </w:pPr>
      <w:rPr>
        <w:rFonts w:ascii="Arial" w:hAnsi="Arial" w:hint="default"/>
      </w:rPr>
    </w:lvl>
  </w:abstractNum>
  <w:abstractNum w:abstractNumId="42">
    <w:nsid w:val="7CF92156"/>
    <w:multiLevelType w:val="hybridMultilevel"/>
    <w:tmpl w:val="2774D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7"/>
  </w:num>
  <w:num w:numId="2">
    <w:abstractNumId w:val="18"/>
  </w:num>
  <w:num w:numId="3">
    <w:abstractNumId w:val="6"/>
  </w:num>
  <w:num w:numId="4">
    <w:abstractNumId w:val="0"/>
  </w:num>
  <w:num w:numId="5">
    <w:abstractNumId w:val="34"/>
  </w:num>
  <w:num w:numId="6">
    <w:abstractNumId w:val="40"/>
  </w:num>
  <w:num w:numId="7">
    <w:abstractNumId w:val="36"/>
  </w:num>
  <w:num w:numId="8">
    <w:abstractNumId w:val="31"/>
  </w:num>
  <w:num w:numId="9">
    <w:abstractNumId w:val="35"/>
  </w:num>
  <w:num w:numId="10">
    <w:abstractNumId w:val="38"/>
  </w:num>
  <w:num w:numId="11">
    <w:abstractNumId w:val="39"/>
  </w:num>
  <w:num w:numId="12">
    <w:abstractNumId w:val="20"/>
  </w:num>
  <w:num w:numId="13">
    <w:abstractNumId w:val="4"/>
  </w:num>
  <w:num w:numId="14">
    <w:abstractNumId w:val="32"/>
  </w:num>
  <w:num w:numId="15">
    <w:abstractNumId w:val="30"/>
  </w:num>
  <w:num w:numId="16">
    <w:abstractNumId w:val="42"/>
  </w:num>
  <w:num w:numId="17">
    <w:abstractNumId w:val="1"/>
  </w:num>
  <w:num w:numId="18">
    <w:abstractNumId w:val="12"/>
  </w:num>
  <w:num w:numId="19">
    <w:abstractNumId w:val="29"/>
  </w:num>
  <w:num w:numId="20">
    <w:abstractNumId w:val="25"/>
  </w:num>
  <w:num w:numId="21">
    <w:abstractNumId w:val="14"/>
  </w:num>
  <w:num w:numId="22">
    <w:abstractNumId w:val="5"/>
  </w:num>
  <w:num w:numId="23">
    <w:abstractNumId w:val="17"/>
  </w:num>
  <w:num w:numId="24">
    <w:abstractNumId w:val="13"/>
  </w:num>
  <w:num w:numId="25">
    <w:abstractNumId w:val="2"/>
  </w:num>
  <w:num w:numId="26">
    <w:abstractNumId w:val="28"/>
  </w:num>
  <w:num w:numId="27">
    <w:abstractNumId w:val="24"/>
  </w:num>
  <w:num w:numId="28">
    <w:abstractNumId w:val="26"/>
  </w:num>
  <w:num w:numId="29">
    <w:abstractNumId w:val="9"/>
  </w:num>
  <w:num w:numId="30">
    <w:abstractNumId w:val="10"/>
  </w:num>
  <w:num w:numId="31">
    <w:abstractNumId w:val="33"/>
  </w:num>
  <w:num w:numId="32">
    <w:abstractNumId w:val="21"/>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6"/>
  </w:num>
  <w:num w:numId="37">
    <w:abstractNumId w:val="8"/>
  </w:num>
  <w:num w:numId="38">
    <w:abstractNumId w:val="11"/>
  </w:num>
  <w:num w:numId="39">
    <w:abstractNumId w:val="19"/>
  </w:num>
  <w:num w:numId="40">
    <w:abstractNumId w:val="22"/>
  </w:num>
  <w:num w:numId="41">
    <w:abstractNumId w:val="41"/>
  </w:num>
  <w:num w:numId="42">
    <w:abstractNumId w:val="7"/>
  </w:num>
  <w:num w:numId="43">
    <w:abstractNumId w:val="15"/>
  </w:num>
  <w:num w:numId="44">
    <w:abstractNumId w:val="2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D94"/>
    <w:rsid w:val="00087B64"/>
    <w:rsid w:val="00090E36"/>
    <w:rsid w:val="00091984"/>
    <w:rsid w:val="00091E5B"/>
    <w:rsid w:val="00093257"/>
    <w:rsid w:val="0009375D"/>
    <w:rsid w:val="000945B8"/>
    <w:rsid w:val="00094BBC"/>
    <w:rsid w:val="0009539E"/>
    <w:rsid w:val="00095583"/>
    <w:rsid w:val="000958BD"/>
    <w:rsid w:val="000965C6"/>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853"/>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2018"/>
    <w:rsid w:val="00262C46"/>
    <w:rsid w:val="00262F12"/>
    <w:rsid w:val="00264FC7"/>
    <w:rsid w:val="002660F8"/>
    <w:rsid w:val="002664C8"/>
    <w:rsid w:val="002668A1"/>
    <w:rsid w:val="00270DAE"/>
    <w:rsid w:val="00271849"/>
    <w:rsid w:val="00272C1F"/>
    <w:rsid w:val="00273E95"/>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D0399"/>
    <w:rsid w:val="002D0934"/>
    <w:rsid w:val="002D0AE4"/>
    <w:rsid w:val="002D1C53"/>
    <w:rsid w:val="002D1F9F"/>
    <w:rsid w:val="002D4081"/>
    <w:rsid w:val="002D5122"/>
    <w:rsid w:val="002D51E6"/>
    <w:rsid w:val="002D574B"/>
    <w:rsid w:val="002D5CB0"/>
    <w:rsid w:val="002D5EED"/>
    <w:rsid w:val="002D61A8"/>
    <w:rsid w:val="002D6E51"/>
    <w:rsid w:val="002D7364"/>
    <w:rsid w:val="002D773F"/>
    <w:rsid w:val="002D77E2"/>
    <w:rsid w:val="002E0B88"/>
    <w:rsid w:val="002E1073"/>
    <w:rsid w:val="002E14B4"/>
    <w:rsid w:val="002E1AC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A8D"/>
    <w:rsid w:val="003B455E"/>
    <w:rsid w:val="003B5766"/>
    <w:rsid w:val="003B60D0"/>
    <w:rsid w:val="003B6C53"/>
    <w:rsid w:val="003C1159"/>
    <w:rsid w:val="003C1493"/>
    <w:rsid w:val="003C2726"/>
    <w:rsid w:val="003C285F"/>
    <w:rsid w:val="003C3D53"/>
    <w:rsid w:val="003C55C1"/>
    <w:rsid w:val="003C71E0"/>
    <w:rsid w:val="003C72D2"/>
    <w:rsid w:val="003C7C68"/>
    <w:rsid w:val="003D066F"/>
    <w:rsid w:val="003D0FB8"/>
    <w:rsid w:val="003D223A"/>
    <w:rsid w:val="003D247A"/>
    <w:rsid w:val="003D53C9"/>
    <w:rsid w:val="003D57C9"/>
    <w:rsid w:val="003D679E"/>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51BB"/>
    <w:rsid w:val="004072DB"/>
    <w:rsid w:val="004105F8"/>
    <w:rsid w:val="00410A2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30FC"/>
    <w:rsid w:val="00483704"/>
    <w:rsid w:val="004844EF"/>
    <w:rsid w:val="00484E0A"/>
    <w:rsid w:val="0048519B"/>
    <w:rsid w:val="00485D8A"/>
    <w:rsid w:val="00485FFC"/>
    <w:rsid w:val="00486309"/>
    <w:rsid w:val="0048764B"/>
    <w:rsid w:val="00487870"/>
    <w:rsid w:val="0048792F"/>
    <w:rsid w:val="00487B15"/>
    <w:rsid w:val="00491505"/>
    <w:rsid w:val="00491CE9"/>
    <w:rsid w:val="004935B1"/>
    <w:rsid w:val="004945D0"/>
    <w:rsid w:val="00496008"/>
    <w:rsid w:val="0049601C"/>
    <w:rsid w:val="00497F17"/>
    <w:rsid w:val="004A0F42"/>
    <w:rsid w:val="004A12FB"/>
    <w:rsid w:val="004A1E59"/>
    <w:rsid w:val="004A24D4"/>
    <w:rsid w:val="004B10DB"/>
    <w:rsid w:val="004B1DB1"/>
    <w:rsid w:val="004B1E66"/>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688F"/>
    <w:rsid w:val="004E7310"/>
    <w:rsid w:val="004F02C8"/>
    <w:rsid w:val="004F0454"/>
    <w:rsid w:val="004F0473"/>
    <w:rsid w:val="004F1FAB"/>
    <w:rsid w:val="004F3865"/>
    <w:rsid w:val="004F545D"/>
    <w:rsid w:val="004F5786"/>
    <w:rsid w:val="004F668B"/>
    <w:rsid w:val="004F7531"/>
    <w:rsid w:val="0050044C"/>
    <w:rsid w:val="00501B4F"/>
    <w:rsid w:val="00501FBC"/>
    <w:rsid w:val="00502AC2"/>
    <w:rsid w:val="005047D3"/>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7F5C"/>
    <w:rsid w:val="00550607"/>
    <w:rsid w:val="00550B7B"/>
    <w:rsid w:val="00552214"/>
    <w:rsid w:val="00552B18"/>
    <w:rsid w:val="0055306D"/>
    <w:rsid w:val="00553592"/>
    <w:rsid w:val="00553594"/>
    <w:rsid w:val="00553D85"/>
    <w:rsid w:val="00555C96"/>
    <w:rsid w:val="0055629D"/>
    <w:rsid w:val="00557209"/>
    <w:rsid w:val="00561D8F"/>
    <w:rsid w:val="00563B9D"/>
    <w:rsid w:val="00564407"/>
    <w:rsid w:val="00564486"/>
    <w:rsid w:val="0056514B"/>
    <w:rsid w:val="005651D5"/>
    <w:rsid w:val="005654A1"/>
    <w:rsid w:val="005658C9"/>
    <w:rsid w:val="00565BD6"/>
    <w:rsid w:val="0056773D"/>
    <w:rsid w:val="00567FB8"/>
    <w:rsid w:val="00571445"/>
    <w:rsid w:val="005714D4"/>
    <w:rsid w:val="005714FE"/>
    <w:rsid w:val="005724A1"/>
    <w:rsid w:val="0057457C"/>
    <w:rsid w:val="005746B4"/>
    <w:rsid w:val="0057508B"/>
    <w:rsid w:val="00575E80"/>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6F5B"/>
    <w:rsid w:val="005A7261"/>
    <w:rsid w:val="005A7410"/>
    <w:rsid w:val="005B0791"/>
    <w:rsid w:val="005B2475"/>
    <w:rsid w:val="005B466A"/>
    <w:rsid w:val="005B49B3"/>
    <w:rsid w:val="005B4CDC"/>
    <w:rsid w:val="005B6034"/>
    <w:rsid w:val="005B61A8"/>
    <w:rsid w:val="005B65C6"/>
    <w:rsid w:val="005C0BA2"/>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7B5"/>
    <w:rsid w:val="00683B81"/>
    <w:rsid w:val="00683E49"/>
    <w:rsid w:val="00685606"/>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E15"/>
    <w:rsid w:val="00724138"/>
    <w:rsid w:val="00724321"/>
    <w:rsid w:val="00724965"/>
    <w:rsid w:val="00724EE9"/>
    <w:rsid w:val="0072530D"/>
    <w:rsid w:val="0072752A"/>
    <w:rsid w:val="00727613"/>
    <w:rsid w:val="007277FF"/>
    <w:rsid w:val="00731FDA"/>
    <w:rsid w:val="007342B3"/>
    <w:rsid w:val="007346B4"/>
    <w:rsid w:val="00736C41"/>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72BEB"/>
    <w:rsid w:val="0077344F"/>
    <w:rsid w:val="0077433D"/>
    <w:rsid w:val="0077770C"/>
    <w:rsid w:val="00777B45"/>
    <w:rsid w:val="00781EB9"/>
    <w:rsid w:val="007821E5"/>
    <w:rsid w:val="00782B01"/>
    <w:rsid w:val="00783B42"/>
    <w:rsid w:val="00783C90"/>
    <w:rsid w:val="007851DB"/>
    <w:rsid w:val="00785315"/>
    <w:rsid w:val="00790501"/>
    <w:rsid w:val="00790BDF"/>
    <w:rsid w:val="007915EE"/>
    <w:rsid w:val="00791DFA"/>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26B3"/>
    <w:rsid w:val="007C3FBD"/>
    <w:rsid w:val="007C779E"/>
    <w:rsid w:val="007C7866"/>
    <w:rsid w:val="007C7B25"/>
    <w:rsid w:val="007D13E9"/>
    <w:rsid w:val="007D1CC2"/>
    <w:rsid w:val="007D4098"/>
    <w:rsid w:val="007D5123"/>
    <w:rsid w:val="007D53CC"/>
    <w:rsid w:val="007D567F"/>
    <w:rsid w:val="007D78A8"/>
    <w:rsid w:val="007E16F7"/>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75E8"/>
    <w:rsid w:val="00891094"/>
    <w:rsid w:val="00891A24"/>
    <w:rsid w:val="00892803"/>
    <w:rsid w:val="008936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A95"/>
    <w:rsid w:val="008C435E"/>
    <w:rsid w:val="008C4A4D"/>
    <w:rsid w:val="008C4DC4"/>
    <w:rsid w:val="008C6467"/>
    <w:rsid w:val="008C7E71"/>
    <w:rsid w:val="008C7E85"/>
    <w:rsid w:val="008D12CE"/>
    <w:rsid w:val="008D171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A13"/>
    <w:rsid w:val="00A66D93"/>
    <w:rsid w:val="00A66FC8"/>
    <w:rsid w:val="00A7116E"/>
    <w:rsid w:val="00A73169"/>
    <w:rsid w:val="00A73AC8"/>
    <w:rsid w:val="00A754AB"/>
    <w:rsid w:val="00A766FF"/>
    <w:rsid w:val="00A76A37"/>
    <w:rsid w:val="00A777D6"/>
    <w:rsid w:val="00A77F20"/>
    <w:rsid w:val="00A81866"/>
    <w:rsid w:val="00A81B2B"/>
    <w:rsid w:val="00A81C90"/>
    <w:rsid w:val="00A831D5"/>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DFB"/>
    <w:rsid w:val="00B21B7D"/>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804DB"/>
    <w:rsid w:val="00B80AB7"/>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72AC"/>
    <w:rsid w:val="00C21844"/>
    <w:rsid w:val="00C21D5A"/>
    <w:rsid w:val="00C22BE3"/>
    <w:rsid w:val="00C22C3E"/>
    <w:rsid w:val="00C22E50"/>
    <w:rsid w:val="00C2559C"/>
    <w:rsid w:val="00C263D4"/>
    <w:rsid w:val="00C269D3"/>
    <w:rsid w:val="00C27536"/>
    <w:rsid w:val="00C3000B"/>
    <w:rsid w:val="00C344D5"/>
    <w:rsid w:val="00C34773"/>
    <w:rsid w:val="00C35A57"/>
    <w:rsid w:val="00C36D5D"/>
    <w:rsid w:val="00C37E9B"/>
    <w:rsid w:val="00C400E7"/>
    <w:rsid w:val="00C4056E"/>
    <w:rsid w:val="00C40A03"/>
    <w:rsid w:val="00C4100E"/>
    <w:rsid w:val="00C41131"/>
    <w:rsid w:val="00C414E3"/>
    <w:rsid w:val="00C435FC"/>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4240"/>
    <w:rsid w:val="00C64574"/>
    <w:rsid w:val="00C65571"/>
    <w:rsid w:val="00C67429"/>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278C"/>
    <w:rsid w:val="00D12AFD"/>
    <w:rsid w:val="00D13280"/>
    <w:rsid w:val="00D1426D"/>
    <w:rsid w:val="00D149DB"/>
    <w:rsid w:val="00D1578E"/>
    <w:rsid w:val="00D16398"/>
    <w:rsid w:val="00D208F5"/>
    <w:rsid w:val="00D209C0"/>
    <w:rsid w:val="00D21537"/>
    <w:rsid w:val="00D22311"/>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746"/>
    <w:rsid w:val="00D42838"/>
    <w:rsid w:val="00D42F4F"/>
    <w:rsid w:val="00D447E5"/>
    <w:rsid w:val="00D509FB"/>
    <w:rsid w:val="00D51F6E"/>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3417"/>
    <w:rsid w:val="00D83736"/>
    <w:rsid w:val="00D87D5C"/>
    <w:rsid w:val="00D90343"/>
    <w:rsid w:val="00D9164D"/>
    <w:rsid w:val="00D9229F"/>
    <w:rsid w:val="00D927F0"/>
    <w:rsid w:val="00D937C4"/>
    <w:rsid w:val="00D9405D"/>
    <w:rsid w:val="00D9693C"/>
    <w:rsid w:val="00D97AF6"/>
    <w:rsid w:val="00DA0F22"/>
    <w:rsid w:val="00DA0FC5"/>
    <w:rsid w:val="00DA4389"/>
    <w:rsid w:val="00DA43AC"/>
    <w:rsid w:val="00DA591D"/>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F07DF"/>
    <w:rsid w:val="00DF14BF"/>
    <w:rsid w:val="00DF2522"/>
    <w:rsid w:val="00DF4684"/>
    <w:rsid w:val="00DF54A7"/>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B9A"/>
    <w:rsid w:val="00E13E1D"/>
    <w:rsid w:val="00E13F6E"/>
    <w:rsid w:val="00E15141"/>
    <w:rsid w:val="00E156BF"/>
    <w:rsid w:val="00E15D5B"/>
    <w:rsid w:val="00E20F48"/>
    <w:rsid w:val="00E21828"/>
    <w:rsid w:val="00E231E4"/>
    <w:rsid w:val="00E250E1"/>
    <w:rsid w:val="00E259D3"/>
    <w:rsid w:val="00E25FBC"/>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D5A"/>
    <w:rsid w:val="00EC28BB"/>
    <w:rsid w:val="00EC2AD1"/>
    <w:rsid w:val="00EC3157"/>
    <w:rsid w:val="00EC422A"/>
    <w:rsid w:val="00EC4E50"/>
    <w:rsid w:val="00EC4F30"/>
    <w:rsid w:val="00EC548E"/>
    <w:rsid w:val="00EC5B01"/>
    <w:rsid w:val="00EC5F8A"/>
    <w:rsid w:val="00EC65E7"/>
    <w:rsid w:val="00EC6E8D"/>
    <w:rsid w:val="00ED0814"/>
    <w:rsid w:val="00ED1548"/>
    <w:rsid w:val="00ED163F"/>
    <w:rsid w:val="00ED2524"/>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B3"/>
    <w:rsid w:val="00F47583"/>
    <w:rsid w:val="00F475A3"/>
    <w:rsid w:val="00F47708"/>
    <w:rsid w:val="00F519F7"/>
    <w:rsid w:val="00F51AAC"/>
    <w:rsid w:val="00F5221C"/>
    <w:rsid w:val="00F528C3"/>
    <w:rsid w:val="00F52AF6"/>
    <w:rsid w:val="00F53F26"/>
    <w:rsid w:val="00F5417D"/>
    <w:rsid w:val="00F54F0F"/>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F48"/>
    <w:rsid w:val="00F704FE"/>
    <w:rsid w:val="00F70F2B"/>
    <w:rsid w:val="00F71EA1"/>
    <w:rsid w:val="00F73C6B"/>
    <w:rsid w:val="00F74A60"/>
    <w:rsid w:val="00F75FBE"/>
    <w:rsid w:val="00F80D60"/>
    <w:rsid w:val="00F80F57"/>
    <w:rsid w:val="00F82559"/>
    <w:rsid w:val="00F834F9"/>
    <w:rsid w:val="00F839D3"/>
    <w:rsid w:val="00F84060"/>
    <w:rsid w:val="00F87D29"/>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97A"/>
    <w:rsid w:val="00FB0C14"/>
    <w:rsid w:val="00FB12C4"/>
    <w:rsid w:val="00FB194A"/>
    <w:rsid w:val="00FB2B62"/>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D92"/>
    <w:pPr>
      <w:spacing w:after="180"/>
    </w:pPr>
    <w:rPr>
      <w:rFonts w:ascii="Times New Roman" w:hAnsi="Times New Roman"/>
      <w:lang w:val="en-GB" w:eastAsia="en-US"/>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AC584C"/>
    <w:pPr>
      <w:numPr>
        <w:ilvl w:val="1"/>
        <w:numId w:val="33"/>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rPr>
      <w:lang w:eastAsia="ja-JP"/>
    </w:rPr>
  </w:style>
  <w:style w:type="paragraph" w:styleId="25">
    <w:name w:val="Body Text Indent 2"/>
    <w:basedOn w:val="a"/>
    <w:rsid w:val="002D51E6"/>
    <w:pPr>
      <w:ind w:leftChars="100" w:left="200"/>
    </w:pPr>
    <w:rPr>
      <w:lang w:eastAsia="ja-JP"/>
    </w:r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rPr>
      <w:lang w:eastAsia="ja-JP"/>
    </w:r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emf"/><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D3025-B36C-4651-8822-5B791EFB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2616</Words>
  <Characters>14913</Characters>
  <Application>Microsoft Office Word</Application>
  <DocSecurity>0</DocSecurity>
  <Lines>124</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17495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cp:revision>
  <cp:lastPrinted>2006-02-09T13:55:00Z</cp:lastPrinted>
  <dcterms:created xsi:type="dcterms:W3CDTF">2015-11-06T18:40:00Z</dcterms:created>
  <dcterms:modified xsi:type="dcterms:W3CDTF">2015-11-07T01:13:00Z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