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129"/>
        <w:gridCol w:w="992"/>
        <w:gridCol w:w="3345"/>
      </w:tblGrid>
      <w:tr w:rsidR="0065505C" w:rsidRPr="0065505C">
        <w:trPr>
          <w:cantSplit/>
        </w:trPr>
        <w:tc>
          <w:tcPr>
            <w:tcW w:w="1417" w:type="dxa"/>
            <w:vMerge w:val="restart"/>
          </w:tcPr>
          <w:p w:rsidR="0065505C" w:rsidRPr="0065505C" w:rsidRDefault="0065505C" w:rsidP="0065505C">
            <w:bookmarkStart w:id="0" w:name="InsertLogo"/>
            <w:bookmarkStart w:id="1" w:name="dsg" w:colFirst="1" w:colLast="1"/>
            <w:bookmarkStart w:id="2" w:name="dtableau"/>
            <w:bookmarkEnd w:id="0"/>
            <w:r w:rsidRPr="0065505C">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5505C" w:rsidRPr="0065505C" w:rsidRDefault="0065505C" w:rsidP="0065505C">
            <w:pPr>
              <w:rPr>
                <w:sz w:val="20"/>
              </w:rPr>
            </w:pPr>
            <w:r w:rsidRPr="0065505C">
              <w:rPr>
                <w:sz w:val="20"/>
              </w:rPr>
              <w:t>INTERNATIONAL TELECOMMUNICATION UNION</w:t>
            </w:r>
          </w:p>
        </w:tc>
        <w:tc>
          <w:tcPr>
            <w:tcW w:w="3345" w:type="dxa"/>
          </w:tcPr>
          <w:p w:rsidR="0065505C" w:rsidRPr="0065505C" w:rsidRDefault="0065505C" w:rsidP="0065505C">
            <w:pPr>
              <w:pStyle w:val="Docnumber"/>
              <w:rPr>
                <w:sz w:val="28"/>
              </w:rPr>
            </w:pPr>
            <w:r>
              <w:rPr>
                <w:sz w:val="28"/>
              </w:rPr>
              <w:t>COM 15 – LS 232 – E</w:t>
            </w:r>
          </w:p>
        </w:tc>
      </w:tr>
      <w:tr w:rsidR="0065505C" w:rsidRPr="0065505C">
        <w:trPr>
          <w:cantSplit/>
          <w:trHeight w:val="355"/>
        </w:trPr>
        <w:tc>
          <w:tcPr>
            <w:tcW w:w="1417" w:type="dxa"/>
            <w:vMerge/>
          </w:tcPr>
          <w:p w:rsidR="0065505C" w:rsidRPr="0065505C" w:rsidRDefault="0065505C" w:rsidP="0065505C">
            <w:bookmarkStart w:id="3" w:name="ddate" w:colFirst="2" w:colLast="2"/>
            <w:bookmarkStart w:id="4" w:name="dnum" w:colFirst="1" w:colLast="1"/>
            <w:bookmarkEnd w:id="1"/>
          </w:p>
        </w:tc>
        <w:tc>
          <w:tcPr>
            <w:tcW w:w="4040" w:type="dxa"/>
            <w:gridSpan w:val="4"/>
            <w:vMerge w:val="restart"/>
          </w:tcPr>
          <w:p w:rsidR="0065505C" w:rsidRPr="0065505C" w:rsidRDefault="0065505C" w:rsidP="0065505C">
            <w:pPr>
              <w:rPr>
                <w:b/>
                <w:bCs/>
                <w:sz w:val="26"/>
              </w:rPr>
            </w:pPr>
            <w:r w:rsidRPr="0065505C">
              <w:rPr>
                <w:b/>
                <w:bCs/>
                <w:sz w:val="26"/>
              </w:rPr>
              <w:t>TELECOMMUNICATION</w:t>
            </w:r>
            <w:r w:rsidRPr="0065505C">
              <w:rPr>
                <w:b/>
                <w:bCs/>
                <w:sz w:val="26"/>
              </w:rPr>
              <w:br/>
              <w:t>STANDARDIZATION SECTOR</w:t>
            </w:r>
          </w:p>
          <w:p w:rsidR="0065505C" w:rsidRPr="0065505C" w:rsidRDefault="0065505C" w:rsidP="0065505C">
            <w:pPr>
              <w:rPr>
                <w:smallCaps/>
                <w:sz w:val="20"/>
              </w:rPr>
            </w:pPr>
            <w:r w:rsidRPr="0065505C">
              <w:rPr>
                <w:sz w:val="20"/>
              </w:rPr>
              <w:t xml:space="preserve">STUDY PERIOD </w:t>
            </w:r>
            <w:r>
              <w:rPr>
                <w:sz w:val="20"/>
              </w:rPr>
              <w:t>2013-2016</w:t>
            </w:r>
          </w:p>
        </w:tc>
        <w:tc>
          <w:tcPr>
            <w:tcW w:w="4466" w:type="dxa"/>
            <w:gridSpan w:val="3"/>
          </w:tcPr>
          <w:p w:rsidR="0065505C" w:rsidRPr="0065505C" w:rsidRDefault="0065505C" w:rsidP="0065505C">
            <w:pPr>
              <w:jc w:val="right"/>
              <w:rPr>
                <w:b/>
                <w:bCs/>
              </w:rPr>
            </w:pPr>
          </w:p>
        </w:tc>
      </w:tr>
      <w:tr w:rsidR="0065505C" w:rsidRPr="0065505C">
        <w:trPr>
          <w:cantSplit/>
          <w:trHeight w:val="780"/>
        </w:trPr>
        <w:tc>
          <w:tcPr>
            <w:tcW w:w="1417" w:type="dxa"/>
            <w:vMerge/>
            <w:tcBorders>
              <w:bottom w:val="single" w:sz="12" w:space="0" w:color="auto"/>
            </w:tcBorders>
          </w:tcPr>
          <w:p w:rsidR="0065505C" w:rsidRPr="0065505C" w:rsidRDefault="0065505C" w:rsidP="0065505C">
            <w:bookmarkStart w:id="5" w:name="dorlang" w:colFirst="2" w:colLast="2"/>
            <w:bookmarkEnd w:id="3"/>
          </w:p>
        </w:tc>
        <w:tc>
          <w:tcPr>
            <w:tcW w:w="4040" w:type="dxa"/>
            <w:gridSpan w:val="4"/>
            <w:vMerge/>
            <w:tcBorders>
              <w:bottom w:val="single" w:sz="12" w:space="0" w:color="auto"/>
            </w:tcBorders>
          </w:tcPr>
          <w:p w:rsidR="0065505C" w:rsidRPr="0065505C" w:rsidRDefault="0065505C" w:rsidP="0065505C">
            <w:pPr>
              <w:rPr>
                <w:b/>
                <w:bCs/>
                <w:sz w:val="26"/>
              </w:rPr>
            </w:pPr>
          </w:p>
        </w:tc>
        <w:tc>
          <w:tcPr>
            <w:tcW w:w="4466" w:type="dxa"/>
            <w:gridSpan w:val="3"/>
            <w:tcBorders>
              <w:bottom w:val="single" w:sz="12" w:space="0" w:color="auto"/>
            </w:tcBorders>
            <w:vAlign w:val="center"/>
          </w:tcPr>
          <w:p w:rsidR="0065505C" w:rsidRDefault="0065505C" w:rsidP="0065505C">
            <w:pPr>
              <w:jc w:val="right"/>
              <w:rPr>
                <w:b/>
                <w:bCs/>
                <w:sz w:val="28"/>
              </w:rPr>
            </w:pPr>
            <w:r>
              <w:rPr>
                <w:b/>
                <w:bCs/>
                <w:sz w:val="28"/>
              </w:rPr>
              <w:t>English only</w:t>
            </w:r>
          </w:p>
          <w:p w:rsidR="0065505C" w:rsidRPr="0065505C" w:rsidRDefault="0065505C" w:rsidP="0065505C">
            <w:pPr>
              <w:jc w:val="right"/>
              <w:rPr>
                <w:b/>
                <w:bCs/>
                <w:sz w:val="28"/>
              </w:rPr>
            </w:pPr>
            <w:r>
              <w:rPr>
                <w:b/>
                <w:bCs/>
                <w:sz w:val="28"/>
              </w:rPr>
              <w:t>Original: English</w:t>
            </w:r>
          </w:p>
        </w:tc>
      </w:tr>
      <w:tr w:rsidR="0065505C" w:rsidRPr="0065505C">
        <w:trPr>
          <w:cantSplit/>
          <w:trHeight w:val="357"/>
        </w:trPr>
        <w:tc>
          <w:tcPr>
            <w:tcW w:w="1617" w:type="dxa"/>
            <w:gridSpan w:val="2"/>
          </w:tcPr>
          <w:p w:rsidR="0065505C" w:rsidRPr="0065505C" w:rsidRDefault="0065505C" w:rsidP="0065505C">
            <w:pPr>
              <w:rPr>
                <w:b/>
                <w:bCs/>
              </w:rPr>
            </w:pPr>
            <w:bookmarkStart w:id="6" w:name="dbluepink" w:colFirst="1" w:colLast="1"/>
            <w:bookmarkStart w:id="7" w:name="dmeeting" w:colFirst="2" w:colLast="2"/>
            <w:bookmarkEnd w:id="4"/>
            <w:bookmarkEnd w:id="5"/>
            <w:r w:rsidRPr="0065505C">
              <w:rPr>
                <w:b/>
                <w:bCs/>
              </w:rPr>
              <w:t>Question(s):</w:t>
            </w:r>
          </w:p>
        </w:tc>
        <w:tc>
          <w:tcPr>
            <w:tcW w:w="3360" w:type="dxa"/>
            <w:gridSpan w:val="2"/>
          </w:tcPr>
          <w:p w:rsidR="0065505C" w:rsidRPr="0065505C" w:rsidRDefault="0065505C" w:rsidP="0065505C">
            <w:r w:rsidRPr="0065505C">
              <w:t>2/15</w:t>
            </w:r>
          </w:p>
        </w:tc>
        <w:tc>
          <w:tcPr>
            <w:tcW w:w="4946" w:type="dxa"/>
            <w:gridSpan w:val="4"/>
          </w:tcPr>
          <w:p w:rsidR="0065505C" w:rsidRPr="0065505C" w:rsidRDefault="0065505C" w:rsidP="0065505C">
            <w:pPr>
              <w:jc w:val="right"/>
            </w:pPr>
          </w:p>
        </w:tc>
      </w:tr>
      <w:tr w:rsidR="0065505C" w:rsidRPr="0065505C">
        <w:trPr>
          <w:cantSplit/>
          <w:trHeight w:val="357"/>
        </w:trPr>
        <w:tc>
          <w:tcPr>
            <w:tcW w:w="9923" w:type="dxa"/>
            <w:gridSpan w:val="8"/>
          </w:tcPr>
          <w:p w:rsidR="0065505C" w:rsidRPr="0065505C" w:rsidRDefault="0065505C" w:rsidP="0065505C">
            <w:pPr>
              <w:jc w:val="center"/>
              <w:rPr>
                <w:b/>
                <w:bCs/>
              </w:rPr>
            </w:pPr>
            <w:bookmarkStart w:id="8" w:name="dtitle" w:colFirst="0" w:colLast="0"/>
            <w:bookmarkEnd w:id="6"/>
            <w:bookmarkEnd w:id="7"/>
            <w:r w:rsidRPr="0065505C">
              <w:rPr>
                <w:b/>
                <w:bCs/>
              </w:rPr>
              <w:t>Ref.: TD 500 (WP 1/15)</w:t>
            </w:r>
          </w:p>
        </w:tc>
      </w:tr>
      <w:tr w:rsidR="0065505C" w:rsidRPr="0065505C">
        <w:trPr>
          <w:cantSplit/>
          <w:trHeight w:val="357"/>
        </w:trPr>
        <w:tc>
          <w:tcPr>
            <w:tcW w:w="1617" w:type="dxa"/>
            <w:gridSpan w:val="2"/>
          </w:tcPr>
          <w:p w:rsidR="0065505C" w:rsidRPr="0065505C" w:rsidRDefault="0065505C" w:rsidP="0065505C">
            <w:pPr>
              <w:rPr>
                <w:b/>
                <w:bCs/>
              </w:rPr>
            </w:pPr>
            <w:bookmarkStart w:id="9" w:name="dsource" w:colFirst="1" w:colLast="1"/>
            <w:bookmarkEnd w:id="8"/>
            <w:r w:rsidRPr="0065505C">
              <w:rPr>
                <w:b/>
                <w:bCs/>
              </w:rPr>
              <w:t>Source:</w:t>
            </w:r>
          </w:p>
        </w:tc>
        <w:tc>
          <w:tcPr>
            <w:tcW w:w="8306" w:type="dxa"/>
            <w:gridSpan w:val="6"/>
          </w:tcPr>
          <w:p w:rsidR="0065505C" w:rsidRPr="0065505C" w:rsidRDefault="0065505C" w:rsidP="0065505C">
            <w:r>
              <w:t>ITU-T Study Group 15</w:t>
            </w:r>
          </w:p>
        </w:tc>
      </w:tr>
      <w:tr w:rsidR="0065505C" w:rsidRPr="0065505C">
        <w:trPr>
          <w:cantSplit/>
          <w:trHeight w:val="357"/>
        </w:trPr>
        <w:tc>
          <w:tcPr>
            <w:tcW w:w="1617" w:type="dxa"/>
            <w:gridSpan w:val="2"/>
            <w:tcBorders>
              <w:bottom w:val="single" w:sz="12" w:space="0" w:color="auto"/>
            </w:tcBorders>
          </w:tcPr>
          <w:p w:rsidR="0065505C" w:rsidRPr="0065505C" w:rsidRDefault="0065505C" w:rsidP="0065505C">
            <w:pPr>
              <w:spacing w:after="120"/>
            </w:pPr>
            <w:bookmarkStart w:id="10" w:name="dtitle1" w:colFirst="1" w:colLast="1"/>
            <w:bookmarkEnd w:id="9"/>
            <w:r w:rsidRPr="0065505C">
              <w:rPr>
                <w:b/>
                <w:bCs/>
              </w:rPr>
              <w:t>Title:</w:t>
            </w:r>
          </w:p>
        </w:tc>
        <w:tc>
          <w:tcPr>
            <w:tcW w:w="8306" w:type="dxa"/>
            <w:gridSpan w:val="6"/>
            <w:tcBorders>
              <w:bottom w:val="single" w:sz="12" w:space="0" w:color="auto"/>
            </w:tcBorders>
          </w:tcPr>
          <w:p w:rsidR="0065505C" w:rsidRPr="0065505C" w:rsidRDefault="0065505C" w:rsidP="0065505C">
            <w:pPr>
              <w:spacing w:after="120"/>
            </w:pPr>
            <w:r>
              <w:t>LS</w:t>
            </w:r>
            <w:r w:rsidRPr="0065505C">
              <w:t xml:space="preserve"> on Wireless Fronthaul Transport Requ</w:t>
            </w:r>
            <w:bookmarkStart w:id="11" w:name="_GoBack"/>
            <w:bookmarkEnd w:id="11"/>
            <w:r w:rsidRPr="0065505C">
              <w:t xml:space="preserve">irements over Access Systems </w:t>
            </w:r>
          </w:p>
        </w:tc>
      </w:tr>
      <w:bookmarkEnd w:id="2"/>
      <w:bookmarkEnd w:id="10"/>
      <w:tr w:rsidR="00550040" w:rsidRPr="00FE1235" w:rsidTr="000A50F5">
        <w:trPr>
          <w:cantSplit/>
          <w:trHeight w:val="357"/>
        </w:trPr>
        <w:tc>
          <w:tcPr>
            <w:tcW w:w="9923" w:type="dxa"/>
            <w:gridSpan w:val="8"/>
            <w:tcBorders>
              <w:top w:val="single" w:sz="12" w:space="0" w:color="auto"/>
            </w:tcBorders>
          </w:tcPr>
          <w:p w:rsidR="00550040" w:rsidRPr="00FE1235" w:rsidRDefault="00550040" w:rsidP="000A50F5">
            <w:pPr>
              <w:jc w:val="center"/>
              <w:rPr>
                <w:b/>
              </w:rPr>
            </w:pPr>
            <w:r w:rsidRPr="00FE1235">
              <w:rPr>
                <w:b/>
              </w:rPr>
              <w:t>LIAISON STATEMENT</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action to:</w:t>
            </w:r>
          </w:p>
        </w:tc>
        <w:tc>
          <w:tcPr>
            <w:tcW w:w="7739" w:type="dxa"/>
            <w:gridSpan w:val="5"/>
          </w:tcPr>
          <w:p w:rsidR="00550040" w:rsidRPr="00BB042C" w:rsidRDefault="00BB042C" w:rsidP="000A50F5">
            <w:pPr>
              <w:pStyle w:val="LSForAction"/>
              <w:rPr>
                <w:b w:val="0"/>
                <w:bCs w:val="0"/>
              </w:rPr>
            </w:pPr>
            <w:r w:rsidRPr="00BB042C">
              <w:rPr>
                <w:b w:val="0"/>
                <w:bCs w:val="0"/>
              </w:rPr>
              <w:t>-</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comment to:</w:t>
            </w:r>
          </w:p>
        </w:tc>
        <w:tc>
          <w:tcPr>
            <w:tcW w:w="7739" w:type="dxa"/>
            <w:gridSpan w:val="5"/>
          </w:tcPr>
          <w:p w:rsidR="00550040" w:rsidRDefault="00523246" w:rsidP="000A50F5">
            <w:pPr>
              <w:pStyle w:val="LSForComment"/>
              <w:rPr>
                <w:b w:val="0"/>
                <w:bCs w:val="0"/>
                <w:lang w:eastAsia="ja-JP"/>
              </w:rPr>
            </w:pPr>
            <w:r w:rsidRPr="00BB042C">
              <w:rPr>
                <w:rFonts w:hint="eastAsia"/>
                <w:b w:val="0"/>
                <w:bCs w:val="0"/>
                <w:lang w:eastAsia="ja-JP"/>
              </w:rPr>
              <w:t>NGMN Alliance</w:t>
            </w:r>
            <w:r w:rsidR="00FB211E">
              <w:rPr>
                <w:rFonts w:hint="eastAsia"/>
                <w:b w:val="0"/>
                <w:bCs w:val="0"/>
                <w:lang w:eastAsia="ja-JP"/>
              </w:rPr>
              <w:t xml:space="preserve"> (</w:t>
            </w:r>
            <w:r w:rsidR="00FB211E" w:rsidRPr="00BB042C">
              <w:rPr>
                <w:b w:val="0"/>
                <w:bCs w:val="0"/>
                <w:lang w:eastAsia="ja-JP"/>
              </w:rPr>
              <w:t>RAN Evolution</w:t>
            </w:r>
            <w:r w:rsidR="00FB211E">
              <w:rPr>
                <w:rFonts w:hint="eastAsia"/>
                <w:b w:val="0"/>
                <w:bCs w:val="0"/>
                <w:lang w:eastAsia="ja-JP"/>
              </w:rPr>
              <w:t xml:space="preserve"> project)</w:t>
            </w:r>
          </w:p>
          <w:p w:rsidR="00CF5E9A" w:rsidRPr="00BB042C" w:rsidRDefault="00CF5E9A" w:rsidP="000E067E">
            <w:pPr>
              <w:pStyle w:val="LSForComment"/>
              <w:rPr>
                <w:b w:val="0"/>
                <w:bCs w:val="0"/>
                <w:lang w:eastAsia="ja-JP"/>
              </w:rPr>
            </w:pPr>
            <w:r>
              <w:rPr>
                <w:rFonts w:hint="eastAsia"/>
                <w:b w:val="0"/>
                <w:bCs w:val="0"/>
                <w:lang w:eastAsia="ja-JP"/>
              </w:rPr>
              <w:t>3GPP</w:t>
            </w:r>
            <w:r w:rsidR="00FB211E">
              <w:rPr>
                <w:rFonts w:hint="eastAsia"/>
                <w:b w:val="0"/>
                <w:bCs w:val="0"/>
                <w:lang w:eastAsia="ja-JP"/>
              </w:rPr>
              <w:t xml:space="preserve"> </w:t>
            </w:r>
            <w:r w:rsidR="00FB211E" w:rsidRPr="00FB211E">
              <w:rPr>
                <w:b w:val="0"/>
                <w:bCs w:val="0"/>
                <w:lang w:eastAsia="ja-JP"/>
              </w:rPr>
              <w:t>(RAN3, RAN4 and RAN1)</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information to:</w:t>
            </w:r>
          </w:p>
        </w:tc>
        <w:tc>
          <w:tcPr>
            <w:tcW w:w="7739" w:type="dxa"/>
            <w:gridSpan w:val="5"/>
          </w:tcPr>
          <w:p w:rsidR="00550040" w:rsidRPr="00BB042C" w:rsidRDefault="000E067E" w:rsidP="000A50F5">
            <w:pPr>
              <w:pStyle w:val="LSForInfo"/>
              <w:rPr>
                <w:b w:val="0"/>
                <w:bCs w:val="0"/>
                <w:lang w:eastAsia="ja-JP"/>
              </w:rPr>
            </w:pPr>
            <w:r>
              <w:rPr>
                <w:rFonts w:hint="eastAsia"/>
                <w:b w:val="0"/>
                <w:bCs w:val="0"/>
                <w:lang w:eastAsia="ja-JP"/>
              </w:rPr>
              <w:t xml:space="preserve">3GPP </w:t>
            </w:r>
            <w:r w:rsidRPr="00FB211E">
              <w:rPr>
                <w:b w:val="0"/>
                <w:bCs w:val="0"/>
                <w:lang w:eastAsia="ja-JP"/>
              </w:rPr>
              <w:t>(RAN plenary</w:t>
            </w:r>
            <w:r>
              <w:rPr>
                <w:rFonts w:hint="eastAsia"/>
                <w:b w:val="0"/>
                <w:bCs w:val="0"/>
                <w:lang w:eastAsia="ja-JP"/>
              </w:rPr>
              <w:t>)</w:t>
            </w:r>
          </w:p>
        </w:tc>
      </w:tr>
      <w:tr w:rsidR="00550040" w:rsidRPr="003E6CF0" w:rsidTr="000A50F5">
        <w:trPr>
          <w:cantSplit/>
          <w:trHeight w:val="357"/>
        </w:trPr>
        <w:tc>
          <w:tcPr>
            <w:tcW w:w="2184" w:type="dxa"/>
            <w:gridSpan w:val="3"/>
          </w:tcPr>
          <w:p w:rsidR="00550040" w:rsidRPr="00FE1235" w:rsidRDefault="00550040" w:rsidP="000A50F5">
            <w:pPr>
              <w:rPr>
                <w:b/>
                <w:bCs/>
              </w:rPr>
            </w:pPr>
            <w:r w:rsidRPr="00FE1235">
              <w:rPr>
                <w:b/>
                <w:bCs/>
              </w:rPr>
              <w:t>Approval:</w:t>
            </w:r>
          </w:p>
        </w:tc>
        <w:tc>
          <w:tcPr>
            <w:tcW w:w="7739" w:type="dxa"/>
            <w:gridSpan w:val="5"/>
          </w:tcPr>
          <w:p w:rsidR="00550040" w:rsidRPr="003E6CF0" w:rsidRDefault="00587912" w:rsidP="003E6CF0">
            <w:pPr>
              <w:rPr>
                <w:lang w:val="fr-CH"/>
              </w:rPr>
            </w:pPr>
            <w:r w:rsidRPr="003E6CF0">
              <w:rPr>
                <w:lang w:val="fr-CH"/>
              </w:rPr>
              <w:t xml:space="preserve">ITU-T </w:t>
            </w:r>
            <w:r w:rsidR="00CF5E9A" w:rsidRPr="003E6CF0">
              <w:rPr>
                <w:rFonts w:hint="eastAsia"/>
                <w:lang w:val="fr-CH" w:eastAsia="ja-JP"/>
              </w:rPr>
              <w:t>Q2/</w:t>
            </w:r>
            <w:r w:rsidRPr="003E6CF0">
              <w:rPr>
                <w:lang w:val="fr-CH"/>
              </w:rPr>
              <w:t xml:space="preserve">15 </w:t>
            </w:r>
            <w:r w:rsidR="003E6CF0">
              <w:rPr>
                <w:lang w:val="fr-CH"/>
              </w:rPr>
              <w:t xml:space="preserve">meeting </w:t>
            </w:r>
            <w:r w:rsidR="00CF5E9A" w:rsidRPr="003E6CF0">
              <w:rPr>
                <w:rFonts w:hint="eastAsia"/>
                <w:lang w:val="fr-CH" w:eastAsia="ja-JP"/>
              </w:rPr>
              <w:t>(</w:t>
            </w:r>
            <w:r w:rsidR="003E6CF0">
              <w:rPr>
                <w:lang w:val="fr-CH" w:eastAsia="ja-JP"/>
              </w:rPr>
              <w:t xml:space="preserve">Tours, France, </w:t>
            </w:r>
            <w:r w:rsidR="00CF5E9A" w:rsidRPr="003E6CF0">
              <w:rPr>
                <w:rFonts w:hint="eastAsia"/>
                <w:lang w:val="fr-CH" w:eastAsia="ja-JP"/>
              </w:rPr>
              <w:t>1</w:t>
            </w:r>
            <w:r w:rsidRPr="003E6CF0">
              <w:rPr>
                <w:lang w:val="fr-CH"/>
              </w:rPr>
              <w:t xml:space="preserve">7 </w:t>
            </w:r>
            <w:r w:rsidR="00CF5E9A" w:rsidRPr="003E6CF0">
              <w:rPr>
                <w:rFonts w:hint="eastAsia"/>
                <w:lang w:val="fr-CH" w:eastAsia="ja-JP"/>
              </w:rPr>
              <w:t>April 2015</w:t>
            </w:r>
            <w:r w:rsidRPr="003E6CF0">
              <w:rPr>
                <w:lang w:val="fr-CH"/>
              </w:rPr>
              <w:t>)</w:t>
            </w:r>
          </w:p>
        </w:tc>
      </w:tr>
      <w:tr w:rsidR="00550040" w:rsidRPr="00FE1235" w:rsidTr="000A50F5">
        <w:trPr>
          <w:cantSplit/>
          <w:trHeight w:val="357"/>
        </w:trPr>
        <w:tc>
          <w:tcPr>
            <w:tcW w:w="2184" w:type="dxa"/>
            <w:gridSpan w:val="3"/>
            <w:tcBorders>
              <w:bottom w:val="single" w:sz="12" w:space="0" w:color="auto"/>
            </w:tcBorders>
          </w:tcPr>
          <w:p w:rsidR="00550040" w:rsidRPr="00FE1235" w:rsidRDefault="00550040" w:rsidP="000A50F5">
            <w:pPr>
              <w:rPr>
                <w:b/>
                <w:bCs/>
              </w:rPr>
            </w:pPr>
            <w:r w:rsidRPr="00FE1235">
              <w:rPr>
                <w:b/>
                <w:bCs/>
              </w:rPr>
              <w:t>Deadline:</w:t>
            </w:r>
          </w:p>
        </w:tc>
        <w:tc>
          <w:tcPr>
            <w:tcW w:w="7739" w:type="dxa"/>
            <w:gridSpan w:val="5"/>
            <w:tcBorders>
              <w:bottom w:val="single" w:sz="12" w:space="0" w:color="auto"/>
            </w:tcBorders>
          </w:tcPr>
          <w:p w:rsidR="00550040" w:rsidRPr="00BB042C" w:rsidRDefault="00FB211E" w:rsidP="000A50F5">
            <w:pPr>
              <w:pStyle w:val="LSDeadline"/>
              <w:rPr>
                <w:b w:val="0"/>
                <w:bCs w:val="0"/>
                <w:lang w:eastAsia="ja-JP"/>
              </w:rPr>
            </w:pPr>
            <w:r>
              <w:rPr>
                <w:rFonts w:hint="eastAsia"/>
                <w:b w:val="0"/>
                <w:bCs w:val="0"/>
                <w:lang w:eastAsia="ja-JP"/>
              </w:rPr>
              <w:t>15 June 2015</w:t>
            </w:r>
          </w:p>
        </w:tc>
      </w:tr>
      <w:tr w:rsidR="00550040" w:rsidRPr="00FE1235" w:rsidTr="00844043">
        <w:trPr>
          <w:cantSplit/>
          <w:trHeight w:val="204"/>
        </w:trPr>
        <w:tc>
          <w:tcPr>
            <w:tcW w:w="2184" w:type="dxa"/>
            <w:gridSpan w:val="3"/>
            <w:tcBorders>
              <w:top w:val="single" w:sz="12" w:space="0" w:color="auto"/>
            </w:tcBorders>
          </w:tcPr>
          <w:p w:rsidR="00550040" w:rsidRPr="00FE1235" w:rsidRDefault="00550040" w:rsidP="000A50F5">
            <w:pPr>
              <w:rPr>
                <w:b/>
                <w:bCs/>
              </w:rPr>
            </w:pPr>
            <w:r w:rsidRPr="00FE1235">
              <w:rPr>
                <w:b/>
                <w:bCs/>
              </w:rPr>
              <w:t>Contact:</w:t>
            </w:r>
          </w:p>
        </w:tc>
        <w:tc>
          <w:tcPr>
            <w:tcW w:w="3402" w:type="dxa"/>
            <w:gridSpan w:val="3"/>
            <w:tcBorders>
              <w:top w:val="single" w:sz="12" w:space="0" w:color="auto"/>
            </w:tcBorders>
          </w:tcPr>
          <w:p w:rsidR="00550040" w:rsidRPr="003E6CF0" w:rsidRDefault="00550040" w:rsidP="000A50F5">
            <w:pPr>
              <w:rPr>
                <w:lang w:val="fr-CH" w:eastAsia="ja-JP"/>
              </w:rPr>
            </w:pPr>
            <w:r w:rsidRPr="003E6CF0">
              <w:rPr>
                <w:lang w:val="fr-CH"/>
              </w:rPr>
              <w:t>Frank Effenberger</w:t>
            </w:r>
          </w:p>
          <w:p w:rsidR="009A74D0" w:rsidRPr="003E6CF0" w:rsidRDefault="009A74D0" w:rsidP="003E6CF0">
            <w:pPr>
              <w:spacing w:before="0"/>
              <w:rPr>
                <w:lang w:val="fr-CH" w:eastAsia="ja-JP"/>
              </w:rPr>
            </w:pPr>
            <w:r w:rsidRPr="003E6CF0">
              <w:rPr>
                <w:rFonts w:hint="eastAsia"/>
                <w:lang w:val="fr-CH" w:eastAsia="ja-JP"/>
              </w:rPr>
              <w:t>Rapporteur Q2/15</w:t>
            </w:r>
          </w:p>
          <w:p w:rsidR="00550040" w:rsidRPr="0065505C" w:rsidRDefault="009A74D0" w:rsidP="003E6CF0">
            <w:pPr>
              <w:spacing w:before="0"/>
              <w:rPr>
                <w:lang w:val="fr-CH"/>
              </w:rPr>
            </w:pPr>
            <w:r w:rsidRPr="003E6CF0">
              <w:rPr>
                <w:rFonts w:hint="eastAsia"/>
                <w:lang w:val="fr-CH" w:eastAsia="ja-JP"/>
              </w:rPr>
              <w:t>Futurewei</w:t>
            </w:r>
            <w:r w:rsidR="003E6CF0">
              <w:rPr>
                <w:lang w:val="fr-CH" w:eastAsia="ja-JP"/>
              </w:rPr>
              <w:t xml:space="preserve">, </w:t>
            </w:r>
            <w:r w:rsidRPr="0065505C">
              <w:rPr>
                <w:rFonts w:hint="eastAsia"/>
                <w:lang w:val="fr-CH" w:eastAsia="ja-JP"/>
              </w:rPr>
              <w:t>USA</w:t>
            </w:r>
          </w:p>
        </w:tc>
        <w:tc>
          <w:tcPr>
            <w:tcW w:w="4337" w:type="dxa"/>
            <w:gridSpan w:val="2"/>
            <w:tcBorders>
              <w:top w:val="single" w:sz="12" w:space="0" w:color="auto"/>
            </w:tcBorders>
          </w:tcPr>
          <w:p w:rsidR="00550040" w:rsidRPr="00FE1235" w:rsidRDefault="00550040" w:rsidP="00BB042C">
            <w:pPr>
              <w:rPr>
                <w:lang w:val="fr-CH"/>
              </w:rPr>
            </w:pPr>
            <w:r w:rsidRPr="00FE1235">
              <w:rPr>
                <w:lang w:val="fr-CH"/>
              </w:rPr>
              <w:t xml:space="preserve">Email: </w:t>
            </w:r>
            <w:hyperlink r:id="rId9" w:history="1">
              <w:r w:rsidR="00BB042C" w:rsidRPr="003A1CDD">
                <w:rPr>
                  <w:rStyle w:val="Hyperlink"/>
                  <w:lang w:val="fr-CH"/>
                </w:rPr>
                <w:t>frank.effenberger@huawei.com</w:t>
              </w:r>
            </w:hyperlink>
            <w:r w:rsidR="00BB042C">
              <w:rPr>
                <w:lang w:val="fr-CH"/>
              </w:rPr>
              <w:t xml:space="preserve"> </w:t>
            </w:r>
          </w:p>
        </w:tc>
      </w:tr>
      <w:tr w:rsidR="00550040" w:rsidRPr="00FE1235" w:rsidTr="00844043">
        <w:trPr>
          <w:cantSplit/>
          <w:trHeight w:val="204"/>
        </w:trPr>
        <w:tc>
          <w:tcPr>
            <w:tcW w:w="2184" w:type="dxa"/>
            <w:gridSpan w:val="3"/>
            <w:tcBorders>
              <w:top w:val="single" w:sz="12" w:space="0" w:color="auto"/>
            </w:tcBorders>
          </w:tcPr>
          <w:p w:rsidR="00550040" w:rsidRPr="00FE1235" w:rsidRDefault="00550040" w:rsidP="000A50F5">
            <w:pPr>
              <w:rPr>
                <w:b/>
                <w:bCs/>
                <w:lang w:val="fr-CH"/>
              </w:rPr>
            </w:pPr>
            <w:r w:rsidRPr="00FE1235">
              <w:rPr>
                <w:b/>
                <w:bCs/>
                <w:lang w:val="fr-CH"/>
              </w:rPr>
              <w:t>Contact:</w:t>
            </w:r>
          </w:p>
        </w:tc>
        <w:tc>
          <w:tcPr>
            <w:tcW w:w="3402" w:type="dxa"/>
            <w:gridSpan w:val="3"/>
            <w:tcBorders>
              <w:top w:val="single" w:sz="12" w:space="0" w:color="auto"/>
            </w:tcBorders>
          </w:tcPr>
          <w:p w:rsidR="00550040" w:rsidRPr="003E6CF0" w:rsidRDefault="00550040" w:rsidP="000A50F5">
            <w:pPr>
              <w:rPr>
                <w:lang w:val="fr-CH" w:eastAsia="ja-JP"/>
              </w:rPr>
            </w:pPr>
            <w:r w:rsidRPr="003E6CF0">
              <w:rPr>
                <w:rFonts w:hint="eastAsia"/>
                <w:lang w:val="fr-CH" w:eastAsia="ja-JP"/>
              </w:rPr>
              <w:t>Junichi Kani</w:t>
            </w:r>
          </w:p>
          <w:p w:rsidR="009A74D0" w:rsidRPr="003E6CF0" w:rsidRDefault="009A74D0" w:rsidP="003E6CF0">
            <w:pPr>
              <w:spacing w:before="0"/>
              <w:rPr>
                <w:lang w:val="fr-CH" w:eastAsia="ja-JP"/>
              </w:rPr>
            </w:pPr>
            <w:r w:rsidRPr="003E6CF0">
              <w:rPr>
                <w:rFonts w:hint="eastAsia"/>
                <w:lang w:val="fr-CH" w:eastAsia="ja-JP"/>
              </w:rPr>
              <w:t>Associate Rapporteur Q2/15</w:t>
            </w:r>
          </w:p>
          <w:p w:rsidR="00550040" w:rsidRPr="003E6CF0" w:rsidRDefault="00550040" w:rsidP="003E6CF0">
            <w:pPr>
              <w:spacing w:before="0"/>
              <w:rPr>
                <w:lang w:val="fr-CH" w:eastAsia="ja-JP"/>
              </w:rPr>
            </w:pPr>
            <w:r w:rsidRPr="003E6CF0">
              <w:rPr>
                <w:rFonts w:hint="eastAsia"/>
                <w:lang w:val="fr-CH" w:eastAsia="ja-JP"/>
              </w:rPr>
              <w:t>NTT</w:t>
            </w:r>
            <w:r w:rsidR="003E6CF0" w:rsidRPr="003E6CF0">
              <w:rPr>
                <w:lang w:val="fr-CH" w:eastAsia="ja-JP"/>
              </w:rPr>
              <w:t xml:space="preserve">, </w:t>
            </w:r>
            <w:r w:rsidRPr="003E6CF0">
              <w:rPr>
                <w:rFonts w:hint="eastAsia"/>
                <w:lang w:val="fr-CH" w:eastAsia="ja-JP"/>
              </w:rPr>
              <w:t>Japan</w:t>
            </w:r>
          </w:p>
        </w:tc>
        <w:tc>
          <w:tcPr>
            <w:tcW w:w="4337" w:type="dxa"/>
            <w:gridSpan w:val="2"/>
            <w:tcBorders>
              <w:top w:val="single" w:sz="12" w:space="0" w:color="auto"/>
            </w:tcBorders>
          </w:tcPr>
          <w:p w:rsidR="00550040" w:rsidRPr="00FE1235" w:rsidRDefault="00550040" w:rsidP="00BB042C">
            <w:pPr>
              <w:rPr>
                <w:lang w:eastAsia="ja-JP"/>
              </w:rPr>
            </w:pPr>
            <w:r w:rsidRPr="00FE1235">
              <w:t xml:space="preserve">Email: </w:t>
            </w:r>
            <w:hyperlink r:id="rId10" w:history="1">
              <w:r w:rsidR="00BB042C" w:rsidRPr="003A1CDD">
                <w:rPr>
                  <w:rStyle w:val="Hyperlink"/>
                  <w:rFonts w:hint="eastAsia"/>
                  <w:lang w:eastAsia="ja-JP"/>
                </w:rPr>
                <w:t>kani.junichi@lab.ntt.co.jp</w:t>
              </w:r>
            </w:hyperlink>
            <w:r w:rsidR="00BB042C">
              <w:rPr>
                <w:lang w:eastAsia="ja-JP"/>
              </w:rPr>
              <w:t xml:space="preserve"> </w:t>
            </w:r>
          </w:p>
        </w:tc>
      </w:tr>
      <w:tr w:rsidR="00550040" w:rsidRPr="00FE1235" w:rsidTr="000A50F5">
        <w:trPr>
          <w:cantSplit/>
          <w:trHeight w:val="204"/>
        </w:trPr>
        <w:tc>
          <w:tcPr>
            <w:tcW w:w="9923" w:type="dxa"/>
            <w:gridSpan w:val="8"/>
            <w:tcBorders>
              <w:top w:val="single" w:sz="12" w:space="0" w:color="auto"/>
            </w:tcBorders>
          </w:tcPr>
          <w:p w:rsidR="00550040" w:rsidRPr="00FE1235" w:rsidRDefault="00550040" w:rsidP="000A50F5">
            <w:pPr>
              <w:spacing w:before="0"/>
              <w:rPr>
                <w:sz w:val="18"/>
              </w:rPr>
            </w:pPr>
          </w:p>
        </w:tc>
      </w:tr>
    </w:tbl>
    <w:p w:rsidR="00FB211E" w:rsidRDefault="00FB211E" w:rsidP="00FB211E">
      <w:pPr>
        <w:jc w:val="both"/>
        <w:rPr>
          <w:lang w:eastAsia="ja-JP"/>
        </w:rPr>
      </w:pPr>
      <w:r>
        <w:rPr>
          <w:rFonts w:hint="eastAsia"/>
          <w:lang w:eastAsia="ja-JP"/>
        </w:rPr>
        <w:t xml:space="preserve">ITU-T Q2/15 is now developing Draft Recommendation G.989.1 </w:t>
      </w:r>
      <w:r>
        <w:rPr>
          <w:lang w:eastAsia="ja-JP"/>
        </w:rPr>
        <w:t>“</w:t>
      </w:r>
      <w:r>
        <w:rPr>
          <w:rFonts w:hint="eastAsia"/>
          <w:lang w:eastAsia="ja-JP"/>
        </w:rPr>
        <w:t>4</w:t>
      </w:r>
      <w:r w:rsidRPr="006C3927">
        <w:rPr>
          <w:lang w:eastAsia="ja-JP"/>
        </w:rPr>
        <w:t>0-Gigabit-capable passive optical networks (NG-PON2): General requirements</w:t>
      </w:r>
      <w:r>
        <w:rPr>
          <w:rFonts w:hint="eastAsia"/>
          <w:lang w:eastAsia="ja-JP"/>
        </w:rPr>
        <w:t>, Amendment 1</w:t>
      </w:r>
      <w:r>
        <w:rPr>
          <w:lang w:eastAsia="ja-JP"/>
        </w:rPr>
        <w:t>”</w:t>
      </w:r>
      <w:r>
        <w:rPr>
          <w:rFonts w:hint="eastAsia"/>
          <w:lang w:eastAsia="ja-JP"/>
        </w:rPr>
        <w:t>. Our target is to reach consent on this document in the next SG15 plenary meeting to be held on from June 22th to July 3rd, 2015, in Geneva. This document includes requirements for the t</w:t>
      </w:r>
      <w:r>
        <w:t>ransport of wireless front-haul links over the access system</w:t>
      </w:r>
      <w:r>
        <w:rPr>
          <w:rFonts w:hint="eastAsia"/>
          <w:lang w:eastAsia="ja-JP"/>
        </w:rPr>
        <w:t xml:space="preserve"> in Clause 7.</w:t>
      </w:r>
    </w:p>
    <w:p w:rsidR="00FB211E" w:rsidRDefault="00FB211E" w:rsidP="00FB211E">
      <w:pPr>
        <w:jc w:val="both"/>
        <w:rPr>
          <w:lang w:eastAsia="ja-JP"/>
        </w:rPr>
      </w:pPr>
      <w:r>
        <w:rPr>
          <w:lang w:eastAsia="ja-JP"/>
        </w:rPr>
        <w:t>By this liaison</w:t>
      </w:r>
      <w:r>
        <w:rPr>
          <w:rFonts w:hint="eastAsia"/>
          <w:lang w:eastAsia="ja-JP"/>
        </w:rPr>
        <w:t xml:space="preserve"> statement</w:t>
      </w:r>
      <w:r>
        <w:rPr>
          <w:lang w:eastAsia="ja-JP"/>
        </w:rPr>
        <w:t xml:space="preserve">, ITU-T </w:t>
      </w:r>
      <w:r>
        <w:rPr>
          <w:rFonts w:hint="eastAsia"/>
          <w:lang w:eastAsia="ja-JP"/>
        </w:rPr>
        <w:t>Q2/</w:t>
      </w:r>
      <w:r>
        <w:rPr>
          <w:lang w:eastAsia="ja-JP"/>
        </w:rPr>
        <w:t xml:space="preserve">15 would like to ask 3GPP (RAN3, RAN4 and RAN1) </w:t>
      </w:r>
      <w:r>
        <w:rPr>
          <w:rFonts w:hint="eastAsia"/>
          <w:lang w:eastAsia="ja-JP"/>
        </w:rPr>
        <w:t xml:space="preserve">as well as NGMN (RAN Evolution pj.) </w:t>
      </w:r>
      <w:r>
        <w:rPr>
          <w:lang w:eastAsia="ja-JP"/>
        </w:rPr>
        <w:t xml:space="preserve">for timings clarification between </w:t>
      </w:r>
      <w:r w:rsidR="008A4C5B">
        <w:rPr>
          <w:rFonts w:hint="eastAsia"/>
          <w:lang w:eastAsia="ja-JP"/>
        </w:rPr>
        <w:t>Digital Unit (</w:t>
      </w:r>
      <w:r>
        <w:rPr>
          <w:lang w:eastAsia="ja-JP"/>
        </w:rPr>
        <w:t>DU</w:t>
      </w:r>
      <w:r w:rsidR="008A4C5B">
        <w:rPr>
          <w:rFonts w:hint="eastAsia"/>
          <w:lang w:eastAsia="ja-JP"/>
        </w:rPr>
        <w:t>)</w:t>
      </w:r>
      <w:r w:rsidR="000E067E">
        <w:rPr>
          <w:rFonts w:hint="eastAsia"/>
          <w:lang w:eastAsia="ja-JP"/>
        </w:rPr>
        <w:t xml:space="preserve"> </w:t>
      </w:r>
      <w:r>
        <w:rPr>
          <w:lang w:eastAsia="ja-JP"/>
        </w:rPr>
        <w:t xml:space="preserve">and </w:t>
      </w:r>
      <w:r w:rsidR="008A4C5B">
        <w:rPr>
          <w:rFonts w:hint="eastAsia"/>
          <w:lang w:eastAsia="ja-JP"/>
        </w:rPr>
        <w:t>Radio Unit (</w:t>
      </w:r>
      <w:r>
        <w:rPr>
          <w:lang w:eastAsia="ja-JP"/>
        </w:rPr>
        <w:t>RU</w:t>
      </w:r>
      <w:r w:rsidR="008A4C5B">
        <w:rPr>
          <w:rFonts w:hint="eastAsia"/>
          <w:lang w:eastAsia="ja-JP"/>
        </w:rPr>
        <w:t>)</w:t>
      </w:r>
      <w:r>
        <w:rPr>
          <w:rFonts w:hint="eastAsia"/>
          <w:lang w:eastAsia="ja-JP"/>
        </w:rPr>
        <w:t>, i.e.</w:t>
      </w:r>
      <w:r>
        <w:rPr>
          <w:lang w:eastAsia="ja-JP"/>
        </w:rPr>
        <w:t xml:space="preserve"> </w:t>
      </w:r>
      <w:r>
        <w:rPr>
          <w:rFonts w:hint="eastAsia"/>
          <w:lang w:eastAsia="ja-JP"/>
        </w:rPr>
        <w:t xml:space="preserve">the </w:t>
      </w:r>
      <w:r>
        <w:rPr>
          <w:lang w:eastAsia="ja-JP"/>
        </w:rPr>
        <w:t xml:space="preserve">fronthaul. We will appreciate your </w:t>
      </w:r>
      <w:r>
        <w:rPr>
          <w:rFonts w:hint="eastAsia"/>
          <w:lang w:eastAsia="ja-JP"/>
        </w:rPr>
        <w:t>confirmation</w:t>
      </w:r>
      <w:r>
        <w:rPr>
          <w:lang w:eastAsia="ja-JP"/>
        </w:rPr>
        <w:t xml:space="preserve"> about </w:t>
      </w:r>
      <w:r>
        <w:rPr>
          <w:rFonts w:hint="eastAsia"/>
          <w:lang w:eastAsia="ja-JP"/>
        </w:rPr>
        <w:t xml:space="preserve">the </w:t>
      </w:r>
      <w:r>
        <w:rPr>
          <w:lang w:eastAsia="ja-JP"/>
        </w:rPr>
        <w:t xml:space="preserve">timing values </w:t>
      </w:r>
      <w:r w:rsidR="000E067E">
        <w:rPr>
          <w:rFonts w:hint="eastAsia"/>
          <w:lang w:eastAsia="ja-JP"/>
        </w:rPr>
        <w:t>curren</w:t>
      </w:r>
      <w:r w:rsidR="00844043">
        <w:rPr>
          <w:rFonts w:hint="eastAsia"/>
          <w:lang w:eastAsia="ja-JP"/>
        </w:rPr>
        <w:t>t</w:t>
      </w:r>
      <w:r w:rsidR="000E067E">
        <w:rPr>
          <w:rFonts w:hint="eastAsia"/>
          <w:lang w:eastAsia="ja-JP"/>
        </w:rPr>
        <w:t xml:space="preserve">ly in our draft G.989.1 Amd1 </w:t>
      </w:r>
      <w:r>
        <w:rPr>
          <w:rFonts w:hint="eastAsia"/>
          <w:lang w:eastAsia="ja-JP"/>
        </w:rPr>
        <w:t xml:space="preserve">as </w:t>
      </w:r>
      <w:r w:rsidR="000E067E">
        <w:rPr>
          <w:rFonts w:hint="eastAsia"/>
          <w:lang w:eastAsia="ja-JP"/>
        </w:rPr>
        <w:t xml:space="preserve">shown </w:t>
      </w:r>
      <w:r>
        <w:rPr>
          <w:rFonts w:hint="eastAsia"/>
          <w:lang w:eastAsia="ja-JP"/>
        </w:rPr>
        <w:t xml:space="preserve">below.  If </w:t>
      </w:r>
      <w:r>
        <w:rPr>
          <w:lang w:eastAsia="ja-JP"/>
        </w:rPr>
        <w:t xml:space="preserve">they are not acceptable, </w:t>
      </w:r>
      <w:r>
        <w:rPr>
          <w:rFonts w:hint="eastAsia"/>
          <w:lang w:eastAsia="ja-JP"/>
        </w:rPr>
        <w:t xml:space="preserve">we would </w:t>
      </w:r>
      <w:r>
        <w:rPr>
          <w:lang w:eastAsia="ja-JP"/>
        </w:rPr>
        <w:t>appreciate</w:t>
      </w:r>
      <w:r>
        <w:rPr>
          <w:rFonts w:hint="eastAsia"/>
          <w:lang w:eastAsia="ja-JP"/>
        </w:rPr>
        <w:t xml:space="preserve"> your proposals on acceptable</w:t>
      </w:r>
      <w:r>
        <w:rPr>
          <w:lang w:eastAsia="ja-JP"/>
        </w:rPr>
        <w:t xml:space="preserve"> values</w:t>
      </w:r>
      <w:r>
        <w:rPr>
          <w:rFonts w:hint="eastAsia"/>
          <w:lang w:eastAsia="ja-JP"/>
        </w:rPr>
        <w:t>.</w:t>
      </w:r>
    </w:p>
    <w:p w:rsidR="00FB211E" w:rsidRPr="00FB211E" w:rsidRDefault="00FB211E" w:rsidP="003E6CF0">
      <w:pPr>
        <w:spacing w:before="240"/>
        <w:jc w:val="both"/>
        <w:rPr>
          <w:b/>
          <w:lang w:eastAsia="ja-JP"/>
        </w:rPr>
      </w:pPr>
      <w:r w:rsidRPr="00FB211E">
        <w:rPr>
          <w:b/>
          <w:lang w:eastAsia="ja-JP"/>
        </w:rPr>
        <w:t>Issue 1: Round trip time (fronthaul latency)</w:t>
      </w:r>
    </w:p>
    <w:p w:rsidR="00FB211E" w:rsidRDefault="00FB211E" w:rsidP="00FB211E">
      <w:pPr>
        <w:jc w:val="both"/>
        <w:rPr>
          <w:lang w:eastAsia="ja-JP"/>
        </w:rPr>
      </w:pPr>
      <w:r>
        <w:rPr>
          <w:lang w:eastAsia="ja-JP"/>
        </w:rPr>
        <w:t>The round trip time between DU and RU is required to be less than</w:t>
      </w:r>
      <w:r>
        <w:rPr>
          <w:rFonts w:hint="eastAsia"/>
          <w:lang w:eastAsia="ja-JP"/>
        </w:rPr>
        <w:t xml:space="preserve"> </w:t>
      </w:r>
      <w:r w:rsidRPr="009A74D0">
        <w:rPr>
          <w:b/>
          <w:lang w:eastAsia="ja-JP"/>
        </w:rPr>
        <w:t>500µs</w:t>
      </w:r>
      <w:r>
        <w:rPr>
          <w:lang w:eastAsia="ja-JP"/>
        </w:rPr>
        <w:t xml:space="preserve"> including fiber (cable) propagation time or any latency consumed</w:t>
      </w:r>
      <w:r>
        <w:rPr>
          <w:rFonts w:hint="eastAsia"/>
          <w:lang w:eastAsia="ja-JP"/>
        </w:rPr>
        <w:t xml:space="preserve"> </w:t>
      </w:r>
      <w:r>
        <w:rPr>
          <w:lang w:eastAsia="ja-JP"/>
        </w:rPr>
        <w:t xml:space="preserve">by optical transport equipment. </w:t>
      </w:r>
    </w:p>
    <w:p w:rsidR="00FB211E" w:rsidRPr="00FB211E" w:rsidRDefault="00FB211E" w:rsidP="003E6CF0">
      <w:pPr>
        <w:keepNext/>
        <w:keepLines/>
        <w:spacing w:before="240"/>
        <w:jc w:val="both"/>
        <w:rPr>
          <w:b/>
          <w:lang w:eastAsia="ja-JP"/>
        </w:rPr>
      </w:pPr>
      <w:r w:rsidRPr="00FB211E">
        <w:rPr>
          <w:b/>
          <w:lang w:eastAsia="ja-JP"/>
        </w:rPr>
        <w:lastRenderedPageBreak/>
        <w:t>Issue 2: Timing asymmetry</w:t>
      </w:r>
    </w:p>
    <w:p w:rsidR="00FB211E" w:rsidRDefault="00FB211E" w:rsidP="003E6CF0">
      <w:pPr>
        <w:keepNext/>
        <w:keepLines/>
        <w:jc w:val="both"/>
        <w:rPr>
          <w:lang w:eastAsia="ja-JP"/>
        </w:rPr>
      </w:pPr>
      <w:r>
        <w:rPr>
          <w:lang w:eastAsia="ja-JP"/>
        </w:rPr>
        <w:t>Preferably, the fronthaul latency for upstream and downstream should be</w:t>
      </w:r>
      <w:r>
        <w:rPr>
          <w:rFonts w:hint="eastAsia"/>
          <w:lang w:eastAsia="ja-JP"/>
        </w:rPr>
        <w:t xml:space="preserve"> </w:t>
      </w:r>
      <w:r>
        <w:rPr>
          <w:lang w:eastAsia="ja-JP"/>
        </w:rPr>
        <w:t>symmetrical. An asymmetrical trip delay between upstream and downstream</w:t>
      </w:r>
      <w:r>
        <w:rPr>
          <w:rFonts w:hint="eastAsia"/>
          <w:lang w:eastAsia="ja-JP"/>
        </w:rPr>
        <w:t xml:space="preserve"> </w:t>
      </w:r>
      <w:r>
        <w:rPr>
          <w:lang w:eastAsia="ja-JP"/>
        </w:rPr>
        <w:t>fronthaul transmission medium should impact the accuracy of the timing</w:t>
      </w:r>
      <w:r>
        <w:rPr>
          <w:rFonts w:hint="eastAsia"/>
          <w:lang w:eastAsia="ja-JP"/>
        </w:rPr>
        <w:t xml:space="preserve"> </w:t>
      </w:r>
      <w:r>
        <w:rPr>
          <w:lang w:eastAsia="ja-JP"/>
        </w:rPr>
        <w:t>calculation between UE and DU.  The fronthaul transmission medium time</w:t>
      </w:r>
      <w:r>
        <w:rPr>
          <w:rFonts w:hint="eastAsia"/>
          <w:lang w:eastAsia="ja-JP"/>
        </w:rPr>
        <w:t xml:space="preserve"> </w:t>
      </w:r>
      <w:r>
        <w:rPr>
          <w:lang w:eastAsia="ja-JP"/>
        </w:rPr>
        <w:t xml:space="preserve">difference shall not exceed </w:t>
      </w:r>
      <w:r w:rsidRPr="009A74D0">
        <w:rPr>
          <w:b/>
          <w:lang w:eastAsia="ja-JP"/>
        </w:rPr>
        <w:t>65ns</w:t>
      </w:r>
      <w:r>
        <w:rPr>
          <w:lang w:eastAsia="ja-JP"/>
        </w:rPr>
        <w:t xml:space="preserve"> with a preference to be strictly less</w:t>
      </w:r>
      <w:r>
        <w:rPr>
          <w:rFonts w:hint="eastAsia"/>
          <w:lang w:eastAsia="ja-JP"/>
        </w:rPr>
        <w:t xml:space="preserve"> </w:t>
      </w:r>
      <w:r>
        <w:rPr>
          <w:lang w:eastAsia="ja-JP"/>
        </w:rPr>
        <w:t>than this value.</w:t>
      </w:r>
    </w:p>
    <w:p w:rsidR="00FB211E" w:rsidRPr="00FB211E" w:rsidRDefault="00FB211E" w:rsidP="00FB211E">
      <w:pPr>
        <w:jc w:val="both"/>
        <w:rPr>
          <w:b/>
          <w:lang w:eastAsia="ja-JP"/>
        </w:rPr>
      </w:pPr>
      <w:r w:rsidRPr="00FB211E">
        <w:rPr>
          <w:b/>
          <w:lang w:eastAsia="ja-JP"/>
        </w:rPr>
        <w:t>Issue 3: Timing accuracy</w:t>
      </w:r>
    </w:p>
    <w:p w:rsidR="00FB211E" w:rsidRDefault="00FB211E" w:rsidP="00FB211E">
      <w:pPr>
        <w:jc w:val="both"/>
        <w:rPr>
          <w:lang w:eastAsia="ja-JP"/>
        </w:rPr>
      </w:pPr>
      <w:r>
        <w:rPr>
          <w:lang w:eastAsia="ja-JP"/>
        </w:rPr>
        <w:t>The accuracy of the measurement of round trip delay on the transmission</w:t>
      </w:r>
      <w:r>
        <w:rPr>
          <w:rFonts w:hint="eastAsia"/>
          <w:lang w:eastAsia="ja-JP"/>
        </w:rPr>
        <w:t xml:space="preserve"> </w:t>
      </w:r>
      <w:r>
        <w:rPr>
          <w:lang w:eastAsia="ja-JP"/>
        </w:rPr>
        <w:t xml:space="preserve">medium shall meet the following requirement </w:t>
      </w:r>
      <w:r w:rsidRPr="009A74D0">
        <w:rPr>
          <w:b/>
          <w:lang w:eastAsia="ja-JP"/>
        </w:rPr>
        <w:t>+/- 16.276ns</w:t>
      </w:r>
      <w:r>
        <w:rPr>
          <w:lang w:eastAsia="ja-JP"/>
        </w:rPr>
        <w:t>. Between two</w:t>
      </w:r>
      <w:r>
        <w:rPr>
          <w:rFonts w:hint="eastAsia"/>
          <w:lang w:eastAsia="ja-JP"/>
        </w:rPr>
        <w:t xml:space="preserve"> </w:t>
      </w:r>
      <w:r>
        <w:rPr>
          <w:lang w:eastAsia="ja-JP"/>
        </w:rPr>
        <w:t>periodic measurements of the round trip delay by Base Band Unit, the</w:t>
      </w:r>
      <w:r>
        <w:rPr>
          <w:rFonts w:hint="eastAsia"/>
          <w:lang w:eastAsia="ja-JP"/>
        </w:rPr>
        <w:t xml:space="preserve"> </w:t>
      </w:r>
      <w:r>
        <w:rPr>
          <w:lang w:eastAsia="ja-JP"/>
        </w:rPr>
        <w:t>variation of the transmission medium must not exceed +/- 16.276ns with a</w:t>
      </w:r>
      <w:r>
        <w:rPr>
          <w:rFonts w:hint="eastAsia"/>
          <w:lang w:eastAsia="ja-JP"/>
        </w:rPr>
        <w:t xml:space="preserve"> </w:t>
      </w:r>
      <w:r>
        <w:rPr>
          <w:lang w:eastAsia="ja-JP"/>
        </w:rPr>
        <w:t>preference to be strictly less than this value.</w:t>
      </w:r>
    </w:p>
    <w:p w:rsidR="00FB211E" w:rsidRPr="00FB211E" w:rsidRDefault="00FB211E" w:rsidP="00FB211E">
      <w:pPr>
        <w:jc w:val="both"/>
        <w:rPr>
          <w:b/>
          <w:lang w:eastAsia="ja-JP"/>
        </w:rPr>
      </w:pPr>
      <w:r w:rsidRPr="00FB211E">
        <w:rPr>
          <w:b/>
          <w:lang w:eastAsia="ja-JP"/>
        </w:rPr>
        <w:t>Issue 4: Time variation</w:t>
      </w:r>
    </w:p>
    <w:p w:rsidR="00FB211E" w:rsidRPr="00FB211E" w:rsidRDefault="00FB211E" w:rsidP="00FB211E">
      <w:pPr>
        <w:jc w:val="both"/>
        <w:rPr>
          <w:lang w:eastAsia="ja-JP"/>
        </w:rPr>
      </w:pPr>
      <w:r>
        <w:rPr>
          <w:lang w:eastAsia="ja-JP"/>
        </w:rPr>
        <w:t>Maximum contribution df/f0 of jitter and wander from fronthaul link to</w:t>
      </w:r>
      <w:r>
        <w:rPr>
          <w:rFonts w:hint="eastAsia"/>
          <w:lang w:eastAsia="ja-JP"/>
        </w:rPr>
        <w:t xml:space="preserve"> </w:t>
      </w:r>
      <w:r>
        <w:rPr>
          <w:lang w:eastAsia="ja-JP"/>
        </w:rPr>
        <w:t xml:space="preserve">the DU frequency accuracy budget must not exceed </w:t>
      </w:r>
      <w:r w:rsidRPr="009A74D0">
        <w:rPr>
          <w:b/>
          <w:lang w:eastAsia="ja-JP"/>
        </w:rPr>
        <w:t>+/- 2 ppb</w:t>
      </w:r>
      <w:r>
        <w:rPr>
          <w:lang w:eastAsia="ja-JP"/>
        </w:rPr>
        <w:t xml:space="preserve"> (2</w:t>
      </w:r>
      <w:r w:rsidR="0073720C">
        <w:rPr>
          <w:rFonts w:hint="eastAsia"/>
          <w:lang w:eastAsia="ja-JP"/>
        </w:rPr>
        <w:t>x</w:t>
      </w:r>
      <w:r>
        <w:rPr>
          <w:lang w:eastAsia="ja-JP"/>
        </w:rPr>
        <w:t>10</w:t>
      </w:r>
      <w:r w:rsidRPr="0073720C">
        <w:rPr>
          <w:vertAlign w:val="superscript"/>
          <w:lang w:eastAsia="ja-JP"/>
        </w:rPr>
        <w:t>-9</w:t>
      </w:r>
      <w:r>
        <w:rPr>
          <w:lang w:eastAsia="ja-JP"/>
        </w:rPr>
        <w:t>).</w:t>
      </w:r>
      <w:r>
        <w:rPr>
          <w:rFonts w:hint="eastAsia"/>
          <w:lang w:eastAsia="ja-JP"/>
        </w:rPr>
        <w:t xml:space="preserve"> </w:t>
      </w:r>
      <w:r>
        <w:rPr>
          <w:lang w:eastAsia="ja-JP"/>
        </w:rPr>
        <w:t>The RU clock shall be traceable to DU clock. This implies that the</w:t>
      </w:r>
      <w:r>
        <w:rPr>
          <w:rFonts w:hint="eastAsia"/>
          <w:lang w:eastAsia="ja-JP"/>
        </w:rPr>
        <w:t xml:space="preserve"> </w:t>
      </w:r>
      <w:r>
        <w:rPr>
          <w:lang w:eastAsia="ja-JP"/>
        </w:rPr>
        <w:t>fronthaul link must not introduce any constant frequency error. The link</w:t>
      </w:r>
      <w:r>
        <w:rPr>
          <w:rFonts w:hint="eastAsia"/>
          <w:lang w:eastAsia="ja-JP"/>
        </w:rPr>
        <w:t xml:space="preserve"> </w:t>
      </w:r>
      <w:r>
        <w:rPr>
          <w:lang w:eastAsia="ja-JP"/>
        </w:rPr>
        <w:t>jitter and wander for the fronthaul transport system will be specified</w:t>
      </w:r>
      <w:r>
        <w:rPr>
          <w:rFonts w:hint="eastAsia"/>
          <w:lang w:eastAsia="ja-JP"/>
        </w:rPr>
        <w:t xml:space="preserve"> </w:t>
      </w:r>
      <w:r>
        <w:rPr>
          <w:lang w:eastAsia="ja-JP"/>
        </w:rPr>
        <w:t>with concrete values which will be defined in further study.</w:t>
      </w:r>
    </w:p>
    <w:p w:rsidR="00FB211E" w:rsidRDefault="00FB211E" w:rsidP="00FB211E">
      <w:pPr>
        <w:jc w:val="both"/>
        <w:rPr>
          <w:lang w:eastAsia="ja-JP"/>
        </w:rPr>
      </w:pPr>
    </w:p>
    <w:p w:rsidR="00FB211E" w:rsidRDefault="00FB211E" w:rsidP="00FB211E">
      <w:pPr>
        <w:jc w:val="both"/>
        <w:rPr>
          <w:lang w:eastAsia="ja-JP"/>
        </w:rPr>
      </w:pPr>
      <w:r>
        <w:rPr>
          <w:rFonts w:hint="eastAsia"/>
          <w:lang w:eastAsia="ja-JP"/>
        </w:rPr>
        <w:t xml:space="preserve">As SG15 will have our plenary from June 22th to July 3rd in Geneva, it is much appreciated if the feedback is provided by </w:t>
      </w:r>
      <w:r>
        <w:rPr>
          <w:rFonts w:hint="eastAsia"/>
          <w:b/>
          <w:lang w:eastAsia="ja-JP"/>
        </w:rPr>
        <w:t>June 15</w:t>
      </w:r>
      <w:r w:rsidRPr="00FB211E">
        <w:rPr>
          <w:rFonts w:hint="eastAsia"/>
          <w:b/>
          <w:vertAlign w:val="superscript"/>
          <w:lang w:eastAsia="ja-JP"/>
        </w:rPr>
        <w:t>th</w:t>
      </w:r>
      <w:r w:rsidRPr="008C1742">
        <w:rPr>
          <w:rFonts w:hint="eastAsia"/>
          <w:b/>
          <w:lang w:eastAsia="ja-JP"/>
        </w:rPr>
        <w:t>, 2015</w:t>
      </w:r>
      <w:r>
        <w:rPr>
          <w:rFonts w:hint="eastAsia"/>
          <w:lang w:eastAsia="ja-JP"/>
        </w:rPr>
        <w:t>.</w:t>
      </w:r>
    </w:p>
    <w:p w:rsidR="00FB211E" w:rsidRDefault="00FB211E" w:rsidP="00FB211E">
      <w:pPr>
        <w:jc w:val="both"/>
        <w:rPr>
          <w:lang w:eastAsia="ja-JP"/>
        </w:rPr>
      </w:pPr>
    </w:p>
    <w:p w:rsidR="00FB211E" w:rsidRDefault="00FB211E" w:rsidP="00FB211E">
      <w:pPr>
        <w:jc w:val="both"/>
        <w:rPr>
          <w:lang w:val="en-US" w:eastAsia="ja-JP"/>
        </w:rPr>
      </w:pPr>
      <w:r>
        <w:rPr>
          <w:rFonts w:hint="eastAsia"/>
          <w:lang w:val="en-US" w:eastAsia="ja-JP"/>
        </w:rPr>
        <w:t>Attach:</w:t>
      </w:r>
    </w:p>
    <w:p w:rsidR="00FB211E" w:rsidRPr="00147D57" w:rsidRDefault="00FB211E" w:rsidP="00FB211E">
      <w:pPr>
        <w:jc w:val="both"/>
        <w:rPr>
          <w:lang w:eastAsia="ja-JP"/>
        </w:rPr>
      </w:pPr>
      <w:r>
        <w:rPr>
          <w:rFonts w:hint="eastAsia"/>
          <w:lang w:val="en-US" w:eastAsia="ja-JP"/>
        </w:rPr>
        <w:t>D</w:t>
      </w:r>
      <w:r>
        <w:rPr>
          <w:rFonts w:hint="eastAsia"/>
          <w:lang w:eastAsia="ja-JP"/>
        </w:rPr>
        <w:t xml:space="preserve">raft Recommendation </w:t>
      </w:r>
      <w:r>
        <w:rPr>
          <w:lang w:eastAsia="ja-JP"/>
        </w:rPr>
        <w:t>“</w:t>
      </w:r>
      <w:r>
        <w:rPr>
          <w:rFonts w:hint="eastAsia"/>
          <w:lang w:eastAsia="ja-JP"/>
        </w:rPr>
        <w:t>4</w:t>
      </w:r>
      <w:r w:rsidRPr="006C3927">
        <w:rPr>
          <w:lang w:eastAsia="ja-JP"/>
        </w:rPr>
        <w:t>0-Gigabit-capable passive optical networks (NG-PON2): General requirements</w:t>
      </w:r>
      <w:r>
        <w:rPr>
          <w:rFonts w:hint="eastAsia"/>
          <w:lang w:eastAsia="ja-JP"/>
        </w:rPr>
        <w:t>, Amendment 1,</w:t>
      </w:r>
      <w:r>
        <w:rPr>
          <w:lang w:eastAsia="ja-JP"/>
        </w:rPr>
        <w:t>”</w:t>
      </w:r>
      <w:r>
        <w:rPr>
          <w:rFonts w:hint="eastAsia"/>
          <w:lang w:eastAsia="ja-JP"/>
        </w:rPr>
        <w:t xml:space="preserve"> version  Dec. 3</w:t>
      </w:r>
      <w:r w:rsidRPr="00147D57">
        <w:rPr>
          <w:rFonts w:hint="eastAsia"/>
          <w:vertAlign w:val="superscript"/>
          <w:lang w:eastAsia="ja-JP"/>
        </w:rPr>
        <w:t>rd</w:t>
      </w:r>
      <w:r>
        <w:rPr>
          <w:rFonts w:hint="eastAsia"/>
          <w:lang w:eastAsia="ja-JP"/>
        </w:rPr>
        <w:t>, 2014.</w:t>
      </w:r>
    </w:p>
    <w:p w:rsidR="003E6CF0" w:rsidRDefault="003E6CF0" w:rsidP="00BB042C">
      <w:pPr>
        <w:jc w:val="center"/>
        <w:rPr>
          <w:lang w:eastAsia="ja-JP"/>
        </w:rPr>
      </w:pPr>
    </w:p>
    <w:p w:rsidR="003E6CF0" w:rsidRDefault="003E6CF0" w:rsidP="00BB042C">
      <w:pPr>
        <w:jc w:val="center"/>
        <w:rPr>
          <w:lang w:eastAsia="ja-JP"/>
        </w:rPr>
      </w:pPr>
    </w:p>
    <w:p w:rsidR="00BB042C" w:rsidRPr="00E510C0" w:rsidRDefault="00BB042C" w:rsidP="00BB042C">
      <w:pPr>
        <w:jc w:val="center"/>
        <w:rPr>
          <w:lang w:val="en-US" w:eastAsia="ja-JP"/>
        </w:rPr>
      </w:pPr>
      <w:r>
        <w:rPr>
          <w:lang w:eastAsia="ja-JP"/>
        </w:rPr>
        <w:t>_________________</w:t>
      </w:r>
    </w:p>
    <w:sectPr w:rsidR="00BB042C" w:rsidRPr="00E510C0" w:rsidSect="0065505C">
      <w:headerReference w:type="default" r:id="rId11"/>
      <w:headerReference w:type="firs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F2E" w:rsidRDefault="00726F2E">
      <w:r>
        <w:separator/>
      </w:r>
    </w:p>
  </w:endnote>
  <w:endnote w:type="continuationSeparator" w:id="0">
    <w:p w:rsidR="00726F2E" w:rsidRDefault="0072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5505C" w:rsidRPr="0065505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5505C" w:rsidRPr="0065505C" w:rsidRDefault="0065505C" w:rsidP="0065505C">
          <w:pPr>
            <w:spacing w:before="0"/>
            <w:rPr>
              <w:sz w:val="18"/>
            </w:rPr>
          </w:pPr>
          <w:r w:rsidRPr="0065505C">
            <w:rPr>
              <w:b/>
              <w:bCs/>
              <w:sz w:val="18"/>
            </w:rPr>
            <w:t>Attention:</w:t>
          </w:r>
          <w:r w:rsidRPr="0065505C">
            <w:rPr>
              <w:sz w:val="18"/>
            </w:rPr>
            <w:t xml:space="preserve"> Some or all of the material attached to this liaison statement may be subject to ITU copyright. In such a case this will be indicated in the individual document. </w:t>
          </w:r>
        </w:p>
        <w:p w:rsidR="0065505C" w:rsidRPr="0065505C" w:rsidRDefault="0065505C" w:rsidP="0065505C">
          <w:pPr>
            <w:spacing w:before="0"/>
            <w:rPr>
              <w:sz w:val="18"/>
            </w:rPr>
          </w:pPr>
          <w:r w:rsidRPr="0065505C">
            <w:rPr>
              <w:sz w:val="18"/>
            </w:rPr>
            <w:t>Such a copyright does not prevent the use of the material for its intended purpose, but it prevents the reproduction of all or part of it in a publication without the authorization of ITU.</w:t>
          </w:r>
        </w:p>
      </w:tc>
    </w:tr>
  </w:tbl>
  <w:p w:rsidR="0065505C" w:rsidRPr="0065505C" w:rsidRDefault="0065505C" w:rsidP="0065505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F2E" w:rsidRDefault="00726F2E">
      <w:r>
        <w:separator/>
      </w:r>
    </w:p>
  </w:footnote>
  <w:footnote w:type="continuationSeparator" w:id="0">
    <w:p w:rsidR="00726F2E" w:rsidRDefault="00726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F0" w:rsidRPr="0065505C" w:rsidRDefault="0065505C" w:rsidP="0065505C">
    <w:pPr>
      <w:pStyle w:val="Header"/>
    </w:pPr>
    <w:r w:rsidRPr="0065505C">
      <w:t xml:space="preserve">- </w:t>
    </w:r>
    <w:r w:rsidRPr="0065505C">
      <w:fldChar w:fldCharType="begin"/>
    </w:r>
    <w:r w:rsidRPr="0065505C">
      <w:instrText xml:space="preserve"> PAGE  \* MERGEFORMAT </w:instrText>
    </w:r>
    <w:r w:rsidRPr="0065505C">
      <w:fldChar w:fldCharType="separate"/>
    </w:r>
    <w:r w:rsidR="00170929">
      <w:rPr>
        <w:noProof/>
      </w:rPr>
      <w:t>2</w:t>
    </w:r>
    <w:r w:rsidRPr="0065505C">
      <w:fldChar w:fldCharType="end"/>
    </w:r>
    <w:r w:rsidRPr="0065505C">
      <w:t xml:space="preserve"> -</w:t>
    </w:r>
  </w:p>
  <w:p w:rsidR="0065505C" w:rsidRPr="0065505C" w:rsidRDefault="0065505C" w:rsidP="0065505C">
    <w:pPr>
      <w:pStyle w:val="Header"/>
      <w:spacing w:after="240"/>
    </w:pPr>
    <w:r w:rsidRPr="0065505C">
      <w:fldChar w:fldCharType="begin"/>
    </w:r>
    <w:r w:rsidRPr="0065505C">
      <w:instrText xml:space="preserve"> STYLEREF  Docnumber  </w:instrText>
    </w:r>
    <w:r w:rsidRPr="0065505C">
      <w:fldChar w:fldCharType="separate"/>
    </w:r>
    <w:r w:rsidR="00170929">
      <w:rPr>
        <w:noProof/>
      </w:rPr>
      <w:t>COM 15 – LS 232 – E</w:t>
    </w:r>
    <w:r w:rsidRPr="0065505C">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29" w:rsidRPr="008703A3" w:rsidRDefault="00170929" w:rsidP="00170929">
    <w:pPr>
      <w:pStyle w:val="Header"/>
      <w:tabs>
        <w:tab w:val="right" w:pos="7088"/>
        <w:tab w:val="right" w:pos="9781"/>
      </w:tabs>
      <w:rPr>
        <w:rFonts w:ascii="Arial" w:hAnsi="Arial" w:cs="Arial"/>
        <w:b/>
        <w:bCs/>
        <w:sz w:val="28"/>
        <w:szCs w:val="28"/>
      </w:rPr>
    </w:pPr>
    <w:r w:rsidRPr="008703A3">
      <w:rPr>
        <w:rFonts w:ascii="Arial" w:hAnsi="Arial" w:cs="Arial"/>
        <w:b/>
        <w:bCs/>
        <w:sz w:val="28"/>
        <w:szCs w:val="28"/>
      </w:rPr>
      <w:t>3GPP TSG-RAN WG1 Meeting #80bis</w:t>
    </w:r>
    <w:r w:rsidRPr="008703A3">
      <w:rPr>
        <w:rFonts w:ascii="Arial" w:hAnsi="Arial" w:cs="Arial"/>
        <w:b/>
        <w:bCs/>
        <w:sz w:val="28"/>
        <w:szCs w:val="28"/>
      </w:rPr>
      <w:tab/>
    </w:r>
    <w:r w:rsidRPr="008703A3">
      <w:rPr>
        <w:rFonts w:ascii="Arial" w:hAnsi="Arial" w:cs="Arial"/>
        <w:b/>
        <w:bCs/>
        <w:sz w:val="28"/>
        <w:szCs w:val="28"/>
      </w:rPr>
      <w:tab/>
      <w:t>R1-15</w:t>
    </w:r>
    <w:r>
      <w:rPr>
        <w:rFonts w:ascii="Arial" w:hAnsi="Arial" w:cs="Arial"/>
        <w:b/>
        <w:bCs/>
        <w:sz w:val="28"/>
        <w:szCs w:val="28"/>
      </w:rPr>
      <w:t>2366</w:t>
    </w:r>
  </w:p>
  <w:p w:rsidR="00170929" w:rsidRPr="008703A3" w:rsidRDefault="00170929" w:rsidP="00170929">
    <w:pPr>
      <w:pStyle w:val="Header"/>
      <w:tabs>
        <w:tab w:val="right" w:pos="9639"/>
      </w:tabs>
      <w:jc w:val="left"/>
      <w:rPr>
        <w:rFonts w:ascii="Arial" w:hAnsi="Arial" w:cs="Arial"/>
        <w:b/>
        <w:bCs/>
        <w:sz w:val="28"/>
        <w:szCs w:val="28"/>
      </w:rPr>
    </w:pPr>
    <w:r w:rsidRPr="008703A3">
      <w:rPr>
        <w:rFonts w:ascii="Arial" w:hAnsi="Arial" w:cs="Arial"/>
        <w:b/>
        <w:bCs/>
        <w:sz w:val="28"/>
        <w:szCs w:val="28"/>
      </w:rPr>
      <w:t>Belgrade, Serbia, 20</w:t>
    </w:r>
    <w:r w:rsidRPr="008703A3">
      <w:rPr>
        <w:rFonts w:ascii="Arial" w:hAnsi="Arial" w:cs="Arial"/>
        <w:b/>
        <w:bCs/>
        <w:sz w:val="28"/>
        <w:szCs w:val="28"/>
        <w:vertAlign w:val="superscript"/>
      </w:rPr>
      <w:t>th</w:t>
    </w:r>
    <w:r w:rsidRPr="008703A3">
      <w:rPr>
        <w:rFonts w:ascii="Arial" w:hAnsi="Arial" w:cs="Arial"/>
        <w:b/>
        <w:bCs/>
        <w:sz w:val="28"/>
        <w:szCs w:val="28"/>
      </w:rPr>
      <w:t xml:space="preserve"> – 24</w:t>
    </w:r>
    <w:r w:rsidRPr="008703A3">
      <w:rPr>
        <w:rFonts w:ascii="Arial" w:hAnsi="Arial" w:cs="Arial"/>
        <w:b/>
        <w:bCs/>
        <w:sz w:val="28"/>
        <w:szCs w:val="28"/>
        <w:vertAlign w:val="superscript"/>
      </w:rPr>
      <w:t>th</w:t>
    </w:r>
    <w:r w:rsidRPr="008703A3">
      <w:rPr>
        <w:rFonts w:ascii="Arial" w:hAnsi="Arial" w:cs="Arial"/>
        <w:b/>
        <w:bCs/>
        <w:sz w:val="28"/>
        <w:szCs w:val="28"/>
      </w:rPr>
      <w:t xml:space="preserve"> April 2015</w:t>
    </w:r>
  </w:p>
  <w:p w:rsidR="00170929" w:rsidRDefault="001709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C976D2"/>
    <w:multiLevelType w:val="hybridMultilevel"/>
    <w:tmpl w:val="655274D4"/>
    <w:lvl w:ilvl="0" w:tplc="78DE6FAA">
      <w:start w:val="4"/>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2FD34DB"/>
    <w:multiLevelType w:val="hybridMultilevel"/>
    <w:tmpl w:val="E5A6BB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67704E6"/>
    <w:multiLevelType w:val="hybridMultilevel"/>
    <w:tmpl w:val="5754A11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AAF2321"/>
    <w:multiLevelType w:val="hybridMultilevel"/>
    <w:tmpl w:val="A588DD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9E70B53"/>
    <w:multiLevelType w:val="hybridMultilevel"/>
    <w:tmpl w:val="C01A1FE0"/>
    <w:lvl w:ilvl="0" w:tplc="0972A5A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18F1"/>
    <w:rsid w:val="000060A2"/>
    <w:rsid w:val="00007CD1"/>
    <w:rsid w:val="0002142A"/>
    <w:rsid w:val="00022687"/>
    <w:rsid w:val="00044BBB"/>
    <w:rsid w:val="00046178"/>
    <w:rsid w:val="00054257"/>
    <w:rsid w:val="00073F50"/>
    <w:rsid w:val="00082E28"/>
    <w:rsid w:val="0009404B"/>
    <w:rsid w:val="000A50F5"/>
    <w:rsid w:val="000B2595"/>
    <w:rsid w:val="000B5FC1"/>
    <w:rsid w:val="000C4C15"/>
    <w:rsid w:val="000E067E"/>
    <w:rsid w:val="000F265F"/>
    <w:rsid w:val="000F2D20"/>
    <w:rsid w:val="00110A43"/>
    <w:rsid w:val="00117B70"/>
    <w:rsid w:val="001503E2"/>
    <w:rsid w:val="00160067"/>
    <w:rsid w:val="001616FC"/>
    <w:rsid w:val="00165002"/>
    <w:rsid w:val="00166304"/>
    <w:rsid w:val="00170929"/>
    <w:rsid w:val="00183A38"/>
    <w:rsid w:val="001B5A70"/>
    <w:rsid w:val="001B7A78"/>
    <w:rsid w:val="001C3D48"/>
    <w:rsid w:val="001D6935"/>
    <w:rsid w:val="001F1BF7"/>
    <w:rsid w:val="001F5237"/>
    <w:rsid w:val="00204776"/>
    <w:rsid w:val="00224C7F"/>
    <w:rsid w:val="00230F7B"/>
    <w:rsid w:val="002343FE"/>
    <w:rsid w:val="00253585"/>
    <w:rsid w:val="00263459"/>
    <w:rsid w:val="00265CC6"/>
    <w:rsid w:val="00271B4C"/>
    <w:rsid w:val="00284B6B"/>
    <w:rsid w:val="00291093"/>
    <w:rsid w:val="002A5216"/>
    <w:rsid w:val="002A6746"/>
    <w:rsid w:val="002A7F2D"/>
    <w:rsid w:val="00300237"/>
    <w:rsid w:val="00302C17"/>
    <w:rsid w:val="00307C51"/>
    <w:rsid w:val="00323BB9"/>
    <w:rsid w:val="00360884"/>
    <w:rsid w:val="00377376"/>
    <w:rsid w:val="0038598D"/>
    <w:rsid w:val="003A1792"/>
    <w:rsid w:val="003A540A"/>
    <w:rsid w:val="003B0499"/>
    <w:rsid w:val="003C0C42"/>
    <w:rsid w:val="003D2CEE"/>
    <w:rsid w:val="003E29A5"/>
    <w:rsid w:val="003E6CF0"/>
    <w:rsid w:val="004035F6"/>
    <w:rsid w:val="00415E1D"/>
    <w:rsid w:val="004242A8"/>
    <w:rsid w:val="00425236"/>
    <w:rsid w:val="0043447A"/>
    <w:rsid w:val="00451ADB"/>
    <w:rsid w:val="00456A32"/>
    <w:rsid w:val="00460AB0"/>
    <w:rsid w:val="0049011A"/>
    <w:rsid w:val="004C38E9"/>
    <w:rsid w:val="004D08FC"/>
    <w:rsid w:val="004D09F1"/>
    <w:rsid w:val="004E4BF3"/>
    <w:rsid w:val="004E556F"/>
    <w:rsid w:val="004F034B"/>
    <w:rsid w:val="00523246"/>
    <w:rsid w:val="00523B76"/>
    <w:rsid w:val="0052421D"/>
    <w:rsid w:val="00530A4A"/>
    <w:rsid w:val="00542B6F"/>
    <w:rsid w:val="00543E8B"/>
    <w:rsid w:val="00545F5A"/>
    <w:rsid w:val="00550040"/>
    <w:rsid w:val="005518DC"/>
    <w:rsid w:val="005612CC"/>
    <w:rsid w:val="00587912"/>
    <w:rsid w:val="005D02FE"/>
    <w:rsid w:val="005D2FB4"/>
    <w:rsid w:val="005D76AA"/>
    <w:rsid w:val="005E13E7"/>
    <w:rsid w:val="005F0848"/>
    <w:rsid w:val="00622FF7"/>
    <w:rsid w:val="006250B1"/>
    <w:rsid w:val="00645F48"/>
    <w:rsid w:val="0065505C"/>
    <w:rsid w:val="0067706C"/>
    <w:rsid w:val="00686AEC"/>
    <w:rsid w:val="00691EE2"/>
    <w:rsid w:val="006925ED"/>
    <w:rsid w:val="006B0047"/>
    <w:rsid w:val="006B1845"/>
    <w:rsid w:val="006C5020"/>
    <w:rsid w:val="006C581A"/>
    <w:rsid w:val="006C5ED2"/>
    <w:rsid w:val="006D64A1"/>
    <w:rsid w:val="006E2422"/>
    <w:rsid w:val="006E4721"/>
    <w:rsid w:val="0070775F"/>
    <w:rsid w:val="00725718"/>
    <w:rsid w:val="00726F2E"/>
    <w:rsid w:val="0073720C"/>
    <w:rsid w:val="00744B38"/>
    <w:rsid w:val="0075067C"/>
    <w:rsid w:val="0075755F"/>
    <w:rsid w:val="007613F4"/>
    <w:rsid w:val="00762E0E"/>
    <w:rsid w:val="007657FC"/>
    <w:rsid w:val="00774B1F"/>
    <w:rsid w:val="0078453F"/>
    <w:rsid w:val="00794D66"/>
    <w:rsid w:val="007A0AF5"/>
    <w:rsid w:val="007A5572"/>
    <w:rsid w:val="007C2F94"/>
    <w:rsid w:val="007D14BA"/>
    <w:rsid w:val="007D2E76"/>
    <w:rsid w:val="007D7DDD"/>
    <w:rsid w:val="007E50FA"/>
    <w:rsid w:val="00800EA0"/>
    <w:rsid w:val="00821907"/>
    <w:rsid w:val="00822391"/>
    <w:rsid w:val="00827F04"/>
    <w:rsid w:val="00836988"/>
    <w:rsid w:val="00844043"/>
    <w:rsid w:val="00865D67"/>
    <w:rsid w:val="008813CF"/>
    <w:rsid w:val="008A4C5B"/>
    <w:rsid w:val="008B5538"/>
    <w:rsid w:val="00904E9A"/>
    <w:rsid w:val="00913066"/>
    <w:rsid w:val="009211C5"/>
    <w:rsid w:val="009401EA"/>
    <w:rsid w:val="009707A3"/>
    <w:rsid w:val="00972A52"/>
    <w:rsid w:val="009911ED"/>
    <w:rsid w:val="009A74D0"/>
    <w:rsid w:val="009B6211"/>
    <w:rsid w:val="009D2E5A"/>
    <w:rsid w:val="009D682E"/>
    <w:rsid w:val="009F0CD9"/>
    <w:rsid w:val="00A03EF6"/>
    <w:rsid w:val="00A06F6E"/>
    <w:rsid w:val="00A10C03"/>
    <w:rsid w:val="00A10C2E"/>
    <w:rsid w:val="00A53EE8"/>
    <w:rsid w:val="00A609BD"/>
    <w:rsid w:val="00A71675"/>
    <w:rsid w:val="00A84C76"/>
    <w:rsid w:val="00AC627E"/>
    <w:rsid w:val="00AC6D65"/>
    <w:rsid w:val="00AD7BD9"/>
    <w:rsid w:val="00AE348F"/>
    <w:rsid w:val="00AF547A"/>
    <w:rsid w:val="00B0689F"/>
    <w:rsid w:val="00B07CEF"/>
    <w:rsid w:val="00B103AD"/>
    <w:rsid w:val="00B2380A"/>
    <w:rsid w:val="00B8202F"/>
    <w:rsid w:val="00B916E1"/>
    <w:rsid w:val="00B94B54"/>
    <w:rsid w:val="00BB042C"/>
    <w:rsid w:val="00BB1744"/>
    <w:rsid w:val="00BB394C"/>
    <w:rsid w:val="00BC0CC8"/>
    <w:rsid w:val="00BE2324"/>
    <w:rsid w:val="00C07C08"/>
    <w:rsid w:val="00C10CDB"/>
    <w:rsid w:val="00C121A7"/>
    <w:rsid w:val="00C148F4"/>
    <w:rsid w:val="00C21A65"/>
    <w:rsid w:val="00C33E82"/>
    <w:rsid w:val="00C34302"/>
    <w:rsid w:val="00C3464E"/>
    <w:rsid w:val="00C4056B"/>
    <w:rsid w:val="00C74BDC"/>
    <w:rsid w:val="00C75174"/>
    <w:rsid w:val="00C769DD"/>
    <w:rsid w:val="00C776AB"/>
    <w:rsid w:val="00CA0E5C"/>
    <w:rsid w:val="00CA327C"/>
    <w:rsid w:val="00CC3769"/>
    <w:rsid w:val="00CC4944"/>
    <w:rsid w:val="00CD678E"/>
    <w:rsid w:val="00CF5E9A"/>
    <w:rsid w:val="00D0119F"/>
    <w:rsid w:val="00D138EB"/>
    <w:rsid w:val="00D40DB9"/>
    <w:rsid w:val="00D41BB8"/>
    <w:rsid w:val="00D4602C"/>
    <w:rsid w:val="00D823F4"/>
    <w:rsid w:val="00DA796D"/>
    <w:rsid w:val="00DD1067"/>
    <w:rsid w:val="00DD275A"/>
    <w:rsid w:val="00DE5F25"/>
    <w:rsid w:val="00E15E59"/>
    <w:rsid w:val="00E20DB3"/>
    <w:rsid w:val="00E2513F"/>
    <w:rsid w:val="00E3051D"/>
    <w:rsid w:val="00E338AA"/>
    <w:rsid w:val="00E42B2C"/>
    <w:rsid w:val="00E4700E"/>
    <w:rsid w:val="00E510C0"/>
    <w:rsid w:val="00E57FAA"/>
    <w:rsid w:val="00E72BEF"/>
    <w:rsid w:val="00E9296E"/>
    <w:rsid w:val="00EA241B"/>
    <w:rsid w:val="00EB6BB9"/>
    <w:rsid w:val="00ED3F04"/>
    <w:rsid w:val="00F05517"/>
    <w:rsid w:val="00F11546"/>
    <w:rsid w:val="00F16B55"/>
    <w:rsid w:val="00F2037E"/>
    <w:rsid w:val="00F21E2E"/>
    <w:rsid w:val="00F26CD1"/>
    <w:rsid w:val="00F30D60"/>
    <w:rsid w:val="00F377C4"/>
    <w:rsid w:val="00F47D31"/>
    <w:rsid w:val="00F67D6A"/>
    <w:rsid w:val="00F86855"/>
    <w:rsid w:val="00F95F38"/>
    <w:rsid w:val="00FA2CB8"/>
    <w:rsid w:val="00FB211E"/>
    <w:rsid w:val="00FC3583"/>
    <w:rsid w:val="00FC372F"/>
    <w:rsid w:val="00FD141E"/>
    <w:rsid w:val="00FF7B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E9962-E5F5-43E6-81D9-E8B7DB88F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rsid w:val="0067706C"/>
    <w:rPr>
      <w:color w:val="0000FF"/>
      <w:u w:val="single"/>
    </w:rPr>
  </w:style>
  <w:style w:type="character" w:styleId="CommentReference">
    <w:name w:val="annotation reference"/>
    <w:rsid w:val="00B0689F"/>
    <w:rPr>
      <w:sz w:val="16"/>
      <w:szCs w:val="16"/>
    </w:rPr>
  </w:style>
  <w:style w:type="paragraph" w:styleId="CommentText">
    <w:name w:val="annotation text"/>
    <w:basedOn w:val="Normal"/>
    <w:link w:val="CommentTextChar"/>
    <w:rsid w:val="00B0689F"/>
    <w:rPr>
      <w:sz w:val="20"/>
      <w:lang w:val="x-none"/>
    </w:rPr>
  </w:style>
  <w:style w:type="character" w:customStyle="1" w:styleId="CommentTextChar">
    <w:name w:val="Comment Text Char"/>
    <w:link w:val="CommentText"/>
    <w:rsid w:val="00B0689F"/>
    <w:rPr>
      <w:lang w:eastAsia="en-US"/>
    </w:rPr>
  </w:style>
  <w:style w:type="paragraph" w:styleId="CommentSubject">
    <w:name w:val="annotation subject"/>
    <w:basedOn w:val="CommentText"/>
    <w:next w:val="CommentText"/>
    <w:link w:val="CommentSubjectChar"/>
    <w:rsid w:val="00B0689F"/>
    <w:rPr>
      <w:b/>
      <w:bCs/>
    </w:rPr>
  </w:style>
  <w:style w:type="character" w:customStyle="1" w:styleId="CommentSubjectChar">
    <w:name w:val="Comment Subject Char"/>
    <w:link w:val="CommentSubject"/>
    <w:rsid w:val="00B0689F"/>
    <w:rPr>
      <w:b/>
      <w:bCs/>
      <w:lang w:eastAsia="en-US"/>
    </w:rPr>
  </w:style>
  <w:style w:type="paragraph" w:styleId="Revision">
    <w:name w:val="Revision"/>
    <w:hidden/>
    <w:uiPriority w:val="99"/>
    <w:semiHidden/>
    <w:rsid w:val="00B0689F"/>
    <w:rPr>
      <w:sz w:val="24"/>
      <w:lang w:val="en-GB" w:eastAsia="en-US"/>
    </w:rPr>
  </w:style>
  <w:style w:type="paragraph" w:styleId="BalloonText">
    <w:name w:val="Balloon Text"/>
    <w:basedOn w:val="Normal"/>
    <w:link w:val="BalloonTextChar"/>
    <w:rsid w:val="00B0689F"/>
    <w:pPr>
      <w:spacing w:before="0"/>
    </w:pPr>
    <w:rPr>
      <w:rFonts w:ascii="Tahoma" w:hAnsi="Tahoma"/>
      <w:sz w:val="16"/>
      <w:szCs w:val="16"/>
      <w:lang w:val="x-none"/>
    </w:rPr>
  </w:style>
  <w:style w:type="character" w:customStyle="1" w:styleId="BalloonTextChar">
    <w:name w:val="Balloon Text Char"/>
    <w:link w:val="BalloonText"/>
    <w:rsid w:val="00B0689F"/>
    <w:rPr>
      <w:rFonts w:ascii="Tahoma" w:hAnsi="Tahoma" w:cs="Tahoma"/>
      <w:sz w:val="16"/>
      <w:szCs w:val="16"/>
      <w:lang w:eastAsia="en-US"/>
    </w:rPr>
  </w:style>
  <w:style w:type="paragraph" w:customStyle="1" w:styleId="LSDeadline">
    <w:name w:val="LSDeadline"/>
    <w:basedOn w:val="Normal"/>
    <w:rsid w:val="00550040"/>
    <w:rPr>
      <w:b/>
      <w:bCs/>
    </w:rPr>
  </w:style>
  <w:style w:type="paragraph" w:customStyle="1" w:styleId="LSForAction">
    <w:name w:val="LSForAction"/>
    <w:basedOn w:val="Normal"/>
    <w:rsid w:val="00550040"/>
    <w:rPr>
      <w:b/>
      <w:bCs/>
    </w:rPr>
  </w:style>
  <w:style w:type="paragraph" w:customStyle="1" w:styleId="LSSource">
    <w:name w:val="LSSource"/>
    <w:basedOn w:val="Normal"/>
    <w:rsid w:val="00550040"/>
    <w:rPr>
      <w:b/>
      <w:bCs/>
    </w:rPr>
  </w:style>
  <w:style w:type="paragraph" w:customStyle="1" w:styleId="LSTitle">
    <w:name w:val="LSTitle"/>
    <w:basedOn w:val="Normal"/>
    <w:rsid w:val="00550040"/>
    <w:rPr>
      <w:b/>
      <w:bCs/>
    </w:rPr>
  </w:style>
  <w:style w:type="paragraph" w:customStyle="1" w:styleId="LSForInfo">
    <w:name w:val="LSForInfo"/>
    <w:basedOn w:val="LSForAction"/>
    <w:rsid w:val="00550040"/>
  </w:style>
  <w:style w:type="paragraph" w:customStyle="1" w:styleId="LSForComment">
    <w:name w:val="LSForComment"/>
    <w:basedOn w:val="LSForAction"/>
    <w:rsid w:val="00550040"/>
  </w:style>
  <w:style w:type="paragraph" w:styleId="ListParagraph">
    <w:name w:val="List Paragraph"/>
    <w:basedOn w:val="Normal"/>
    <w:uiPriority w:val="34"/>
    <w:qFormat/>
    <w:rsid w:val="00B94B54"/>
    <w:pPr>
      <w:ind w:leftChars="400" w:left="840"/>
    </w:pPr>
  </w:style>
  <w:style w:type="character" w:customStyle="1" w:styleId="st1">
    <w:name w:val="st1"/>
    <w:basedOn w:val="DefaultParagraphFont"/>
    <w:rsid w:val="000A50F5"/>
  </w:style>
  <w:style w:type="paragraph" w:styleId="HTMLPreformatted">
    <w:name w:val="HTML Preformatted"/>
    <w:basedOn w:val="Normal"/>
    <w:link w:val="HTMLPreformattedChar"/>
    <w:uiPriority w:val="99"/>
    <w:unhideWhenUsed/>
    <w:rsid w:val="00D40DB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MS Gothic"/>
      <w:szCs w:val="24"/>
      <w:lang w:val="en-US" w:eastAsia="ja-JP"/>
    </w:rPr>
  </w:style>
  <w:style w:type="character" w:customStyle="1" w:styleId="HTMLPreformattedChar">
    <w:name w:val="HTML Preformatted Char"/>
    <w:basedOn w:val="DefaultParagraphFont"/>
    <w:link w:val="HTMLPreformatted"/>
    <w:uiPriority w:val="99"/>
    <w:rsid w:val="00D40DB9"/>
    <w:rPr>
      <w:rFonts w:ascii="MS Gothic" w:eastAsia="MS Gothic" w:hAnsi="MS Gothic" w:cs="MS Gothic"/>
      <w:sz w:val="24"/>
      <w:szCs w:val="24"/>
    </w:rPr>
  </w:style>
  <w:style w:type="paragraph" w:customStyle="1" w:styleId="Docnumber">
    <w:name w:val="Docnumber"/>
    <w:basedOn w:val="Normal"/>
    <w:link w:val="DocnumberChar"/>
    <w:rsid w:val="00BB042C"/>
    <w:pPr>
      <w:jc w:val="right"/>
    </w:pPr>
    <w:rPr>
      <w:b/>
      <w:bCs/>
      <w:sz w:val="40"/>
    </w:rPr>
  </w:style>
  <w:style w:type="character" w:customStyle="1" w:styleId="DocnumberChar">
    <w:name w:val="Docnumber Char"/>
    <w:basedOn w:val="DefaultParagraphFont"/>
    <w:link w:val="Docnumber"/>
    <w:rsid w:val="00BB042C"/>
    <w:rPr>
      <w:b/>
      <w:bCs/>
      <w:sz w:val="40"/>
      <w:lang w:val="en-GB" w:eastAsia="en-US"/>
    </w:rPr>
  </w:style>
  <w:style w:type="table" w:styleId="TableTheme">
    <w:name w:val="Table Theme"/>
    <w:basedOn w:val="TableNormal"/>
    <w:rsid w:val="00263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0929"/>
    <w:rPr>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029181">
      <w:bodyDiv w:val="1"/>
      <w:marLeft w:val="0"/>
      <w:marRight w:val="0"/>
      <w:marTop w:val="0"/>
      <w:marBottom w:val="0"/>
      <w:divBdr>
        <w:top w:val="none" w:sz="0" w:space="0" w:color="auto"/>
        <w:left w:val="none" w:sz="0" w:space="0" w:color="auto"/>
        <w:bottom w:val="none" w:sz="0" w:space="0" w:color="auto"/>
        <w:right w:val="none" w:sz="0" w:space="0" w:color="auto"/>
      </w:divBdr>
    </w:div>
    <w:div w:id="380790446">
      <w:bodyDiv w:val="1"/>
      <w:marLeft w:val="0"/>
      <w:marRight w:val="0"/>
      <w:marTop w:val="0"/>
      <w:marBottom w:val="0"/>
      <w:divBdr>
        <w:top w:val="none" w:sz="0" w:space="0" w:color="auto"/>
        <w:left w:val="none" w:sz="0" w:space="0" w:color="auto"/>
        <w:bottom w:val="none" w:sz="0" w:space="0" w:color="auto"/>
        <w:right w:val="none" w:sz="0" w:space="0" w:color="auto"/>
      </w:divBdr>
    </w:div>
    <w:div w:id="550850531">
      <w:bodyDiv w:val="1"/>
      <w:marLeft w:val="0"/>
      <w:marRight w:val="0"/>
      <w:marTop w:val="0"/>
      <w:marBottom w:val="0"/>
      <w:divBdr>
        <w:top w:val="none" w:sz="0" w:space="0" w:color="auto"/>
        <w:left w:val="none" w:sz="0" w:space="0" w:color="auto"/>
        <w:bottom w:val="none" w:sz="0" w:space="0" w:color="auto"/>
        <w:right w:val="none" w:sz="0" w:space="0" w:color="auto"/>
      </w:divBdr>
    </w:div>
    <w:div w:id="852064891">
      <w:bodyDiv w:val="1"/>
      <w:marLeft w:val="0"/>
      <w:marRight w:val="0"/>
      <w:marTop w:val="0"/>
      <w:marBottom w:val="0"/>
      <w:divBdr>
        <w:top w:val="none" w:sz="0" w:space="0" w:color="auto"/>
        <w:left w:val="none" w:sz="0" w:space="0" w:color="auto"/>
        <w:bottom w:val="none" w:sz="0" w:space="0" w:color="auto"/>
        <w:right w:val="none" w:sz="0" w:space="0" w:color="auto"/>
      </w:divBdr>
    </w:div>
    <w:div w:id="950747682">
      <w:bodyDiv w:val="1"/>
      <w:marLeft w:val="0"/>
      <w:marRight w:val="0"/>
      <w:marTop w:val="0"/>
      <w:marBottom w:val="0"/>
      <w:divBdr>
        <w:top w:val="none" w:sz="0" w:space="0" w:color="auto"/>
        <w:left w:val="none" w:sz="0" w:space="0" w:color="auto"/>
        <w:bottom w:val="none" w:sz="0" w:space="0" w:color="auto"/>
        <w:right w:val="none" w:sz="0" w:space="0" w:color="auto"/>
      </w:divBdr>
    </w:div>
    <w:div w:id="1071804279">
      <w:bodyDiv w:val="1"/>
      <w:marLeft w:val="0"/>
      <w:marRight w:val="0"/>
      <w:marTop w:val="0"/>
      <w:marBottom w:val="0"/>
      <w:divBdr>
        <w:top w:val="none" w:sz="0" w:space="0" w:color="auto"/>
        <w:left w:val="none" w:sz="0" w:space="0" w:color="auto"/>
        <w:bottom w:val="none" w:sz="0" w:space="0" w:color="auto"/>
        <w:right w:val="none" w:sz="0" w:space="0" w:color="auto"/>
      </w:divBdr>
    </w:div>
    <w:div w:id="1144007451">
      <w:bodyDiv w:val="1"/>
      <w:marLeft w:val="0"/>
      <w:marRight w:val="0"/>
      <w:marTop w:val="0"/>
      <w:marBottom w:val="0"/>
      <w:divBdr>
        <w:top w:val="none" w:sz="0" w:space="0" w:color="auto"/>
        <w:left w:val="none" w:sz="0" w:space="0" w:color="auto"/>
        <w:bottom w:val="none" w:sz="0" w:space="0" w:color="auto"/>
        <w:right w:val="none" w:sz="0" w:space="0" w:color="auto"/>
      </w:divBdr>
    </w:div>
    <w:div w:id="1898927474">
      <w:bodyDiv w:val="1"/>
      <w:marLeft w:val="0"/>
      <w:marRight w:val="0"/>
      <w:marTop w:val="0"/>
      <w:marBottom w:val="0"/>
      <w:divBdr>
        <w:top w:val="none" w:sz="0" w:space="0" w:color="auto"/>
        <w:left w:val="none" w:sz="0" w:space="0" w:color="auto"/>
        <w:bottom w:val="none" w:sz="0" w:space="0" w:color="auto"/>
        <w:right w:val="none" w:sz="0" w:space="0" w:color="auto"/>
      </w:divBdr>
    </w:div>
    <w:div w:id="19370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ni.junichi@lab.ntt.co.jp" TargetMode="External"/><Relationship Id="rId4" Type="http://schemas.openxmlformats.org/officeDocument/2006/relationships/settings" Target="settings.xml"/><Relationship Id="rId9" Type="http://schemas.openxmlformats.org/officeDocument/2006/relationships/hyperlink" Target="mailto:frank.effenberger@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B2D2C-A880-401E-9C89-846B9820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20</TotalTime>
  <Pages>2</Pages>
  <Words>506</Words>
  <Characters>2886</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LS/o/r on Technical exchange on the C-RAN fronthaul requirements [to RAN Evolution Project, NGNM Alliance]</vt:lpstr>
      <vt:lpstr>Liaison Statement on PON applications for the future mobile fronthauling [to RAN Evolution Project and NGNM Alliance]</vt:lpstr>
      <vt:lpstr/>
    </vt:vector>
  </TitlesOfParts>
  <Manager>ITU-T</Manager>
  <Company>International Telecommunication Union (ITU)</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Wireless Fronthaul Transport Requirements over Access Systems</dc:title>
  <dc:creator>ITU-T Study Group 15</dc:creator>
  <cp:keywords>2/15</cp:keywords>
  <dc:description>TELECOMMUNICATION STANDARDIZATION SECTOR STUDY PERIOD 2013-2016  For: _x000d_Document date: _x000d_Saved by ITU51010110 at 10:02:01 on 20/04/15</dc:description>
  <cp:lastModifiedBy>PM: CR2866</cp:lastModifiedBy>
  <cp:revision>11</cp:revision>
  <cp:lastPrinted>2013-02-22T11:47:00Z</cp:lastPrinted>
  <dcterms:created xsi:type="dcterms:W3CDTF">2015-04-17T12:48:00Z</dcterms:created>
  <dcterms:modified xsi:type="dcterms:W3CDTF">2015-04-24T08:05:00Z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(2)oFmF6TZIK/NY5+3/A2PgynzRW5XODnyJPe925H+qBkIVlL2iXqRf94+OzNnle8hHROYQLdBd
CKQx8K3XQYfqaYLG9of9F0L/dDbf8XXvHC9K6eTB4K37bVk1xOq4bZkRLHgsG39P+zLKCD9W
1ZnZjOvGj/Vwq9XUtZqgWvUk4NPktoNqgvU85s6vuyW1avdIk5XtUUXW40aC4236UVSifTqy
cNGgWYvqcHUtU+11JoxDg</vt:lpwstr>
  </property>
  <property fmtid="{D5CDD505-2E9C-101B-9397-08002B2CF9AE}" pid="3" name="_ms_pID_7253431">
    <vt:lpwstr>QdjcWoChD0nnCwJV1jyQ+sRzTd7yy9J7tvEnO+zVOfvisVBb6P7
MwQNcFO47CDfVVFYbnsKTDTlc+vZlD8ieqH1iedCq4GwYKtazuqfTJzV+IjLKXXQi1ZsAtuz
hAWZtNmfXAggGdqd8Jz/gKGI</vt:lpwstr>
  </property>
  <property fmtid="{D5CDD505-2E9C-101B-9397-08002B2CF9AE}" pid="4" name="Docnum">
    <vt:lpwstr>TELECOMMUNICATION STANDARDIZATION SECTOR STUDY PERIOD 2013-2016</vt:lpwstr>
  </property>
  <property fmtid="{D5CDD505-2E9C-101B-9397-08002B2CF9AE}" pid="5" name="Docdate">
    <vt:lpwstr/>
  </property>
  <property fmtid="{D5CDD505-2E9C-101B-9397-08002B2CF9AE}" pid="6" name="Docorlang">
    <vt:lpwstr>English only Original: English</vt:lpwstr>
  </property>
  <property fmtid="{D5CDD505-2E9C-101B-9397-08002B2CF9AE}" pid="7" name="Docbluepink">
    <vt:lpwstr>2/15</vt:lpwstr>
  </property>
  <property fmtid="{D5CDD505-2E9C-101B-9397-08002B2CF9AE}" pid="8" name="Docdest">
    <vt:lpwstr/>
  </property>
  <property fmtid="{D5CDD505-2E9C-101B-9397-08002B2CF9AE}" pid="9" name="Docauthor">
    <vt:lpwstr>ITU-T Study Group 15</vt:lpwstr>
  </property>
  <property fmtid="{D5CDD505-2E9C-101B-9397-08002B2CF9AE}" pid="10" name="sflag">
    <vt:lpwstr>1380108315</vt:lpwstr>
  </property>
</Properties>
</file>