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22748C4F" w:rsidR="005C6C94" w:rsidRPr="00AE5FE4"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A0064E">
        <w:rPr>
          <w:rFonts w:cs="Arial"/>
          <w:noProof w:val="0"/>
          <w:sz w:val="28"/>
          <w:szCs w:val="28"/>
          <w:lang w:val="en-US"/>
        </w:rPr>
        <w:t>6</w:t>
      </w:r>
      <w:r w:rsidRPr="00D91FF7">
        <w:rPr>
          <w:rFonts w:cs="Arial"/>
          <w:noProof w:val="0"/>
          <w:sz w:val="28"/>
          <w:szCs w:val="28"/>
          <w:lang w:val="en-US"/>
        </w:rPr>
        <w:tab/>
      </w:r>
      <w:r w:rsidRPr="00AE0914">
        <w:rPr>
          <w:rFonts w:cs="Arial"/>
          <w:noProof w:val="0"/>
          <w:sz w:val="28"/>
          <w:szCs w:val="28"/>
          <w:lang w:val="en-US"/>
        </w:rPr>
        <w:t>R1-2</w:t>
      </w:r>
      <w:r w:rsidR="00AE0914" w:rsidRPr="00AE0914">
        <w:rPr>
          <w:rFonts w:cs="Arial"/>
          <w:noProof w:val="0"/>
          <w:sz w:val="28"/>
          <w:szCs w:val="28"/>
          <w:lang w:val="en-US"/>
        </w:rPr>
        <w:t>401045</w:t>
      </w:r>
    </w:p>
    <w:p w14:paraId="239E83DC" w14:textId="0955BB3B" w:rsidR="00164340" w:rsidRPr="00D91FF7" w:rsidRDefault="00A0064E" w:rsidP="00164340">
      <w:pPr>
        <w:pStyle w:val="a3"/>
        <w:rPr>
          <w:rFonts w:asciiTheme="majorHAnsi" w:hAnsiTheme="majorHAnsi" w:cstheme="majorHAnsi"/>
          <w:bCs/>
          <w:sz w:val="28"/>
          <w:lang w:val="en-US"/>
        </w:rPr>
      </w:pPr>
      <w:bookmarkStart w:id="2" w:name="_Hlk149574297"/>
      <w:bookmarkEnd w:id="0"/>
      <w:r>
        <w:rPr>
          <w:rFonts w:asciiTheme="majorHAnsi" w:eastAsia="SimSun" w:hAnsiTheme="majorHAnsi" w:cstheme="majorHAnsi"/>
          <w:sz w:val="28"/>
          <w:szCs w:val="28"/>
          <w:lang w:val="en-US" w:eastAsia="zh-CN"/>
        </w:rPr>
        <w:t>Athens</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Greece</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February</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26</w:t>
      </w:r>
      <w:r w:rsidR="00164340" w:rsidRPr="001A4E3E">
        <w:rPr>
          <w:rFonts w:asciiTheme="majorHAnsi" w:eastAsia="SimSun" w:hAnsiTheme="majorHAnsi" w:cstheme="majorHAnsi"/>
          <w:sz w:val="28"/>
          <w:szCs w:val="28"/>
          <w:lang w:val="en-US" w:eastAsia="zh-CN"/>
        </w:rPr>
        <w:t xml:space="preserve">th – </w:t>
      </w:r>
      <w:r>
        <w:rPr>
          <w:rFonts w:asciiTheme="majorHAnsi" w:eastAsia="SimSun" w:hAnsiTheme="majorHAnsi" w:cstheme="majorHAnsi"/>
          <w:sz w:val="28"/>
          <w:szCs w:val="28"/>
          <w:lang w:val="en-US" w:eastAsia="zh-CN"/>
        </w:rPr>
        <w:t>March</w:t>
      </w:r>
      <w:r w:rsidR="00164340" w:rsidRPr="001A4E3E">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1st</w:t>
      </w:r>
      <w:r w:rsidR="00164340" w:rsidRPr="001A4E3E">
        <w:rPr>
          <w:rFonts w:asciiTheme="majorHAnsi" w:eastAsia="SimSun" w:hAnsiTheme="majorHAnsi" w:cstheme="majorHAnsi"/>
          <w:sz w:val="28"/>
          <w:szCs w:val="28"/>
          <w:lang w:val="en-US" w:eastAsia="zh-CN"/>
        </w:rPr>
        <w:t xml:space="preserve">, </w:t>
      </w:r>
      <w:r w:rsidR="00164340" w:rsidRPr="00A336B6">
        <w:rPr>
          <w:rFonts w:asciiTheme="majorHAnsi" w:eastAsia="SimSun" w:hAnsiTheme="majorHAnsi" w:cstheme="majorHAnsi"/>
          <w:sz w:val="28"/>
          <w:szCs w:val="28"/>
          <w:lang w:val="en-US" w:eastAsia="zh-CN"/>
        </w:rPr>
        <w:t>202</w:t>
      </w:r>
      <w:r>
        <w:rPr>
          <w:rFonts w:asciiTheme="majorHAnsi" w:eastAsia="SimSun" w:hAnsiTheme="majorHAnsi" w:cstheme="majorHAnsi"/>
          <w:sz w:val="28"/>
          <w:szCs w:val="28"/>
          <w:lang w:val="en-US" w:eastAsia="zh-CN"/>
        </w:rPr>
        <w:t>4</w:t>
      </w:r>
    </w:p>
    <w:bookmarkEnd w:id="2"/>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03CAF9D0"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525FE8">
        <w:rPr>
          <w:rFonts w:ascii="Arial" w:hAnsi="Arial" w:cs="Arial" w:hint="eastAsia"/>
          <w:b/>
          <w:sz w:val="28"/>
          <w:szCs w:val="28"/>
          <w:lang w:val="en-US"/>
        </w:rPr>
        <w:t>CSI</w:t>
      </w:r>
      <w:r w:rsidR="00525FE8">
        <w:rPr>
          <w:rFonts w:ascii="Arial" w:hAnsi="Arial" w:cs="Arial"/>
          <w:b/>
          <w:sz w:val="28"/>
          <w:szCs w:val="28"/>
          <w:lang w:val="en-US"/>
        </w:rPr>
        <w:t xml:space="preserve"> enhancement</w:t>
      </w:r>
      <w:r w:rsidR="008F5516">
        <w:rPr>
          <w:rFonts w:ascii="Arial" w:hAnsi="Arial" w:cs="Arial" w:hint="eastAsia"/>
          <w:b/>
          <w:sz w:val="28"/>
          <w:szCs w:val="28"/>
          <w:lang w:val="en-US"/>
        </w:rPr>
        <w:t>s</w:t>
      </w:r>
    </w:p>
    <w:p w14:paraId="26DC8AEB" w14:textId="7FEEC966"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B110B3">
        <w:rPr>
          <w:rFonts w:ascii="Arial" w:eastAsiaTheme="minorEastAsia" w:hAnsi="Arial" w:cs="Arial"/>
          <w:b/>
          <w:sz w:val="28"/>
          <w:szCs w:val="28"/>
          <w:lang w:val="pt-BR"/>
        </w:rPr>
        <w:t>9.2</w:t>
      </w:r>
      <w:r w:rsidR="001E0623" w:rsidRPr="004B2CBF">
        <w:rPr>
          <w:rFonts w:ascii="Arial" w:eastAsiaTheme="minorEastAsia" w:hAnsi="Arial" w:cs="Arial"/>
          <w:b/>
          <w:sz w:val="28"/>
          <w:szCs w:val="28"/>
          <w:lang w:val="pt-BR"/>
        </w:rPr>
        <w:t>.</w:t>
      </w:r>
      <w:r w:rsidR="00525FE8">
        <w:rPr>
          <w:rFonts w:ascii="Arial" w:eastAsiaTheme="minorEastAsia" w:hAnsi="Arial" w:cs="Arial"/>
          <w:b/>
          <w:sz w:val="28"/>
          <w:szCs w:val="28"/>
          <w:lang w:val="pt-BR"/>
        </w:rPr>
        <w:t>2</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0D76FF8A"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17A0CEC1" w14:textId="77777777" w:rsidR="00C037B0" w:rsidRPr="000D100E" w:rsidRDefault="00C037B0" w:rsidP="00C037B0">
      <w:pPr>
        <w:numPr>
          <w:ilvl w:val="0"/>
          <w:numId w:val="25"/>
        </w:numPr>
        <w:tabs>
          <w:tab w:val="left" w:pos="720"/>
        </w:tabs>
        <w:spacing w:after="0" w:afterAutospacing="0"/>
        <w:jc w:val="left"/>
        <w:rPr>
          <w:rFonts w:eastAsia="Times New Roman"/>
          <w:szCs w:val="24"/>
          <w:lang w:val="en-US" w:eastAsia="en-US"/>
        </w:rPr>
      </w:pPr>
      <w:bookmarkStart w:id="4" w:name="_Hlk146697700"/>
      <w:r w:rsidRPr="000D100E">
        <w:rPr>
          <w:rFonts w:eastAsia="Times New Roman"/>
          <w:szCs w:val="24"/>
          <w:lang w:val="en-US" w:eastAsia="en-US"/>
        </w:rPr>
        <w:t>Specify CSI support for up to 128 CSI-RS ports, targeting FR1</w:t>
      </w:r>
    </w:p>
    <w:p w14:paraId="0F287478" w14:textId="77777777" w:rsidR="00C037B0" w:rsidRPr="000D100E" w:rsidRDefault="00C037B0" w:rsidP="00C037B0">
      <w:pPr>
        <w:numPr>
          <w:ilvl w:val="1"/>
          <w:numId w:val="25"/>
        </w:numPr>
        <w:spacing w:after="0" w:afterAutospacing="0"/>
        <w:jc w:val="left"/>
        <w:rPr>
          <w:rFonts w:eastAsia="Times New Roman"/>
          <w:szCs w:val="24"/>
          <w:lang w:val="en-US" w:eastAsia="en-US"/>
        </w:rPr>
      </w:pPr>
      <w:r w:rsidRPr="000D100E">
        <w:rPr>
          <w:rFonts w:eastAsia="Times New Roman"/>
          <w:szCs w:val="24"/>
          <w:lang w:val="en-US" w:eastAsia="en-US"/>
        </w:rPr>
        <w:t>Type-I codebook refinement supporting up to a total of 128 CSI-RS ports across all resources, assuming legacy CSI-RS resources (with up to 32 CSI-RS ports per resource), based on extension of legacy codebooks</w:t>
      </w:r>
    </w:p>
    <w:p w14:paraId="1E08D578" w14:textId="77777777" w:rsidR="00C037B0" w:rsidRPr="000D100E" w:rsidRDefault="00C037B0" w:rsidP="00C037B0">
      <w:pPr>
        <w:numPr>
          <w:ilvl w:val="1"/>
          <w:numId w:val="25"/>
        </w:numPr>
        <w:spacing w:after="0" w:afterAutospacing="0"/>
        <w:jc w:val="left"/>
        <w:rPr>
          <w:rFonts w:eastAsia="Times New Roman"/>
          <w:szCs w:val="24"/>
          <w:lang w:val="en-US" w:eastAsia="en-US"/>
        </w:rPr>
      </w:pPr>
      <w:r w:rsidRPr="000D100E">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3F22712" w14:textId="77777777" w:rsidR="00C037B0" w:rsidRPr="00C037B0" w:rsidRDefault="00C037B0" w:rsidP="00C037B0">
      <w:pPr>
        <w:numPr>
          <w:ilvl w:val="1"/>
          <w:numId w:val="25"/>
        </w:numPr>
        <w:spacing w:after="0" w:afterAutospacing="0"/>
        <w:jc w:val="left"/>
        <w:rPr>
          <w:rFonts w:eastAsia="Times New Roman"/>
          <w:szCs w:val="24"/>
          <w:lang w:val="en-US" w:eastAsia="en-US"/>
        </w:rPr>
      </w:pPr>
      <w:r w:rsidRPr="000D100E">
        <w:rPr>
          <w:rFonts w:eastAsia="Times New Roman"/>
          <w:szCs w:val="24"/>
          <w:lang w:val="en-US" w:eastAsia="en-US"/>
        </w:rPr>
        <w:t>Extension of CRI</w:t>
      </w:r>
      <w:r w:rsidRPr="00C037B0">
        <w:rPr>
          <w:rFonts w:eastAsia="Times New Roman"/>
          <w:szCs w:val="24"/>
          <w:lang w:val="en-US" w:eastAsia="en-US"/>
        </w:rPr>
        <w:t>(s)-based CSI reporting (CQI/PMI/RI calculated per CRI for ≥1 CRIs) for hybrid beamforming supporting up to a total of 128 CSI-RS ports across all resources, with up to 32 CSI-RS ports per resource, without new codebook design</w:t>
      </w:r>
      <w:bookmarkEnd w:id="4"/>
    </w:p>
    <w:p w14:paraId="5E8D6C46" w14:textId="77777777" w:rsidR="00C037B0" w:rsidRPr="000D100E" w:rsidRDefault="00C037B0" w:rsidP="00C037B0">
      <w:pPr>
        <w:numPr>
          <w:ilvl w:val="0"/>
          <w:numId w:val="25"/>
        </w:numPr>
        <w:spacing w:after="0" w:afterAutospacing="0"/>
        <w:jc w:val="left"/>
        <w:rPr>
          <w:rFonts w:eastAsia="Times New Roman"/>
          <w:szCs w:val="24"/>
          <w:lang w:val="en-US" w:eastAsia="en-US"/>
        </w:rPr>
      </w:pPr>
      <w:r w:rsidRPr="00C037B0">
        <w:rPr>
          <w:rFonts w:eastAsia="Times New Roman"/>
          <w:szCs w:val="24"/>
          <w:lang w:val="en-US" w:eastAsia="en-US"/>
        </w:rPr>
        <w:t>Specify UE reporting enhancement for CJT deployments under non-ideal sync</w:t>
      </w:r>
      <w:r w:rsidRPr="000D100E">
        <w:rPr>
          <w:rFonts w:eastAsia="Times New Roman"/>
          <w:szCs w:val="24"/>
          <w:lang w:val="en-US" w:eastAsia="en-US"/>
        </w:rPr>
        <w:t xml:space="preserve">hronization and backhaul, targeting FR1, both FDD and TDD </w:t>
      </w:r>
    </w:p>
    <w:p w14:paraId="727FA3AD" w14:textId="77777777" w:rsidR="00C037B0" w:rsidRPr="000D100E" w:rsidRDefault="00C037B0" w:rsidP="00C037B0">
      <w:pPr>
        <w:numPr>
          <w:ilvl w:val="0"/>
          <w:numId w:val="26"/>
        </w:numPr>
        <w:spacing w:after="0" w:afterAutospacing="0"/>
        <w:jc w:val="left"/>
        <w:rPr>
          <w:rFonts w:eastAsia="Times New Roman"/>
          <w:szCs w:val="24"/>
          <w:lang w:val="en-US" w:eastAsia="en-US"/>
        </w:rPr>
      </w:pPr>
      <w:r w:rsidRPr="000D100E">
        <w:rPr>
          <w:rFonts w:eastAsia="Times New Roman"/>
          <w:szCs w:val="24"/>
          <w:lang w:val="en-US" w:eastAsia="en-US"/>
        </w:rPr>
        <w:t>Inter-TRP time misalignment and frequency/phase offset measurement and reporting, assuming legacy CSI-RS design, with stand-alone aperiodic reporting on PUSCH</w:t>
      </w:r>
    </w:p>
    <w:p w14:paraId="2935FFBD" w14:textId="77777777" w:rsidR="00C037B0" w:rsidRPr="00C037B0" w:rsidRDefault="00C037B0" w:rsidP="00A24545">
      <w:pPr>
        <w:pStyle w:val="Style1"/>
        <w:snapToGrid w:val="0"/>
        <w:spacing w:line="240" w:lineRule="auto"/>
        <w:ind w:firstLine="0"/>
        <w:contextualSpacing w:val="0"/>
        <w:rPr>
          <w:rFonts w:eastAsia="ＭＳ ゴシック"/>
          <w:sz w:val="24"/>
          <w:lang w:eastAsia="ja-JP"/>
        </w:rPr>
      </w:pPr>
    </w:p>
    <w:p w14:paraId="694F488A" w14:textId="6F9EC12A" w:rsidR="000F1A64" w:rsidRDefault="00C32C7C" w:rsidP="000F1A64">
      <w:pPr>
        <w:pStyle w:val="10"/>
        <w:spacing w:after="180"/>
      </w:pPr>
      <w:r>
        <w:t>D</w:t>
      </w:r>
      <w:r w:rsidR="002C2DE4">
        <w:t>iscussions</w:t>
      </w:r>
    </w:p>
    <w:p w14:paraId="442F51E6" w14:textId="43BCA2EF" w:rsidR="00525FE8" w:rsidRDefault="00525FE8" w:rsidP="00525FE8">
      <w:pPr>
        <w:pStyle w:val="10"/>
        <w:numPr>
          <w:ilvl w:val="1"/>
          <w:numId w:val="1"/>
        </w:numPr>
        <w:spacing w:after="180"/>
      </w:pPr>
      <w:r>
        <w:rPr>
          <w:rFonts w:hint="eastAsia"/>
        </w:rPr>
        <w:t>C</w:t>
      </w:r>
      <w:r>
        <w:t>JT</w:t>
      </w:r>
    </w:p>
    <w:p w14:paraId="2533F1F8" w14:textId="074AC138" w:rsidR="00B8397D" w:rsidRDefault="00E24DB0" w:rsidP="006E5B89">
      <w:r>
        <w:t xml:space="preserve">In </w:t>
      </w:r>
      <w:r w:rsidR="00B8397D">
        <w:t xml:space="preserve">Rel-18 CJT, </w:t>
      </w:r>
      <w:r>
        <w:t xml:space="preserve">the features have been specified under the environment where </w:t>
      </w:r>
      <w:r w:rsidR="00B8397D">
        <w:t xml:space="preserve">an ideal backhaul and synchronization </w:t>
      </w:r>
      <w:r>
        <w:t xml:space="preserve">between TRPs </w:t>
      </w:r>
      <w:r w:rsidR="00B8397D">
        <w:t xml:space="preserve">are </w:t>
      </w:r>
      <w:r>
        <w:t>assumed</w:t>
      </w:r>
      <w:r w:rsidR="00B8397D">
        <w:t xml:space="preserve">. However, in practical deployments, it is difficult to completely synchronize multi-TRPs. Therefore, enhancements for CJT deployments under non-ideal backhaul and synchronization </w:t>
      </w:r>
      <w:r>
        <w:t xml:space="preserve">between TRPs are </w:t>
      </w:r>
      <w:r w:rsidR="00B8397D">
        <w:t>beneficial</w:t>
      </w:r>
      <w:r>
        <w:t xml:space="preserve"> and it was agreed that UE reporting enhancements in case of non-ideal backhaul is specified in Rel-19</w:t>
      </w:r>
      <w:r w:rsidR="00B8397D">
        <w:t>.</w:t>
      </w:r>
    </w:p>
    <w:p w14:paraId="20D5BC94" w14:textId="3F1016AC" w:rsidR="00CC3AFE" w:rsidRDefault="00B8397D" w:rsidP="006E5B89">
      <w:r>
        <w:rPr>
          <w:rFonts w:hint="eastAsia"/>
        </w:rPr>
        <w:t>F</w:t>
      </w:r>
      <w:r>
        <w:t xml:space="preserve">or Rel-19 CJT, </w:t>
      </w:r>
      <w:r w:rsidR="00E24DB0">
        <w:t xml:space="preserve">according to the WID, inter-TRP time misalignment and frequency/phase offset measurement and reporting is targeted for the specification work. Therefore, </w:t>
      </w:r>
      <w:r>
        <w:t xml:space="preserve">we focus on measurements of frequency and propagation delay difference. For asynchronous multi-TRP, each of multi-TRP has a local oscillator </w:t>
      </w:r>
      <w:r w:rsidR="00CC3AFE">
        <w:t xml:space="preserve">and each local oscillator cannot </w:t>
      </w:r>
      <w:r w:rsidR="000212CC">
        <w:t xml:space="preserve">guarantee a </w:t>
      </w:r>
      <w:r w:rsidR="00CC3AFE">
        <w:t xml:space="preserve">centre frequency </w:t>
      </w:r>
      <w:r w:rsidR="00486014">
        <w:t>with negligible frequency difference</w:t>
      </w:r>
      <w:r w:rsidR="00CC3AFE">
        <w:t xml:space="preserve">. Furthermore, non-ideal backhaul causes propagation delay </w:t>
      </w:r>
      <w:r w:rsidR="00467680">
        <w:t xml:space="preserve">and transmission time </w:t>
      </w:r>
      <w:r w:rsidR="00CC3AFE">
        <w:t>difference among TRPs.</w:t>
      </w:r>
      <w:r w:rsidR="00CC3AFE">
        <w:rPr>
          <w:rFonts w:hint="eastAsia"/>
        </w:rPr>
        <w:t xml:space="preserve"> </w:t>
      </w:r>
      <w:r w:rsidR="00CC3AFE">
        <w:t xml:space="preserve">Therefore, the UE needs to measure both frequency and propagation delay differences </w:t>
      </w:r>
      <w:r w:rsidR="00CC3AFE">
        <w:lastRenderedPageBreak/>
        <w:t>based on multiple CSI-RS receptions from multi-TRPs, and then reporting the measurement result is helpful to compensate these differences at the NW side.</w:t>
      </w:r>
    </w:p>
    <w:p w14:paraId="676BC0D8" w14:textId="063989FC" w:rsidR="00BB7980" w:rsidRDefault="00420381" w:rsidP="006E5B89">
      <w:r>
        <w:t>A</w:t>
      </w:r>
      <w:r w:rsidR="00BB7980">
        <w:t>s a first st</w:t>
      </w:r>
      <w:r w:rsidR="008238F2">
        <w:t>ep</w:t>
      </w:r>
      <w:r w:rsidR="00BB7980">
        <w:t>,</w:t>
      </w:r>
      <w:r w:rsidR="003F1092">
        <w:t xml:space="preserve"> since these differences are not assumed and measured in the legacy procedure,</w:t>
      </w:r>
      <w:r w:rsidR="00BB7980">
        <w:t xml:space="preserve"> </w:t>
      </w:r>
      <w:r w:rsidR="003F1092">
        <w:t>new measurement/reporting quantities should be defined.</w:t>
      </w:r>
    </w:p>
    <w:p w14:paraId="18BD9505" w14:textId="52B805B8" w:rsidR="00FD27DA" w:rsidRPr="00E30F28" w:rsidRDefault="00FD27DA" w:rsidP="006E5B89">
      <w:pPr>
        <w:rPr>
          <w:b/>
          <w:bCs/>
        </w:rPr>
      </w:pPr>
      <w:r w:rsidRPr="00E30F28">
        <w:rPr>
          <w:rFonts w:hint="eastAsia"/>
          <w:b/>
          <w:bCs/>
        </w:rPr>
        <w:t>P</w:t>
      </w:r>
      <w:r w:rsidRPr="00E30F28">
        <w:rPr>
          <w:b/>
          <w:bCs/>
        </w:rPr>
        <w:t>roposal 1: New measurement/reporting quantities should be defined.</w:t>
      </w:r>
    </w:p>
    <w:p w14:paraId="78C03C68" w14:textId="2536C40F" w:rsidR="00C81828" w:rsidRDefault="00587948" w:rsidP="006E5B89">
      <w:r>
        <w:t xml:space="preserve">A channel of single reflected wave with frequency </w:t>
      </w:r>
      <m:oMath>
        <m:r>
          <w:rPr>
            <w:rFonts w:ascii="Cambria Math" w:hAnsi="Cambria Math"/>
          </w:rPr>
          <m:t>f</m:t>
        </m:r>
      </m:oMath>
      <w:r>
        <w:rPr>
          <w:rFonts w:hint="eastAsia"/>
        </w:rPr>
        <w:t xml:space="preserve"> </w:t>
      </w:r>
      <w:r>
        <w:t>is expressed as:</w:t>
      </w:r>
    </w:p>
    <w:p w14:paraId="44B14772" w14:textId="2CE57AA3" w:rsidR="00B8397D" w:rsidRDefault="00587948" w:rsidP="006E5B89">
      <m:oMathPara>
        <m:oMath>
          <m:r>
            <w:rPr>
              <w:rFonts w:ascii="Cambria Math" w:hAnsi="Cambria Math"/>
            </w:rPr>
            <m:t>h</m:t>
          </m:r>
          <m:d>
            <m:dPr>
              <m:ctrlPr>
                <w:rPr>
                  <w:rFonts w:ascii="Cambria Math" w:hAnsi="Cambria Math"/>
                  <w:i/>
                </w:rPr>
              </m:ctrlPr>
            </m:dPr>
            <m:e>
              <m:r>
                <w:rPr>
                  <w:rFonts w:ascii="Cambria Math" w:hAnsi="Cambria Math"/>
                </w:rPr>
                <m:t>t,f</m:t>
              </m:r>
            </m:e>
          </m:d>
          <m:r>
            <w:rPr>
              <w:rFonts w:ascii="Cambria Math" w:hAnsi="Cambria Math"/>
            </w:rPr>
            <m:t>=</m:t>
          </m:r>
          <m:d>
            <m:dPr>
              <m:begChr m:val="|"/>
              <m:endChr m:val="|"/>
              <m:ctrlPr>
                <w:rPr>
                  <w:rFonts w:ascii="Cambria Math" w:hAnsi="Cambria Math"/>
                  <w:i/>
                </w:rPr>
              </m:ctrlPr>
            </m:dPr>
            <m:e>
              <m:r>
                <w:rPr>
                  <w:rFonts w:ascii="Cambria Math" w:hAnsi="Cambria Math"/>
                </w:rPr>
                <m:t>h</m:t>
              </m:r>
            </m:e>
          </m:d>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r>
                    <w:rPr>
                      <w:rFonts w:ascii="Cambria Math" w:hAnsi="Cambria Math"/>
                    </w:rPr>
                    <m:t>f+</m:t>
                  </m:r>
                  <m:r>
                    <m:rPr>
                      <m:sty m:val="p"/>
                    </m:rPr>
                    <w:rPr>
                      <w:rFonts w:ascii="Cambria Math" w:hAnsi="Cambria Math"/>
                    </w:rPr>
                    <m:t>Δ</m:t>
                  </m:r>
                  <m:r>
                    <w:rPr>
                      <w:rFonts w:ascii="Cambria Math" w:hAnsi="Cambria Math"/>
                    </w:rPr>
                    <m:t>f</m:t>
                  </m:r>
                </m:e>
              </m:d>
              <m:d>
                <m:dPr>
                  <m:ctrlPr>
                    <w:rPr>
                      <w:rFonts w:ascii="Cambria Math" w:hAnsi="Cambria Math"/>
                      <w:i/>
                    </w:rPr>
                  </m:ctrlPr>
                </m:dPr>
                <m:e>
                  <m:r>
                    <w:rPr>
                      <w:rFonts w:ascii="Cambria Math" w:hAnsi="Cambria Math"/>
                    </w:rPr>
                    <m:t>t+</m:t>
                  </m:r>
                  <m:r>
                    <m:rPr>
                      <m:sty m:val="p"/>
                    </m:rPr>
                    <w:rPr>
                      <w:rFonts w:ascii="Cambria Math" w:hAnsi="Cambria Math"/>
                    </w:rPr>
                    <m:t>Δ</m:t>
                  </m:r>
                  <m:r>
                    <w:rPr>
                      <w:rFonts w:ascii="Cambria Math" w:hAnsi="Cambria Math"/>
                    </w:rPr>
                    <m:t>t</m:t>
                  </m:r>
                </m:e>
              </m:d>
              <m:r>
                <w:rPr>
                  <w:rFonts w:ascii="Cambria Math" w:hAnsi="Cambria Math"/>
                </w:rPr>
                <m:t>+jϕ</m:t>
              </m:r>
            </m:sup>
          </m:sSup>
          <m:r>
            <w:rPr>
              <w:rFonts w:ascii="Cambria Math" w:hAnsi="Cambria Math"/>
            </w:rPr>
            <m:t>=</m:t>
          </m:r>
          <m:d>
            <m:dPr>
              <m:begChr m:val="|"/>
              <m:endChr m:val="|"/>
              <m:ctrlPr>
                <w:rPr>
                  <w:rFonts w:ascii="Cambria Math" w:hAnsi="Cambria Math"/>
                  <w:i/>
                </w:rPr>
              </m:ctrlPr>
            </m:dPr>
            <m:e>
              <m:r>
                <w:rPr>
                  <w:rFonts w:ascii="Cambria Math" w:hAnsi="Cambria Math"/>
                </w:rPr>
                <m:t>h</m:t>
              </m:r>
            </m:e>
          </m:d>
          <m:sSup>
            <m:sSupPr>
              <m:ctrlPr>
                <w:rPr>
                  <w:rFonts w:ascii="Cambria Math" w:hAnsi="Cambria Math"/>
                  <w:i/>
                </w:rPr>
              </m:ctrlPr>
            </m:sSupPr>
            <m:e>
              <m:r>
                <w:rPr>
                  <w:rFonts w:ascii="Cambria Math" w:hAnsi="Cambria Math"/>
                </w:rPr>
                <m:t>e</m:t>
              </m:r>
            </m:e>
            <m:sup>
              <m:r>
                <w:rPr>
                  <w:rFonts w:ascii="Cambria Math" w:hAnsi="Cambria Math"/>
                </w:rPr>
                <m:t>j2π</m:t>
              </m:r>
              <m:d>
                <m:dPr>
                  <m:ctrlPr>
                    <w:rPr>
                      <w:rFonts w:ascii="Cambria Math" w:hAnsi="Cambria Math"/>
                      <w:i/>
                    </w:rPr>
                  </m:ctrlPr>
                </m:dPr>
                <m:e>
                  <m:r>
                    <w:rPr>
                      <w:rFonts w:ascii="Cambria Math" w:hAnsi="Cambria Math"/>
                    </w:rPr>
                    <m:t>f+</m:t>
                  </m:r>
                  <m:r>
                    <m:rPr>
                      <m:sty m:val="p"/>
                    </m:rPr>
                    <w:rPr>
                      <w:rFonts w:ascii="Cambria Math" w:hAnsi="Cambria Math"/>
                    </w:rPr>
                    <m:t>Δ</m:t>
                  </m:r>
                  <m:r>
                    <w:rPr>
                      <w:rFonts w:ascii="Cambria Math" w:hAnsi="Cambria Math"/>
                    </w:rPr>
                    <m:t>f</m:t>
                  </m:r>
                </m:e>
              </m:d>
              <m:r>
                <w:rPr>
                  <w:rFonts w:ascii="Cambria Math" w:hAnsi="Cambria Math"/>
                </w:rPr>
                <m:t>t+j(ϕ+</m:t>
              </m:r>
              <m:r>
                <m:rPr>
                  <m:sty m:val="p"/>
                </m:rPr>
                <w:rPr>
                  <w:rFonts w:ascii="Cambria Math" w:hAnsi="Cambria Math"/>
                </w:rPr>
                <m:t>Δ</m:t>
              </m:r>
              <m:r>
                <w:rPr>
                  <w:rFonts w:ascii="Cambria Math" w:hAnsi="Cambria Math"/>
                </w:rPr>
                <m:t>ϕ)</m:t>
              </m:r>
            </m:sup>
          </m:sSup>
        </m:oMath>
      </m:oMathPara>
    </w:p>
    <w:p w14:paraId="0D72CE76" w14:textId="020A85B7" w:rsidR="00C81828" w:rsidRDefault="00587948" w:rsidP="006E5B89">
      <w:r>
        <w:rPr>
          <w:rFonts w:hint="eastAsia"/>
        </w:rPr>
        <w:t>w</w:t>
      </w:r>
      <w:r>
        <w:t xml:space="preserve">here </w:t>
      </w:r>
      <m:oMath>
        <m:d>
          <m:dPr>
            <m:begChr m:val="|"/>
            <m:endChr m:val="|"/>
            <m:ctrlPr>
              <w:rPr>
                <w:rFonts w:ascii="Cambria Math" w:hAnsi="Cambria Math"/>
                <w:i/>
              </w:rPr>
            </m:ctrlPr>
          </m:dPr>
          <m:e>
            <m:r>
              <w:rPr>
                <w:rFonts w:ascii="Cambria Math" w:hAnsi="Cambria Math"/>
              </w:rPr>
              <m:t>h</m:t>
            </m:r>
          </m:e>
        </m:d>
      </m:oMath>
      <w:r>
        <w:rPr>
          <w:rFonts w:hint="eastAsia"/>
        </w:rPr>
        <w:t xml:space="preserve"> </w:t>
      </w:r>
      <w:r>
        <w:t xml:space="preserve">is a pathloss, </w:t>
      </w:r>
      <m:oMath>
        <m:r>
          <w:rPr>
            <w:rFonts w:ascii="Cambria Math" w:hAnsi="Cambria Math"/>
          </w:rPr>
          <m:t>t</m:t>
        </m:r>
      </m:oMath>
      <w:r>
        <w:rPr>
          <w:rFonts w:hint="eastAsia"/>
        </w:rPr>
        <w:t xml:space="preserve"> </w:t>
      </w:r>
      <w:r>
        <w:t xml:space="preserve">is a time, </w:t>
      </w:r>
      <m:oMath>
        <m:r>
          <w:rPr>
            <w:rFonts w:ascii="Cambria Math" w:hAnsi="Cambria Math"/>
          </w:rPr>
          <m:t>ϕ</m:t>
        </m:r>
      </m:oMath>
      <w:r w:rsidR="00E44931">
        <w:rPr>
          <w:rFonts w:hint="eastAsia"/>
        </w:rPr>
        <w:t xml:space="preserve"> </w:t>
      </w:r>
      <w:r w:rsidR="00E44931">
        <w:t xml:space="preserve">is an initial phase, </w:t>
      </w:r>
      <m:oMath>
        <m:r>
          <m:rPr>
            <m:sty m:val="p"/>
          </m:rPr>
          <w:rPr>
            <w:rFonts w:ascii="Cambria Math" w:hAnsi="Cambria Math"/>
          </w:rPr>
          <m:t>Δ</m:t>
        </m:r>
        <m:r>
          <w:rPr>
            <w:rFonts w:ascii="Cambria Math" w:hAnsi="Cambria Math"/>
          </w:rPr>
          <m:t>f</m:t>
        </m:r>
      </m:oMath>
      <w:r w:rsidR="00E44931">
        <w:rPr>
          <w:rFonts w:hint="eastAsia"/>
        </w:rPr>
        <w:t xml:space="preserve"> </w:t>
      </w:r>
      <w:r w:rsidR="00E44931">
        <w:t xml:space="preserve">is a frequency offset, </w:t>
      </w:r>
      <m:oMath>
        <m:r>
          <m:rPr>
            <m:sty m:val="p"/>
          </m:rPr>
          <w:rPr>
            <w:rFonts w:ascii="Cambria Math" w:hAnsi="Cambria Math"/>
          </w:rPr>
          <m:t>Δ</m:t>
        </m:r>
        <m:r>
          <w:rPr>
            <w:rFonts w:ascii="Cambria Math" w:hAnsi="Cambria Math"/>
          </w:rPr>
          <m:t>t</m:t>
        </m:r>
      </m:oMath>
      <w:r w:rsidR="00E44931">
        <w:rPr>
          <w:rFonts w:hint="eastAsia"/>
        </w:rPr>
        <w:t xml:space="preserve"> </w:t>
      </w:r>
      <w:r w:rsidR="00E44931">
        <w:t xml:space="preserve">is a time offset, </w:t>
      </w:r>
      <w:r>
        <w:t xml:space="preserve">and </w:t>
      </w:r>
      <m:oMath>
        <m:r>
          <m:rPr>
            <m:sty m:val="p"/>
          </m:rPr>
          <w:rPr>
            <w:rFonts w:ascii="Cambria Math" w:hAnsi="Cambria Math"/>
          </w:rPr>
          <m:t>Δ</m:t>
        </m:r>
        <m:r>
          <w:rPr>
            <w:rFonts w:ascii="Cambria Math" w:hAnsi="Cambria Math"/>
          </w:rPr>
          <m:t>ϕ=2π</m:t>
        </m:r>
        <m:d>
          <m:dPr>
            <m:ctrlPr>
              <w:rPr>
                <w:rFonts w:ascii="Cambria Math" w:hAnsi="Cambria Math"/>
                <w:i/>
              </w:rPr>
            </m:ctrlPr>
          </m:dPr>
          <m:e>
            <m:r>
              <w:rPr>
                <w:rFonts w:ascii="Cambria Math" w:hAnsi="Cambria Math"/>
              </w:rPr>
              <m:t>f+</m:t>
            </m:r>
            <m:r>
              <m:rPr>
                <m:sty m:val="p"/>
              </m:rPr>
              <w:rPr>
                <w:rFonts w:ascii="Cambria Math" w:hAnsi="Cambria Math"/>
              </w:rPr>
              <m:t>Δ</m:t>
            </m:r>
            <m:r>
              <w:rPr>
                <w:rFonts w:ascii="Cambria Math" w:hAnsi="Cambria Math"/>
              </w:rPr>
              <m:t>f</m:t>
            </m:r>
          </m:e>
        </m:d>
        <m:r>
          <m:rPr>
            <m:sty m:val="p"/>
          </m:rPr>
          <w:rPr>
            <w:rFonts w:ascii="Cambria Math" w:hAnsi="Cambria Math"/>
          </w:rPr>
          <m:t>Δ</m:t>
        </m:r>
        <m:r>
          <w:rPr>
            <w:rFonts w:ascii="Cambria Math" w:hAnsi="Cambria Math"/>
          </w:rPr>
          <m:t>t</m:t>
        </m:r>
      </m:oMath>
      <w:r>
        <w:rPr>
          <w:rFonts w:hint="eastAsia"/>
        </w:rPr>
        <w:t xml:space="preserve"> </w:t>
      </w:r>
      <w:r>
        <w:t xml:space="preserve">is a phase offset. </w:t>
      </w:r>
      <w:r w:rsidR="003F1BC0">
        <w:t xml:space="preserve">To align frequency </w:t>
      </w:r>
      <m:oMath>
        <m:r>
          <w:rPr>
            <w:rFonts w:ascii="Cambria Math" w:hAnsi="Cambria Math"/>
          </w:rPr>
          <m:t>f</m:t>
        </m:r>
      </m:oMath>
      <w:r w:rsidR="003F1BC0">
        <w:rPr>
          <w:rFonts w:hint="eastAsia"/>
        </w:rPr>
        <w:t xml:space="preserve"> </w:t>
      </w:r>
      <w:r w:rsidR="003F1BC0">
        <w:t xml:space="preserve">and time </w:t>
      </w:r>
      <m:oMath>
        <m:r>
          <w:rPr>
            <w:rFonts w:ascii="Cambria Math" w:hAnsi="Cambria Math"/>
          </w:rPr>
          <m:t>t</m:t>
        </m:r>
      </m:oMath>
      <w:r w:rsidR="003F1BC0">
        <w:rPr>
          <w:rFonts w:hint="eastAsia"/>
        </w:rPr>
        <w:t xml:space="preserve"> </w:t>
      </w:r>
      <w:r w:rsidR="003F1BC0">
        <w:t xml:space="preserve">among multiple-TRP, both frequency offset </w:t>
      </w:r>
      <m:oMath>
        <m:r>
          <m:rPr>
            <m:sty m:val="p"/>
          </m:rPr>
          <w:rPr>
            <w:rFonts w:ascii="Cambria Math" w:hAnsi="Cambria Math"/>
          </w:rPr>
          <m:t>Δ</m:t>
        </m:r>
        <m:r>
          <w:rPr>
            <w:rFonts w:ascii="Cambria Math" w:hAnsi="Cambria Math"/>
          </w:rPr>
          <m:t>f</m:t>
        </m:r>
      </m:oMath>
      <w:r w:rsidR="003F1BC0">
        <w:t xml:space="preserve"> and time</w:t>
      </w:r>
      <w:r w:rsidR="00E30F28">
        <w:t xml:space="preserve"> or phase</w:t>
      </w:r>
      <w:r w:rsidR="003F1BC0">
        <w:t xml:space="preserve"> offset </w:t>
      </w:r>
      <m:oMath>
        <m:r>
          <m:rPr>
            <m:sty m:val="p"/>
          </m:rPr>
          <w:rPr>
            <w:rFonts w:ascii="Cambria Math" w:hAnsi="Cambria Math"/>
          </w:rPr>
          <m:t>Δ</m:t>
        </m:r>
        <m:r>
          <w:rPr>
            <w:rFonts w:ascii="Cambria Math" w:hAnsi="Cambria Math"/>
          </w:rPr>
          <m:t xml:space="preserve">t, </m:t>
        </m:r>
        <m:r>
          <m:rPr>
            <m:sty m:val="p"/>
          </m:rPr>
          <w:rPr>
            <w:rFonts w:ascii="Cambria Math" w:hAnsi="Cambria Math"/>
          </w:rPr>
          <m:t>Δ</m:t>
        </m:r>
        <m:r>
          <w:rPr>
            <w:rFonts w:ascii="Cambria Math" w:hAnsi="Cambria Math"/>
          </w:rPr>
          <m:t>ϕ</m:t>
        </m:r>
      </m:oMath>
      <w:r w:rsidR="003F1BC0">
        <w:rPr>
          <w:rFonts w:hint="eastAsia"/>
        </w:rPr>
        <w:t xml:space="preserve"> </w:t>
      </w:r>
      <w:r w:rsidR="00E30F28">
        <w:t>can be</w:t>
      </w:r>
      <w:r w:rsidR="003F1BC0">
        <w:t xml:space="preserve"> estimated for each TRP.</w:t>
      </w:r>
    </w:p>
    <w:p w14:paraId="68B88050" w14:textId="6742A9B6" w:rsidR="00E30F28" w:rsidRDefault="00E30F28" w:rsidP="006E5B89">
      <w:r>
        <w:t xml:space="preserve">However, </w:t>
      </w:r>
      <m:oMath>
        <m:r>
          <m:rPr>
            <m:sty m:val="p"/>
          </m:rPr>
          <w:rPr>
            <w:rFonts w:ascii="Cambria Math" w:hAnsi="Cambria Math"/>
          </w:rPr>
          <m:t>Δ</m:t>
        </m:r>
        <m:r>
          <w:rPr>
            <w:rFonts w:ascii="Cambria Math" w:hAnsi="Cambria Math"/>
          </w:rPr>
          <m:t>f</m:t>
        </m:r>
      </m:oMath>
      <w:r>
        <w:rPr>
          <w:rFonts w:hint="eastAsia"/>
        </w:rPr>
        <w:t xml:space="preserve"> </w:t>
      </w:r>
      <w:r w:rsidR="00A51EF2">
        <w:t xml:space="preserve">can </w:t>
      </w:r>
      <w:r>
        <w:t xml:space="preserve">intend </w:t>
      </w:r>
      <w:r w:rsidR="00A51EF2">
        <w:t xml:space="preserve">both doppler shift and centre frequency offset. </w:t>
      </w:r>
      <w:r w:rsidR="00D75EB0">
        <w:t>In our view,</w:t>
      </w:r>
      <w:r w:rsidR="00A51EF2">
        <w:t xml:space="preserve"> the local oscillator problem</w:t>
      </w:r>
      <w:r w:rsidR="00D75EB0">
        <w:t xml:space="preserve"> is considered. Therefore</w:t>
      </w:r>
      <w:r w:rsidR="00A51EF2">
        <w:t xml:space="preserve">, </w:t>
      </w:r>
      <w:r w:rsidR="00D75EB0">
        <w:t xml:space="preserve">the UE should report only the centre frequency offset after compensating the doppler shift based on the large-scale </w:t>
      </w:r>
      <w:r w:rsidR="00467680">
        <w:t>chann</w:t>
      </w:r>
      <w:r w:rsidR="007118F4">
        <w:t>e</w:t>
      </w:r>
      <w:r w:rsidR="00467680">
        <w:t xml:space="preserve">l </w:t>
      </w:r>
      <w:r w:rsidR="00D75EB0">
        <w:t>property.</w:t>
      </w:r>
    </w:p>
    <w:p w14:paraId="693D0D8D" w14:textId="2FE8D17F" w:rsidR="003A1878" w:rsidRPr="00540612" w:rsidRDefault="003A1878" w:rsidP="006E5B89">
      <w:pPr>
        <w:rPr>
          <w:b/>
          <w:bCs/>
        </w:rPr>
      </w:pPr>
      <w:r w:rsidRPr="00540612">
        <w:rPr>
          <w:rFonts w:hint="eastAsia"/>
          <w:b/>
          <w:bCs/>
        </w:rPr>
        <w:t>P</w:t>
      </w:r>
      <w:r w:rsidRPr="00540612">
        <w:rPr>
          <w:b/>
          <w:bCs/>
        </w:rPr>
        <w:t>roposal 2: The UE should measure and report the centre frequency offset.</w:t>
      </w:r>
    </w:p>
    <w:p w14:paraId="11B9AF6F" w14:textId="2389CFE5" w:rsidR="003A1878" w:rsidRDefault="003A1878" w:rsidP="006E5B89">
      <w:r>
        <w:rPr>
          <w:rFonts w:hint="eastAsia"/>
        </w:rPr>
        <w:t>F</w:t>
      </w:r>
      <w:r>
        <w:t xml:space="preserve">urthermore, </w:t>
      </w:r>
      <m:oMath>
        <m:r>
          <m:rPr>
            <m:sty m:val="p"/>
          </m:rPr>
          <w:rPr>
            <w:rFonts w:ascii="Cambria Math" w:hAnsi="Cambria Math"/>
          </w:rPr>
          <m:t>Δ</m:t>
        </m:r>
        <m:r>
          <w:rPr>
            <w:rFonts w:ascii="Cambria Math" w:hAnsi="Cambria Math"/>
          </w:rPr>
          <m:t>t</m:t>
        </m:r>
      </m:oMath>
      <w:r>
        <w:rPr>
          <w:rFonts w:hint="eastAsia"/>
        </w:rPr>
        <w:t xml:space="preserve"> </w:t>
      </w:r>
      <w:r>
        <w:t>can intend both instantaneous delay and average delay</w:t>
      </w:r>
      <w:r w:rsidR="00D41F46">
        <w:t xml:space="preserve"> offset</w:t>
      </w:r>
      <w:r>
        <w:t>. I</w:t>
      </w:r>
      <w:r w:rsidR="00D41F46">
        <w:t xml:space="preserve">f the instantaneous value is reported, the CJT performance is potentially degraded due to a time misalignment on the next instance. Therefore, the UE should measure and report the average delay offset based on the large-scale </w:t>
      </w:r>
      <w:r w:rsidR="007118F4">
        <w:t xml:space="preserve">channel </w:t>
      </w:r>
      <w:r w:rsidR="00D41F46">
        <w:t>property.</w:t>
      </w:r>
    </w:p>
    <w:p w14:paraId="14978602" w14:textId="729FA748" w:rsidR="00D41F46" w:rsidRPr="00540612" w:rsidRDefault="00D41F46" w:rsidP="006E5B89">
      <w:pPr>
        <w:rPr>
          <w:b/>
          <w:bCs/>
        </w:rPr>
      </w:pPr>
      <w:r w:rsidRPr="00540612">
        <w:rPr>
          <w:rFonts w:hint="eastAsia"/>
          <w:b/>
          <w:bCs/>
        </w:rPr>
        <w:t>P</w:t>
      </w:r>
      <w:r w:rsidRPr="00540612">
        <w:rPr>
          <w:b/>
          <w:bCs/>
        </w:rPr>
        <w:t>roposal 3: The UE should measure and report the average delay offset.</w:t>
      </w:r>
    </w:p>
    <w:p w14:paraId="1AE15107" w14:textId="77777777" w:rsidR="00B8397D" w:rsidRDefault="00B8397D" w:rsidP="00B8397D">
      <w:pPr>
        <w:pStyle w:val="10"/>
        <w:numPr>
          <w:ilvl w:val="1"/>
          <w:numId w:val="1"/>
        </w:numPr>
        <w:spacing w:after="180"/>
      </w:pPr>
      <w:r>
        <w:t>128 CSI ports</w:t>
      </w:r>
    </w:p>
    <w:p w14:paraId="5146D356" w14:textId="06DDE28C" w:rsidR="00315F72" w:rsidRDefault="00315F72" w:rsidP="00B8397D">
      <w:r>
        <w:t>For up to 128 CSI ports</w:t>
      </w:r>
      <w:r w:rsidR="00D90DC5">
        <w:t xml:space="preserve">, </w:t>
      </w:r>
      <w:r>
        <w:t>improvement of spectrum efficiency is expected by increasing CSI ports. To realize this, resource mapping of CSI ports needs to be extended. In our view, there are two extensions of mapping as follows:</w:t>
      </w:r>
    </w:p>
    <w:p w14:paraId="0948C03F" w14:textId="4578A365" w:rsidR="00315F72" w:rsidRDefault="00315F72" w:rsidP="00315F72">
      <w:pPr>
        <w:pStyle w:val="aff5"/>
        <w:numPr>
          <w:ilvl w:val="0"/>
          <w:numId w:val="27"/>
        </w:numPr>
        <w:ind w:leftChars="0"/>
      </w:pPr>
      <w:r>
        <w:t>128 CSI ports are mapped to a CSI-RS resource</w:t>
      </w:r>
    </w:p>
    <w:p w14:paraId="2F97B744" w14:textId="58C3BEB5" w:rsidR="00315F72" w:rsidRDefault="00315F72" w:rsidP="00315F72">
      <w:pPr>
        <w:pStyle w:val="aff5"/>
        <w:numPr>
          <w:ilvl w:val="0"/>
          <w:numId w:val="27"/>
        </w:numPr>
        <w:ind w:leftChars="0"/>
      </w:pPr>
      <w:r>
        <w:t>128 CSI ports are mapped to 4 32-port CSI-RS resources</w:t>
      </w:r>
    </w:p>
    <w:p w14:paraId="78B0EC2E" w14:textId="7EF33C86" w:rsidR="008E6743" w:rsidRDefault="008E6743" w:rsidP="00315F72">
      <w:r>
        <w:rPr>
          <w:rFonts w:hint="eastAsia"/>
        </w:rPr>
        <w:t>I</w:t>
      </w:r>
      <w:r>
        <w:t>n the latter, 4 CSI-RS resources can be combined as one reception of 128 CSI ports. Furthermore</w:t>
      </w:r>
      <w:r w:rsidR="00315F72">
        <w:t>, the latter is helpful for hybrid beamforming</w:t>
      </w:r>
      <w:r w:rsidR="00467198">
        <w:t xml:space="preserve"> because 4 beams with 32 CSI ports can be reported.</w:t>
      </w:r>
    </w:p>
    <w:p w14:paraId="2ED45BE5" w14:textId="52C9C82E" w:rsidR="00467198" w:rsidRDefault="00467198" w:rsidP="00315F72">
      <w:r>
        <w:t xml:space="preserve">Although one design of CSI-RS reception can be considered for both spectrum efficiency enhancement and hybrid beamforming enhancement, CSI reports are different due to the number of CRI and ports of PMI. Therefore, </w:t>
      </w:r>
      <w:r w:rsidR="005F3F5B">
        <w:t xml:space="preserve">a </w:t>
      </w:r>
      <w:r w:rsidR="005F3F5B">
        <w:rPr>
          <w:rFonts w:hint="eastAsia"/>
        </w:rPr>
        <w:t>C</w:t>
      </w:r>
      <w:r w:rsidR="005F3F5B">
        <w:t>SI report setting should be determined based on whether full digital beamforming or hybrid beamforming is considered.</w:t>
      </w:r>
    </w:p>
    <w:p w14:paraId="2211655A" w14:textId="2E19A1DA" w:rsidR="008E6743" w:rsidRPr="007F2968" w:rsidRDefault="008E6743" w:rsidP="00315F72">
      <w:pPr>
        <w:rPr>
          <w:b/>
          <w:bCs/>
        </w:rPr>
      </w:pPr>
      <w:r w:rsidRPr="007F2968">
        <w:rPr>
          <w:rFonts w:hint="eastAsia"/>
          <w:b/>
          <w:bCs/>
        </w:rPr>
        <w:lastRenderedPageBreak/>
        <w:t>O</w:t>
      </w:r>
      <w:r w:rsidRPr="007F2968">
        <w:rPr>
          <w:b/>
          <w:bCs/>
        </w:rPr>
        <w:t>bservation 1: The same procedure of CSI-RS reception can be considered for both full digital beamforming and hybrid beamforming.</w:t>
      </w:r>
    </w:p>
    <w:p w14:paraId="39828190" w14:textId="44646801" w:rsidR="005F3F5B" w:rsidRPr="007F2968" w:rsidRDefault="005F3F5B" w:rsidP="00315F72">
      <w:pPr>
        <w:rPr>
          <w:b/>
          <w:bCs/>
        </w:rPr>
      </w:pPr>
      <w:r w:rsidRPr="007F2968">
        <w:rPr>
          <w:rFonts w:hint="eastAsia"/>
          <w:b/>
          <w:bCs/>
        </w:rPr>
        <w:t>P</w:t>
      </w:r>
      <w:r w:rsidRPr="007F2968">
        <w:rPr>
          <w:b/>
          <w:bCs/>
        </w:rPr>
        <w:t>roposal 4: A CSI report setting should be determined based on whether full digital beamforming or hybrid beamforming is considered.</w:t>
      </w:r>
    </w:p>
    <w:p w14:paraId="5C2AEB85" w14:textId="77777777" w:rsidR="00B8397D" w:rsidRDefault="00B8397D" w:rsidP="00B8397D"/>
    <w:p w14:paraId="11C6DA0B" w14:textId="77777777" w:rsidR="00561E05" w:rsidRDefault="00561E05" w:rsidP="00561E05">
      <w:pPr>
        <w:pStyle w:val="10"/>
        <w:spacing w:after="180"/>
        <w:rPr>
          <w:lang w:val="en-US"/>
        </w:rPr>
      </w:pPr>
      <w:r>
        <w:rPr>
          <w:lang w:val="en-US"/>
        </w:rPr>
        <w:t>Conclusion</w:t>
      </w:r>
    </w:p>
    <w:p w14:paraId="14A7901F" w14:textId="1415050A" w:rsidR="00561E05" w:rsidRDefault="00561E05" w:rsidP="00561E05">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11AF58CF" w14:textId="77777777" w:rsidR="007118F4" w:rsidRPr="00E30F28" w:rsidRDefault="007118F4" w:rsidP="007118F4">
      <w:pPr>
        <w:rPr>
          <w:b/>
          <w:bCs/>
        </w:rPr>
      </w:pPr>
      <w:r w:rsidRPr="00E30F28">
        <w:rPr>
          <w:rFonts w:hint="eastAsia"/>
          <w:b/>
          <w:bCs/>
        </w:rPr>
        <w:t>P</w:t>
      </w:r>
      <w:r w:rsidRPr="00E30F28">
        <w:rPr>
          <w:b/>
          <w:bCs/>
        </w:rPr>
        <w:t>roposal 1: New measurement/reporting quantities should be defined.</w:t>
      </w:r>
    </w:p>
    <w:p w14:paraId="772D60CF" w14:textId="77777777" w:rsidR="007118F4" w:rsidRPr="00540612" w:rsidRDefault="007118F4" w:rsidP="007118F4">
      <w:pPr>
        <w:rPr>
          <w:b/>
          <w:bCs/>
        </w:rPr>
      </w:pPr>
      <w:r w:rsidRPr="00540612">
        <w:rPr>
          <w:rFonts w:hint="eastAsia"/>
          <w:b/>
          <w:bCs/>
        </w:rPr>
        <w:t>P</w:t>
      </w:r>
      <w:r w:rsidRPr="00540612">
        <w:rPr>
          <w:b/>
          <w:bCs/>
        </w:rPr>
        <w:t>roposal 2: The UE should measure and report the centre frequency offset.</w:t>
      </w:r>
    </w:p>
    <w:p w14:paraId="330E0C8C" w14:textId="77777777" w:rsidR="007118F4" w:rsidRPr="00540612" w:rsidRDefault="007118F4" w:rsidP="007118F4">
      <w:pPr>
        <w:rPr>
          <w:b/>
          <w:bCs/>
        </w:rPr>
      </w:pPr>
      <w:r w:rsidRPr="00540612">
        <w:rPr>
          <w:rFonts w:hint="eastAsia"/>
          <w:b/>
          <w:bCs/>
        </w:rPr>
        <w:t>P</w:t>
      </w:r>
      <w:r w:rsidRPr="00540612">
        <w:rPr>
          <w:b/>
          <w:bCs/>
        </w:rPr>
        <w:t>roposal 3: The UE should measure and report the average delay offset.</w:t>
      </w:r>
    </w:p>
    <w:p w14:paraId="62A87FD0" w14:textId="77777777" w:rsidR="007118F4" w:rsidRPr="007F2968" w:rsidRDefault="007118F4" w:rsidP="007118F4">
      <w:pPr>
        <w:rPr>
          <w:b/>
          <w:bCs/>
        </w:rPr>
      </w:pPr>
      <w:r w:rsidRPr="007F2968">
        <w:rPr>
          <w:rFonts w:hint="eastAsia"/>
          <w:b/>
          <w:bCs/>
        </w:rPr>
        <w:t>P</w:t>
      </w:r>
      <w:r w:rsidRPr="007F2968">
        <w:rPr>
          <w:b/>
          <w:bCs/>
        </w:rPr>
        <w:t>roposal 4: A CSI report setting should be determined based on whether full digital beamforming or hybrid beamforming is considered.</w:t>
      </w:r>
    </w:p>
    <w:p w14:paraId="23D7BBB3" w14:textId="77777777" w:rsidR="007118F4" w:rsidRPr="007F2968" w:rsidRDefault="007118F4" w:rsidP="007118F4">
      <w:pPr>
        <w:rPr>
          <w:b/>
          <w:bCs/>
        </w:rPr>
      </w:pPr>
      <w:r w:rsidRPr="007F2968">
        <w:rPr>
          <w:rFonts w:hint="eastAsia"/>
          <w:b/>
          <w:bCs/>
        </w:rPr>
        <w:t>O</w:t>
      </w:r>
      <w:r w:rsidRPr="007F2968">
        <w:rPr>
          <w:b/>
          <w:bCs/>
        </w:rPr>
        <w:t>bservation 1: The same procedure of CSI-RS reception can be considered for both full digital beamforming and hybrid beamforming.</w:t>
      </w:r>
    </w:p>
    <w:p w14:paraId="759A47AC" w14:textId="77777777" w:rsidR="00B8397D" w:rsidRPr="00561E05" w:rsidRDefault="00B8397D" w:rsidP="00B8397D">
      <w:pPr>
        <w:rPr>
          <w:lang w:val="en-US"/>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CAE14" w14:textId="77777777" w:rsidR="00966A35" w:rsidRDefault="00966A35">
      <w:r>
        <w:separator/>
      </w:r>
    </w:p>
  </w:endnote>
  <w:endnote w:type="continuationSeparator" w:id="0">
    <w:p w14:paraId="248872BD" w14:textId="77777777" w:rsidR="00966A35" w:rsidRDefault="00966A35">
      <w:r>
        <w:continuationSeparator/>
      </w:r>
    </w:p>
  </w:endnote>
  <w:endnote w:type="continuationNotice" w:id="1">
    <w:p w14:paraId="0AC6ADC4" w14:textId="77777777" w:rsidR="00966A35" w:rsidRDefault="00966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4F53D" w14:textId="77777777" w:rsidR="00966A35" w:rsidRDefault="00966A35">
      <w:r>
        <w:separator/>
      </w:r>
    </w:p>
  </w:footnote>
  <w:footnote w:type="continuationSeparator" w:id="0">
    <w:p w14:paraId="2AECA138" w14:textId="77777777" w:rsidR="00966A35" w:rsidRDefault="00966A35">
      <w:r>
        <w:continuationSeparator/>
      </w:r>
    </w:p>
  </w:footnote>
  <w:footnote w:type="continuationNotice" w:id="1">
    <w:p w14:paraId="1B3FD2EF" w14:textId="77777777" w:rsidR="00966A35" w:rsidRDefault="00966A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B090D8A"/>
    <w:multiLevelType w:val="hybridMultilevel"/>
    <w:tmpl w:val="5C269004"/>
    <w:lvl w:ilvl="0" w:tplc="92F075B0">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9C2C00"/>
    <w:multiLevelType w:val="hybridMultilevel"/>
    <w:tmpl w:val="96F82898"/>
    <w:lvl w:ilvl="0" w:tplc="97DA075C">
      <w:start w:val="3"/>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73E5E2B"/>
    <w:multiLevelType w:val="hybridMultilevel"/>
    <w:tmpl w:val="649C48EE"/>
    <w:lvl w:ilvl="0" w:tplc="A634AB5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8"/>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1"/>
  </w:num>
  <w:num w:numId="8">
    <w:abstractNumId w:val="2"/>
  </w:num>
  <w:num w:numId="9">
    <w:abstractNumId w:val="24"/>
  </w:num>
  <w:num w:numId="10">
    <w:abstractNumId w:val="10"/>
  </w:num>
  <w:num w:numId="11">
    <w:abstractNumId w:val="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7"/>
  </w:num>
  <w:num w:numId="15">
    <w:abstractNumId w:val="1"/>
  </w:num>
  <w:num w:numId="16">
    <w:abstractNumId w:val="5"/>
  </w:num>
  <w:num w:numId="17">
    <w:abstractNumId w:val="23"/>
  </w:num>
  <w:num w:numId="18">
    <w:abstractNumId w:val="17"/>
  </w:num>
  <w:num w:numId="19">
    <w:abstractNumId w:val="15"/>
  </w:num>
  <w:num w:numId="20">
    <w:abstractNumId w:val="16"/>
  </w:num>
  <w:num w:numId="21">
    <w:abstractNumId w:val="6"/>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
  </w:num>
  <w:num w:numId="25">
    <w:abstractNumId w:val="21"/>
  </w:num>
  <w:num w:numId="26">
    <w:abstractNumId w:val="12"/>
  </w:num>
  <w:num w:numId="2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2CC"/>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57D"/>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1F9"/>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40D"/>
    <w:rsid w:val="000B55F9"/>
    <w:rsid w:val="000B5909"/>
    <w:rsid w:val="000B5933"/>
    <w:rsid w:val="000B6181"/>
    <w:rsid w:val="000B6189"/>
    <w:rsid w:val="000B6CB2"/>
    <w:rsid w:val="000B6E61"/>
    <w:rsid w:val="000B6E92"/>
    <w:rsid w:val="000B6EC7"/>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A58"/>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7AE"/>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42"/>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39E"/>
    <w:rsid w:val="001C0492"/>
    <w:rsid w:val="001C0588"/>
    <w:rsid w:val="001C0677"/>
    <w:rsid w:val="001C0838"/>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DC0"/>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BE9"/>
    <w:rsid w:val="00211DC9"/>
    <w:rsid w:val="00212B35"/>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1BF2"/>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D7"/>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242"/>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72"/>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562"/>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878"/>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403"/>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092"/>
    <w:rsid w:val="003F1549"/>
    <w:rsid w:val="003F1586"/>
    <w:rsid w:val="003F163F"/>
    <w:rsid w:val="003F1BC0"/>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0E2"/>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381"/>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98"/>
    <w:rsid w:val="004671C6"/>
    <w:rsid w:val="00467518"/>
    <w:rsid w:val="00467680"/>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6FB3"/>
    <w:rsid w:val="0047715F"/>
    <w:rsid w:val="00477246"/>
    <w:rsid w:val="0047775F"/>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57D"/>
    <w:rsid w:val="00485937"/>
    <w:rsid w:val="00485A4F"/>
    <w:rsid w:val="00485B0C"/>
    <w:rsid w:val="00485C81"/>
    <w:rsid w:val="00485E86"/>
    <w:rsid w:val="00485EE4"/>
    <w:rsid w:val="00485EE8"/>
    <w:rsid w:val="00486014"/>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5F5D"/>
    <w:rsid w:val="00506031"/>
    <w:rsid w:val="0050623F"/>
    <w:rsid w:val="00506601"/>
    <w:rsid w:val="00506B76"/>
    <w:rsid w:val="00506F34"/>
    <w:rsid w:val="0050741B"/>
    <w:rsid w:val="0050748D"/>
    <w:rsid w:val="00507498"/>
    <w:rsid w:val="005074EF"/>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5FE8"/>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612"/>
    <w:rsid w:val="005407D7"/>
    <w:rsid w:val="00540B9A"/>
    <w:rsid w:val="00540E99"/>
    <w:rsid w:val="00540FA1"/>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B6C"/>
    <w:rsid w:val="00561E05"/>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948"/>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5D3"/>
    <w:rsid w:val="00596A86"/>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5CC"/>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3F5B"/>
    <w:rsid w:val="005F4006"/>
    <w:rsid w:val="005F42DA"/>
    <w:rsid w:val="005F44B2"/>
    <w:rsid w:val="005F484A"/>
    <w:rsid w:val="005F48FC"/>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644"/>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36C"/>
    <w:rsid w:val="00671420"/>
    <w:rsid w:val="00671546"/>
    <w:rsid w:val="0067178F"/>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4DC"/>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8DB"/>
    <w:rsid w:val="006D5CAA"/>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89"/>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F62"/>
    <w:rsid w:val="006F12EF"/>
    <w:rsid w:val="006F12FB"/>
    <w:rsid w:val="006F137E"/>
    <w:rsid w:val="006F1762"/>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8F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43F"/>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968"/>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8F2"/>
    <w:rsid w:val="008239F2"/>
    <w:rsid w:val="00823B32"/>
    <w:rsid w:val="00823CE8"/>
    <w:rsid w:val="00823D10"/>
    <w:rsid w:val="00823DB7"/>
    <w:rsid w:val="0082420D"/>
    <w:rsid w:val="00824215"/>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743"/>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2C56"/>
    <w:rsid w:val="008F362C"/>
    <w:rsid w:val="008F375C"/>
    <w:rsid w:val="008F376B"/>
    <w:rsid w:val="008F3C63"/>
    <w:rsid w:val="008F3CA1"/>
    <w:rsid w:val="008F3F8B"/>
    <w:rsid w:val="008F40C8"/>
    <w:rsid w:val="008F43E3"/>
    <w:rsid w:val="008F4B04"/>
    <w:rsid w:val="008F51BB"/>
    <w:rsid w:val="008F5516"/>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69"/>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7C7"/>
    <w:rsid w:val="00944907"/>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1BBA"/>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A35"/>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11"/>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EF2"/>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914"/>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9F2"/>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0B3"/>
    <w:rsid w:val="00B1111D"/>
    <w:rsid w:val="00B11146"/>
    <w:rsid w:val="00B1121C"/>
    <w:rsid w:val="00B11698"/>
    <w:rsid w:val="00B117B6"/>
    <w:rsid w:val="00B11822"/>
    <w:rsid w:val="00B122B5"/>
    <w:rsid w:val="00B12543"/>
    <w:rsid w:val="00B125CE"/>
    <w:rsid w:val="00B12DE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564"/>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97D"/>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DF2"/>
    <w:rsid w:val="00BA3F4F"/>
    <w:rsid w:val="00BA3FEA"/>
    <w:rsid w:val="00BA44BC"/>
    <w:rsid w:val="00BA4558"/>
    <w:rsid w:val="00BA4941"/>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80"/>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A37"/>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7B0"/>
    <w:rsid w:val="00C039D3"/>
    <w:rsid w:val="00C03C2D"/>
    <w:rsid w:val="00C040F3"/>
    <w:rsid w:val="00C041DD"/>
    <w:rsid w:val="00C0430C"/>
    <w:rsid w:val="00C0482E"/>
    <w:rsid w:val="00C0495C"/>
    <w:rsid w:val="00C04DF2"/>
    <w:rsid w:val="00C05674"/>
    <w:rsid w:val="00C061AD"/>
    <w:rsid w:val="00C063C6"/>
    <w:rsid w:val="00C065FB"/>
    <w:rsid w:val="00C0666A"/>
    <w:rsid w:val="00C06712"/>
    <w:rsid w:val="00C0675E"/>
    <w:rsid w:val="00C067C5"/>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4DB"/>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6FE9"/>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828"/>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AFE"/>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46"/>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76F"/>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5EB0"/>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DC5"/>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DB0"/>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AD9"/>
    <w:rsid w:val="00E30C3B"/>
    <w:rsid w:val="00E30F28"/>
    <w:rsid w:val="00E310E0"/>
    <w:rsid w:val="00E3112D"/>
    <w:rsid w:val="00E31396"/>
    <w:rsid w:val="00E31701"/>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4931"/>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4E6"/>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67E"/>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413"/>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240"/>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7DA"/>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7709926">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3</Pages>
  <Words>863</Words>
  <Characters>4923</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34</cp:revision>
  <cp:lastPrinted>2019-03-18T06:48:00Z</cp:lastPrinted>
  <dcterms:created xsi:type="dcterms:W3CDTF">2024-02-12T06:18:00Z</dcterms:created>
  <dcterms:modified xsi:type="dcterms:W3CDTF">2024-02-19T02:19:00Z</dcterms:modified>
</cp:coreProperties>
</file>