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F8D919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1348FE">
        <w:rPr>
          <w:bCs/>
          <w:noProof w:val="0"/>
          <w:sz w:val="24"/>
          <w:szCs w:val="24"/>
        </w:rPr>
        <w:tab/>
      </w:r>
      <w:r w:rsidR="00CE0ABF" w:rsidRPr="00CE0ABF">
        <w:rPr>
          <w:bCs/>
          <w:noProof w:val="0"/>
          <w:sz w:val="24"/>
          <w:szCs w:val="24"/>
        </w:rPr>
        <w:t>R1-2400970</w:t>
      </w:r>
    </w:p>
    <w:p w14:paraId="30E02940" w14:textId="68145E3D" w:rsidR="00CA26CE" w:rsidRDefault="00735F63" w:rsidP="00CA26CE">
      <w:pPr>
        <w:pStyle w:val="Header"/>
        <w:rPr>
          <w:bCs/>
          <w:noProof w:val="0"/>
          <w:sz w:val="24"/>
          <w:szCs w:val="24"/>
        </w:rPr>
      </w:pPr>
      <w:r>
        <w:rPr>
          <w:bCs/>
          <w:noProof w:val="0"/>
          <w:sz w:val="24"/>
          <w:szCs w:val="24"/>
        </w:rPr>
        <w:t>Athens, Greece, February 26 – March 1, 2024</w:t>
      </w:r>
    </w:p>
    <w:bookmarkEnd w:id="0"/>
    <w:p w14:paraId="2CFE1919" w14:textId="77777777" w:rsidR="00850D96" w:rsidRPr="00850D96" w:rsidRDefault="00850D96" w:rsidP="00CA26CE">
      <w:pPr>
        <w:pStyle w:val="Header"/>
        <w:rPr>
          <w:bCs/>
          <w:noProof w:val="0"/>
          <w:sz w:val="24"/>
          <w:lang w:val="en-GB" w:eastAsia="ja-JP"/>
        </w:rPr>
      </w:pPr>
    </w:p>
    <w:p w14:paraId="30E02941" w14:textId="74D3591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33CCA">
        <w:rPr>
          <w:rFonts w:cs="Arial"/>
          <w:b/>
          <w:bCs/>
          <w:sz w:val="24"/>
        </w:rPr>
        <w:t>8.10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5BB1A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33CCA">
        <w:rPr>
          <w:rFonts w:ascii="Arial" w:hAnsi="Arial" w:cs="Arial"/>
          <w:b/>
          <w:bCs/>
          <w:sz w:val="24"/>
        </w:rPr>
        <w:t>Open aspects related to Rel-18 maintenance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ACC0992" w14:textId="68E79021" w:rsidR="00C74393" w:rsidRDefault="008D166F" w:rsidP="00056BDE">
      <w:r>
        <w:t xml:space="preserve">At least RAN1 meeting (RAN1#115), there were some discussions on maintenance for </w:t>
      </w:r>
      <w:r w:rsidR="00E94222">
        <w:t xml:space="preserve">Rel-18 NR over NTN enhancements. In the feature lead summary for </w:t>
      </w:r>
      <w:r w:rsidR="00C74393">
        <w:t xml:space="preserve">coverage enhancements </w:t>
      </w:r>
      <w:r w:rsidR="00C74393">
        <w:fldChar w:fldCharType="begin"/>
      </w:r>
      <w:r w:rsidR="00C74393">
        <w:instrText xml:space="preserve"> REF _Ref158752205 \r \h </w:instrText>
      </w:r>
      <w:r w:rsidR="00C74393">
        <w:fldChar w:fldCharType="separate"/>
      </w:r>
      <w:r w:rsidR="00C74393">
        <w:t>[1]</w:t>
      </w:r>
      <w:r w:rsidR="00C74393">
        <w:fldChar w:fldCharType="end"/>
      </w:r>
      <w:r w:rsidR="00C74393">
        <w:t xml:space="preserve">, there was one topic that was left for further consideration for this meeting. The topic was </w:t>
      </w:r>
      <w:r w:rsidR="00594119">
        <w:t>for “</w:t>
      </w:r>
      <w:r w:rsidR="00594119" w:rsidRPr="00594119">
        <w:t>Discussion on a special case – if the DCI is scrambled by C-RNTI for contention resolution in CONNECTED state</w:t>
      </w:r>
      <w:r w:rsidR="001D16C7">
        <w:t>”. This topic will be discussed in the following.</w:t>
      </w:r>
    </w:p>
    <w:p w14:paraId="71230483" w14:textId="72F9C930" w:rsidR="00305297" w:rsidRDefault="007820D0" w:rsidP="00A23DCA">
      <w:pPr>
        <w:pStyle w:val="Heading1"/>
      </w:pPr>
      <w:bookmarkStart w:id="1" w:name="_Hlk510705081"/>
      <w:r>
        <w:t>Discussion</w:t>
      </w:r>
    </w:p>
    <w:p w14:paraId="317D63BF" w14:textId="6F38C1E6" w:rsidR="00C54A0E" w:rsidRDefault="00C54A0E" w:rsidP="00C54A0E">
      <w:r>
        <w:rPr>
          <w:noProof/>
        </w:rPr>
        <mc:AlternateContent>
          <mc:Choice Requires="wps">
            <w:drawing>
              <wp:anchor distT="0" distB="0" distL="114300" distR="114300" simplePos="0" relativeHeight="251658240" behindDoc="0" locked="0" layoutInCell="1" allowOverlap="1" wp14:anchorId="37971826" wp14:editId="1380C964">
                <wp:simplePos x="0" y="0"/>
                <wp:positionH relativeFrom="column">
                  <wp:posOffset>221615</wp:posOffset>
                </wp:positionH>
                <wp:positionV relativeFrom="paragraph">
                  <wp:posOffset>260985</wp:posOffset>
                </wp:positionV>
                <wp:extent cx="5946775" cy="652780"/>
                <wp:effectExtent l="0" t="0" r="15875" b="2667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652780"/>
                        </a:xfrm>
                        <a:prstGeom prst="rect">
                          <a:avLst/>
                        </a:prstGeom>
                        <a:solidFill>
                          <a:srgbClr val="FFFFFF"/>
                        </a:solidFill>
                        <a:ln w="9525">
                          <a:solidFill>
                            <a:srgbClr val="000000"/>
                          </a:solidFill>
                          <a:miter lim="800000"/>
                          <a:headEnd/>
                          <a:tailEnd/>
                        </a:ln>
                      </wps:spPr>
                      <wps:txbx>
                        <w:txbxContent>
                          <w:p w14:paraId="0950105F" w14:textId="3A483F67" w:rsidR="00BD6509" w:rsidRDefault="00BD6509" w:rsidP="00C54A0E">
                            <w:pPr>
                              <w:numPr>
                                <w:ilvl w:val="3"/>
                                <w:numId w:val="0"/>
                              </w:numPr>
                              <w:spacing w:beforeLines="50" w:before="120" w:after="120"/>
                              <w:jc w:val="both"/>
                            </w:pPr>
                            <w:r>
                              <w:t>However, in other</w:t>
                            </w:r>
                            <w:r>
                              <w:rPr>
                                <w:rFonts w:hint="eastAsia"/>
                              </w:rPr>
                              <w:t xml:space="preserve"> </w:t>
                            </w:r>
                            <w:r>
                              <w:t xml:space="preserve">scenarios, e.g., </w:t>
                            </w:r>
                            <w:r>
                              <w:rPr>
                                <w:rFonts w:hint="eastAsia"/>
                              </w:rPr>
                              <w:t>handover</w:t>
                            </w:r>
                            <w:r>
                              <w:t xml:space="preserve">, if the UE is not configured with a dedicated preamble when accessing the target cell, a </w:t>
                            </w:r>
                            <w:r>
                              <w:rPr>
                                <w:rFonts w:hint="eastAsia"/>
                              </w:rPr>
                              <w:t xml:space="preserve">handover based on </w:t>
                            </w:r>
                            <w:r>
                              <w:t>contention-based</w:t>
                            </w:r>
                            <w:r>
                              <w:rPr>
                                <w:rFonts w:hint="eastAsia"/>
                              </w:rPr>
                              <w:t xml:space="preserve"> RACH</w:t>
                            </w:r>
                            <w:r>
                              <w:t xml:space="preserve"> will be triggered. In this procedure, the C-RNTI MAC CE will be carried in the Msg3 information</w:t>
                            </w:r>
                            <w:r>
                              <w:rPr>
                                <w:rFonts w:hint="eastAsia"/>
                              </w:rPr>
                              <w:t xml:space="preserve"> since the UE has already unique </w:t>
                            </w:r>
                            <w:r>
                              <w:t>identity (</w:t>
                            </w:r>
                            <w:r>
                              <w:rPr>
                                <w:rFonts w:hint="eastAsia"/>
                              </w:rPr>
                              <w:t>e.g., C-RNTI)</w:t>
                            </w:r>
                            <w:r>
                              <w:t xml:space="preserve"> and it will also be used to scramble </w:t>
                            </w:r>
                            <w:r>
                              <w:rPr>
                                <w:rFonts w:hint="eastAsia"/>
                              </w:rPr>
                              <w:t>DCI for contention resolution</w:t>
                            </w:r>
                            <w:r>
                              <w:t>. Then, the DAI field used for dynamic repetition indication is not available yet. In this case, refarming of other fields seems necessary, e.g., MCS field</w:t>
                            </w:r>
                            <w:r>
                              <w:rPr>
                                <w:rFonts w:hint="eastAsia"/>
                              </w:rPr>
                              <w: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37971826" id="_x0000_t202" coordsize="21600,21600" o:spt="202" path="m,l,21600r21600,l21600,xe">
                <v:stroke joinstyle="miter"/>
                <v:path gradientshapeok="t" o:connecttype="rect"/>
              </v:shapetype>
              <v:shape id="Text Box 217" o:spid="_x0000_s1026" type="#_x0000_t202" style="position:absolute;margin-left:17.45pt;margin-top:20.55pt;width:468.25pt;height:51.4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">
                <v:textbox style="mso-fit-shape-to-text:t">
                  <w:txbxContent>
                    <w:p w14:paraId="0950105F" w14:textId="3A483F67" w:rsidR="00BD6509" w:rsidRDefault="00BD6509" w:rsidP="00C54A0E">
                      <w:pPr>
                        <w:numPr>
                          <w:ilvl w:val="3"/>
                          <w:numId w:val="0"/>
                        </w:numPr>
                        <w:spacing w:beforeLines="50" w:before="120" w:after="120"/>
                        <w:jc w:val="both"/>
                      </w:pPr>
                      <w:r>
                        <w:t>However, in other</w:t>
                      </w:r>
                      <w:r>
                        <w:rPr>
                          <w:rFonts w:hint="eastAsia"/>
                        </w:rPr>
                        <w:t xml:space="preserve"> </w:t>
                      </w:r>
                      <w:r>
                        <w:t xml:space="preserve">scenarios, e.g., </w:t>
                      </w:r>
                      <w:r>
                        <w:rPr>
                          <w:rFonts w:hint="eastAsia"/>
                        </w:rPr>
                        <w:t>handover</w:t>
                      </w:r>
                      <w:r>
                        <w:t xml:space="preserve">, if the UE is not configured with a dedicated preamble when accessing the target cell, a </w:t>
                      </w:r>
                      <w:r>
                        <w:rPr>
                          <w:rFonts w:hint="eastAsia"/>
                        </w:rPr>
                        <w:t xml:space="preserve">handover based on </w:t>
                      </w:r>
                      <w:r>
                        <w:t>contention-based</w:t>
                      </w:r>
                      <w:r>
                        <w:rPr>
                          <w:rFonts w:hint="eastAsia"/>
                        </w:rPr>
                        <w:t xml:space="preserve"> RACH</w:t>
                      </w:r>
                      <w:r>
                        <w:t xml:space="preserve"> will be triggered. In this procedure, the C-RNTI MAC CE will be carried in the Msg3 information</w:t>
                      </w:r>
                      <w:r>
                        <w:rPr>
                          <w:rFonts w:hint="eastAsia"/>
                        </w:rPr>
                        <w:t xml:space="preserve"> since the UE has already unique </w:t>
                      </w:r>
                      <w:r>
                        <w:t>identity (</w:t>
                      </w:r>
                      <w:r>
                        <w:rPr>
                          <w:rFonts w:hint="eastAsia"/>
                        </w:rPr>
                        <w:t>e.g., C-RNTI)</w:t>
                      </w:r>
                      <w:r>
                        <w:t xml:space="preserve"> and it will also be used to scramble </w:t>
                      </w:r>
                      <w:r>
                        <w:rPr>
                          <w:rFonts w:hint="eastAsia"/>
                        </w:rPr>
                        <w:t>DCI for contention resolution</w:t>
                      </w:r>
                      <w:r>
                        <w:t>. Then, the DAI field used for dynamic repetition indication is not available yet. In this case, refarming of other fields seems necessary, e.g., MCS field</w:t>
                      </w:r>
                      <w:r>
                        <w:rPr>
                          <w:rFonts w:hint="eastAsia"/>
                        </w:rPr>
                        <w:t>.</w:t>
                      </w:r>
                    </w:p>
                  </w:txbxContent>
                </v:textbox>
                <w10:wrap type="topAndBottom"/>
              </v:shape>
            </w:pict>
          </mc:Fallback>
        </mc:AlternateContent>
      </w:r>
      <w:r>
        <w:t xml:space="preserve">In a contribution for RAN1#115, ZTE outlined the scenario as follows </w:t>
      </w:r>
      <w:r>
        <w:fldChar w:fldCharType="begin"/>
      </w:r>
      <w:r>
        <w:instrText xml:space="preserve"> REF _Ref158752409 \r \h </w:instrText>
      </w:r>
      <w:r>
        <w:fldChar w:fldCharType="separate"/>
      </w:r>
      <w:r>
        <w:t>[2]</w:t>
      </w:r>
      <w:r>
        <w:fldChar w:fldCharType="end"/>
      </w:r>
      <w:r>
        <w:t>:</w:t>
      </w:r>
    </w:p>
    <w:p w14:paraId="52B1F1AA" w14:textId="26A05064" w:rsidR="001D16C7" w:rsidRDefault="001D16C7" w:rsidP="001F201D"/>
    <w:p w14:paraId="381F8DF1" w14:textId="0DBF2BB4" w:rsidR="00596FD4" w:rsidRDefault="00596FD4" w:rsidP="001F201D">
      <w:r>
        <w:t xml:space="preserve">As we see the situation, this is having some resemblance to the cases we outlined in our contribution </w:t>
      </w:r>
      <w:r w:rsidR="007578B7">
        <w:fldChar w:fldCharType="begin"/>
      </w:r>
      <w:r w:rsidR="007578B7">
        <w:instrText xml:space="preserve"> REF _Ref158796605 \n \h </w:instrText>
      </w:r>
      <w:r w:rsidR="007578B7">
        <w:fldChar w:fldCharType="separate"/>
      </w:r>
      <w:r w:rsidR="007578B7">
        <w:t>[3]</w:t>
      </w:r>
      <w:r w:rsidR="007578B7">
        <w:fldChar w:fldCharType="end"/>
      </w:r>
      <w:r>
        <w:t xml:space="preserve"> for RAN1#115, where we found that there could be cases where a UE is having uncertainty as </w:t>
      </w:r>
      <w:r w:rsidR="00E322C7">
        <w:t xml:space="preserve">to (a) which configuration is available at any given time (e.g. </w:t>
      </w:r>
      <w:r w:rsidR="00462496">
        <w:t xml:space="preserve">during a </w:t>
      </w:r>
      <w:r w:rsidR="00E322C7">
        <w:t>SI modification</w:t>
      </w:r>
      <w:r w:rsidR="00462496">
        <w:t xml:space="preserve"> window), or (b)</w:t>
      </w:r>
      <w:r w:rsidR="009A19F0">
        <w:t xml:space="preserve"> during the handover process (as outlined above).</w:t>
      </w:r>
    </w:p>
    <w:p w14:paraId="37C05DBD" w14:textId="4B9041E4" w:rsidR="009A19F0" w:rsidRDefault="009A19F0" w:rsidP="001F201D">
      <w:r>
        <w:t xml:space="preserve">Since </w:t>
      </w:r>
      <w:r w:rsidR="00647833">
        <w:t>RAN</w:t>
      </w:r>
      <w:r w:rsidR="00C77023">
        <w:t>1 could not reach any agreements on the first matter at RAN1#115, it was concluded that this issue should not be pursued for Rel-18. However, as pointed out in the feature lead summary</w:t>
      </w:r>
      <w:r w:rsidR="005942FB">
        <w:t>, there may still be an issue to be considered for the handover scenario.</w:t>
      </w:r>
    </w:p>
    <w:p w14:paraId="4A65037F" w14:textId="705F0BB0" w:rsidR="005942FB" w:rsidRDefault="005942FB" w:rsidP="001F201D">
      <w:r>
        <w:t xml:space="preserve">In short, the situation for the </w:t>
      </w:r>
      <w:r w:rsidR="008A79D7">
        <w:t xml:space="preserve">handover scenario </w:t>
      </w:r>
      <w:r w:rsidR="006A0F16">
        <w:t xml:space="preserve">outlined above </w:t>
      </w:r>
      <w:r w:rsidR="00C0290B">
        <w:t xml:space="preserve">will happen whenever a UE is performing a handover from one cell to another without a dedicated </w:t>
      </w:r>
      <w:r w:rsidR="006A0F16">
        <w:t>preamble</w:t>
      </w:r>
      <w:r w:rsidR="007F1F60">
        <w:t xml:space="preserve"> (and without a dedicated PUCCH resource configured)</w:t>
      </w:r>
      <w:r w:rsidR="006A0F16">
        <w:t xml:space="preserve">. For this, case, the UE will have </w:t>
      </w:r>
      <w:r w:rsidR="006E1796">
        <w:t>to access the target cell through the normal contention based random access procedure</w:t>
      </w:r>
      <w:r w:rsidR="00A50A46">
        <w:t xml:space="preserve"> and will already have its C-RNTI available as part of the contention resolution</w:t>
      </w:r>
      <w:r w:rsidR="00693593">
        <w:t xml:space="preserve"> procedure.</w:t>
      </w:r>
    </w:p>
    <w:p w14:paraId="2A31580E" w14:textId="7E68D8B4" w:rsidR="00693593" w:rsidRDefault="00AE6E58" w:rsidP="001F201D">
      <w:r>
        <w:t xml:space="preserve">However, we believe that there may be more situations where </w:t>
      </w:r>
      <w:r w:rsidR="00F53115">
        <w:t>a</w:t>
      </w:r>
      <w:r w:rsidR="00E3041D">
        <w:t xml:space="preserve"> UE </w:t>
      </w:r>
      <w:r w:rsidR="00841B49">
        <w:t xml:space="preserve">and network is not aware of the exact configuration of the </w:t>
      </w:r>
      <w:r w:rsidR="00B41E99">
        <w:t>PUCCH repetition configuration. According to our understanding, these are:</w:t>
      </w:r>
    </w:p>
    <w:p w14:paraId="38687A62" w14:textId="43829F0A" w:rsidR="00B41E99" w:rsidRDefault="00B41E99" w:rsidP="00B41E99">
      <w:pPr>
        <w:pStyle w:val="ListParagraph"/>
        <w:numPr>
          <w:ilvl w:val="0"/>
          <w:numId w:val="31"/>
        </w:numPr>
        <w:rPr>
          <w:sz w:val="20"/>
          <w:szCs w:val="20"/>
        </w:rPr>
      </w:pPr>
      <w:r w:rsidRPr="00A36189">
        <w:rPr>
          <w:sz w:val="20"/>
          <w:szCs w:val="20"/>
        </w:rPr>
        <w:t>A UE</w:t>
      </w:r>
      <w:r w:rsidR="00A36189" w:rsidRPr="00A36189">
        <w:rPr>
          <w:sz w:val="20"/>
          <w:szCs w:val="20"/>
        </w:rPr>
        <w:t xml:space="preserve"> </w:t>
      </w:r>
      <w:proofErr w:type="spellStart"/>
      <w:r w:rsidR="00A36189" w:rsidRPr="00A36189">
        <w:rPr>
          <w:sz w:val="20"/>
          <w:szCs w:val="20"/>
        </w:rPr>
        <w:t>attempting</w:t>
      </w:r>
      <w:proofErr w:type="spellEnd"/>
      <w:r w:rsidR="00A36189" w:rsidRPr="00A36189">
        <w:rPr>
          <w:sz w:val="20"/>
          <w:szCs w:val="20"/>
        </w:rPr>
        <w:t xml:space="preserve"> to </w:t>
      </w:r>
      <w:proofErr w:type="spellStart"/>
      <w:r w:rsidR="00A36189" w:rsidRPr="00A36189">
        <w:rPr>
          <w:sz w:val="20"/>
          <w:szCs w:val="20"/>
        </w:rPr>
        <w:t>return</w:t>
      </w:r>
      <w:proofErr w:type="spellEnd"/>
      <w:r w:rsidR="00A36189" w:rsidRPr="00A36189">
        <w:rPr>
          <w:sz w:val="20"/>
          <w:szCs w:val="20"/>
        </w:rPr>
        <w:t xml:space="preserve"> </w:t>
      </w:r>
      <w:proofErr w:type="spellStart"/>
      <w:r w:rsidR="00A36189" w:rsidRPr="00A36189">
        <w:rPr>
          <w:sz w:val="20"/>
          <w:szCs w:val="20"/>
        </w:rPr>
        <w:t>from</w:t>
      </w:r>
      <w:proofErr w:type="spellEnd"/>
      <w:r w:rsidR="00A36189" w:rsidRPr="00A36189">
        <w:rPr>
          <w:sz w:val="20"/>
          <w:szCs w:val="20"/>
        </w:rPr>
        <w:t xml:space="preserve"> RRC_INACTIVE to RRC_CONNECTED </w:t>
      </w:r>
      <w:proofErr w:type="spellStart"/>
      <w:r w:rsidR="00A36189" w:rsidRPr="00A36189">
        <w:rPr>
          <w:sz w:val="20"/>
          <w:szCs w:val="20"/>
        </w:rPr>
        <w:t>mode</w:t>
      </w:r>
      <w:proofErr w:type="spellEnd"/>
      <w:r w:rsidR="007F42B1">
        <w:rPr>
          <w:sz w:val="20"/>
          <w:szCs w:val="20"/>
        </w:rPr>
        <w:t xml:space="preserve"> (</w:t>
      </w:r>
      <w:proofErr w:type="spellStart"/>
      <w:r w:rsidR="007F42B1">
        <w:rPr>
          <w:sz w:val="20"/>
          <w:szCs w:val="20"/>
        </w:rPr>
        <w:t>without</w:t>
      </w:r>
      <w:proofErr w:type="spellEnd"/>
      <w:r w:rsidR="007F42B1">
        <w:rPr>
          <w:sz w:val="20"/>
          <w:szCs w:val="20"/>
        </w:rPr>
        <w:t xml:space="preserve"> </w:t>
      </w:r>
      <w:proofErr w:type="spellStart"/>
      <w:r w:rsidR="007F42B1">
        <w:rPr>
          <w:sz w:val="20"/>
          <w:szCs w:val="20"/>
        </w:rPr>
        <w:t>having</w:t>
      </w:r>
      <w:proofErr w:type="spellEnd"/>
      <w:r w:rsidR="007F42B1">
        <w:rPr>
          <w:sz w:val="20"/>
          <w:szCs w:val="20"/>
        </w:rPr>
        <w:t xml:space="preserve"> </w:t>
      </w:r>
      <w:proofErr w:type="spellStart"/>
      <w:r w:rsidR="007F42B1">
        <w:rPr>
          <w:sz w:val="20"/>
          <w:szCs w:val="20"/>
        </w:rPr>
        <w:t>been</w:t>
      </w:r>
      <w:proofErr w:type="spellEnd"/>
      <w:r w:rsidR="007F42B1">
        <w:rPr>
          <w:sz w:val="20"/>
          <w:szCs w:val="20"/>
        </w:rPr>
        <w:t xml:space="preserve"> </w:t>
      </w:r>
      <w:proofErr w:type="spellStart"/>
      <w:r w:rsidR="007F42B1">
        <w:rPr>
          <w:sz w:val="20"/>
          <w:szCs w:val="20"/>
        </w:rPr>
        <w:t>configured</w:t>
      </w:r>
      <w:proofErr w:type="spellEnd"/>
      <w:r w:rsidR="007F42B1">
        <w:rPr>
          <w:sz w:val="20"/>
          <w:szCs w:val="20"/>
        </w:rPr>
        <w:t xml:space="preserve"> </w:t>
      </w:r>
      <w:proofErr w:type="spellStart"/>
      <w:r w:rsidR="007F42B1">
        <w:rPr>
          <w:sz w:val="20"/>
          <w:szCs w:val="20"/>
        </w:rPr>
        <w:t>with</w:t>
      </w:r>
      <w:proofErr w:type="spellEnd"/>
      <w:r w:rsidR="007F42B1">
        <w:rPr>
          <w:sz w:val="20"/>
          <w:szCs w:val="20"/>
        </w:rPr>
        <w:t xml:space="preserve"> a </w:t>
      </w:r>
      <w:proofErr w:type="spellStart"/>
      <w:r w:rsidR="007F42B1">
        <w:rPr>
          <w:sz w:val="20"/>
          <w:szCs w:val="20"/>
        </w:rPr>
        <w:t>dedicated</w:t>
      </w:r>
      <w:proofErr w:type="spellEnd"/>
      <w:r w:rsidR="007F42B1">
        <w:rPr>
          <w:sz w:val="20"/>
          <w:szCs w:val="20"/>
        </w:rPr>
        <w:t xml:space="preserve"> PUCCH </w:t>
      </w:r>
      <w:proofErr w:type="spellStart"/>
      <w:r w:rsidR="007F42B1">
        <w:rPr>
          <w:sz w:val="20"/>
          <w:szCs w:val="20"/>
        </w:rPr>
        <w:t>resource</w:t>
      </w:r>
      <w:proofErr w:type="spellEnd"/>
      <w:r w:rsidR="007F42B1">
        <w:rPr>
          <w:sz w:val="20"/>
          <w:szCs w:val="20"/>
        </w:rPr>
        <w:t xml:space="preserve"> </w:t>
      </w:r>
      <w:proofErr w:type="spellStart"/>
      <w:r w:rsidR="007F42B1">
        <w:rPr>
          <w:sz w:val="20"/>
          <w:szCs w:val="20"/>
        </w:rPr>
        <w:t>configuration</w:t>
      </w:r>
      <w:proofErr w:type="spellEnd"/>
      <w:r w:rsidR="007F42B1">
        <w:rPr>
          <w:sz w:val="20"/>
          <w:szCs w:val="20"/>
        </w:rPr>
        <w:t xml:space="preserve"> </w:t>
      </w:r>
      <w:proofErr w:type="spellStart"/>
      <w:r w:rsidR="007F42B1">
        <w:rPr>
          <w:sz w:val="20"/>
          <w:szCs w:val="20"/>
        </w:rPr>
        <w:t>before</w:t>
      </w:r>
      <w:proofErr w:type="spellEnd"/>
      <w:r w:rsidR="007F42B1">
        <w:rPr>
          <w:sz w:val="20"/>
          <w:szCs w:val="20"/>
        </w:rPr>
        <w:t>)</w:t>
      </w:r>
      <w:r w:rsidR="00A36189" w:rsidRPr="00A36189">
        <w:rPr>
          <w:sz w:val="20"/>
          <w:szCs w:val="20"/>
        </w:rPr>
        <w:t xml:space="preserve">. </w:t>
      </w:r>
      <w:r w:rsidR="00A36189">
        <w:rPr>
          <w:sz w:val="20"/>
          <w:szCs w:val="20"/>
        </w:rPr>
        <w:t xml:space="preserve">Here, </w:t>
      </w:r>
      <w:proofErr w:type="spellStart"/>
      <w:r w:rsidR="00A36189">
        <w:rPr>
          <w:sz w:val="20"/>
          <w:szCs w:val="20"/>
        </w:rPr>
        <w:t>the</w:t>
      </w:r>
      <w:proofErr w:type="spellEnd"/>
      <w:r w:rsidR="00A36189">
        <w:rPr>
          <w:sz w:val="20"/>
          <w:szCs w:val="20"/>
        </w:rPr>
        <w:t xml:space="preserve"> </w:t>
      </w:r>
      <w:proofErr w:type="spellStart"/>
      <w:r w:rsidR="00A36189">
        <w:rPr>
          <w:sz w:val="20"/>
          <w:szCs w:val="20"/>
        </w:rPr>
        <w:t>network</w:t>
      </w:r>
      <w:proofErr w:type="spellEnd"/>
      <w:r w:rsidR="00A36189">
        <w:rPr>
          <w:sz w:val="20"/>
          <w:szCs w:val="20"/>
        </w:rPr>
        <w:t xml:space="preserve"> </w:t>
      </w:r>
      <w:proofErr w:type="spellStart"/>
      <w:r w:rsidR="00A36189">
        <w:rPr>
          <w:sz w:val="20"/>
          <w:szCs w:val="20"/>
        </w:rPr>
        <w:t>may</w:t>
      </w:r>
      <w:proofErr w:type="spellEnd"/>
      <w:r w:rsidR="00A36189">
        <w:rPr>
          <w:sz w:val="20"/>
          <w:szCs w:val="20"/>
        </w:rPr>
        <w:t xml:space="preserve"> </w:t>
      </w:r>
      <w:proofErr w:type="spellStart"/>
      <w:r w:rsidR="00A36189">
        <w:rPr>
          <w:sz w:val="20"/>
          <w:szCs w:val="20"/>
        </w:rPr>
        <w:t>have</w:t>
      </w:r>
      <w:proofErr w:type="spellEnd"/>
      <w:r w:rsidR="00A36189">
        <w:rPr>
          <w:sz w:val="20"/>
          <w:szCs w:val="20"/>
        </w:rPr>
        <w:t xml:space="preserve"> </w:t>
      </w:r>
      <w:proofErr w:type="spellStart"/>
      <w:r w:rsidR="00A36189">
        <w:rPr>
          <w:sz w:val="20"/>
          <w:szCs w:val="20"/>
        </w:rPr>
        <w:t>changed</w:t>
      </w:r>
      <w:proofErr w:type="spellEnd"/>
      <w:r w:rsidR="00A36189">
        <w:rPr>
          <w:sz w:val="20"/>
          <w:szCs w:val="20"/>
        </w:rPr>
        <w:t xml:space="preserve"> </w:t>
      </w:r>
      <w:proofErr w:type="spellStart"/>
      <w:r w:rsidR="007F42B1">
        <w:rPr>
          <w:sz w:val="20"/>
          <w:szCs w:val="20"/>
        </w:rPr>
        <w:t>the</w:t>
      </w:r>
      <w:proofErr w:type="spellEnd"/>
      <w:r w:rsidR="007F42B1">
        <w:rPr>
          <w:sz w:val="20"/>
          <w:szCs w:val="20"/>
        </w:rPr>
        <w:t xml:space="preserve"> PUCCH </w:t>
      </w:r>
      <w:proofErr w:type="spellStart"/>
      <w:r w:rsidR="007F42B1">
        <w:rPr>
          <w:sz w:val="20"/>
          <w:szCs w:val="20"/>
        </w:rPr>
        <w:t>repetition</w:t>
      </w:r>
      <w:proofErr w:type="spellEnd"/>
      <w:r w:rsidR="007F42B1">
        <w:rPr>
          <w:sz w:val="20"/>
          <w:szCs w:val="20"/>
        </w:rPr>
        <w:t xml:space="preserve"> </w:t>
      </w:r>
      <w:proofErr w:type="spellStart"/>
      <w:r w:rsidR="007F42B1">
        <w:rPr>
          <w:sz w:val="20"/>
          <w:szCs w:val="20"/>
        </w:rPr>
        <w:t>configuration</w:t>
      </w:r>
      <w:proofErr w:type="spellEnd"/>
      <w:r w:rsidR="007F42B1">
        <w:rPr>
          <w:sz w:val="20"/>
          <w:szCs w:val="20"/>
        </w:rPr>
        <w:t xml:space="preserve"> (</w:t>
      </w:r>
      <w:proofErr w:type="spellStart"/>
      <w:r w:rsidR="008E05B1">
        <w:rPr>
          <w:sz w:val="20"/>
          <w:szCs w:val="20"/>
        </w:rPr>
        <w:t>basically</w:t>
      </w:r>
      <w:proofErr w:type="spellEnd"/>
      <w:r w:rsidR="008E05B1">
        <w:rPr>
          <w:sz w:val="20"/>
          <w:szCs w:val="20"/>
        </w:rPr>
        <w:t xml:space="preserve">, </w:t>
      </w:r>
      <w:proofErr w:type="spellStart"/>
      <w:r w:rsidR="008E05B1">
        <w:rPr>
          <w:sz w:val="20"/>
          <w:szCs w:val="20"/>
        </w:rPr>
        <w:t>changing</w:t>
      </w:r>
      <w:proofErr w:type="spellEnd"/>
      <w:r w:rsidR="008E05B1">
        <w:rPr>
          <w:sz w:val="20"/>
          <w:szCs w:val="20"/>
        </w:rPr>
        <w:t xml:space="preserve"> </w:t>
      </w:r>
      <w:proofErr w:type="spellStart"/>
      <w:r w:rsidR="000C2B3D">
        <w:rPr>
          <w:sz w:val="20"/>
          <w:szCs w:val="20"/>
        </w:rPr>
        <w:t>which</w:t>
      </w:r>
      <w:proofErr w:type="spellEnd"/>
      <w:r w:rsidR="000C2B3D">
        <w:rPr>
          <w:sz w:val="20"/>
          <w:szCs w:val="20"/>
        </w:rPr>
        <w:t xml:space="preserve"> </w:t>
      </w:r>
      <w:proofErr w:type="spellStart"/>
      <w:r w:rsidR="000C2B3D">
        <w:rPr>
          <w:sz w:val="20"/>
          <w:szCs w:val="20"/>
        </w:rPr>
        <w:t>repetition</w:t>
      </w:r>
      <w:proofErr w:type="spellEnd"/>
      <w:r w:rsidR="000C2B3D">
        <w:rPr>
          <w:sz w:val="20"/>
          <w:szCs w:val="20"/>
        </w:rPr>
        <w:t xml:space="preserve"> </w:t>
      </w:r>
      <w:proofErr w:type="spellStart"/>
      <w:r w:rsidR="000C2B3D">
        <w:rPr>
          <w:sz w:val="20"/>
          <w:szCs w:val="20"/>
        </w:rPr>
        <w:t>numbers</w:t>
      </w:r>
      <w:proofErr w:type="spellEnd"/>
      <w:r w:rsidR="000C2B3D">
        <w:rPr>
          <w:sz w:val="20"/>
          <w:szCs w:val="20"/>
        </w:rPr>
        <w:t xml:space="preserve"> </w:t>
      </w:r>
      <w:proofErr w:type="spellStart"/>
      <w:r w:rsidR="000C2B3D">
        <w:rPr>
          <w:sz w:val="20"/>
          <w:szCs w:val="20"/>
        </w:rPr>
        <w:t>are</w:t>
      </w:r>
      <w:proofErr w:type="spellEnd"/>
      <w:r w:rsidR="000C2B3D">
        <w:rPr>
          <w:sz w:val="20"/>
          <w:szCs w:val="20"/>
        </w:rPr>
        <w:t xml:space="preserve"> </w:t>
      </w:r>
      <w:proofErr w:type="spellStart"/>
      <w:r w:rsidR="000C2B3D">
        <w:rPr>
          <w:sz w:val="20"/>
          <w:szCs w:val="20"/>
        </w:rPr>
        <w:t>available</w:t>
      </w:r>
      <w:proofErr w:type="spellEnd"/>
      <w:r w:rsidR="000C2B3D">
        <w:rPr>
          <w:sz w:val="20"/>
          <w:szCs w:val="20"/>
        </w:rPr>
        <w:t xml:space="preserve">), and </w:t>
      </w:r>
      <w:proofErr w:type="spellStart"/>
      <w:r w:rsidR="008E05B1">
        <w:rPr>
          <w:sz w:val="20"/>
          <w:szCs w:val="20"/>
        </w:rPr>
        <w:t>the</w:t>
      </w:r>
      <w:proofErr w:type="spellEnd"/>
      <w:r w:rsidR="008E05B1">
        <w:rPr>
          <w:sz w:val="20"/>
          <w:szCs w:val="20"/>
        </w:rPr>
        <w:t xml:space="preserve"> </w:t>
      </w:r>
      <w:r w:rsidR="000C2B3D">
        <w:rPr>
          <w:sz w:val="20"/>
          <w:szCs w:val="20"/>
        </w:rPr>
        <w:t xml:space="preserve">UE </w:t>
      </w:r>
      <w:proofErr w:type="spellStart"/>
      <w:r w:rsidR="000C2B3D">
        <w:rPr>
          <w:sz w:val="20"/>
          <w:szCs w:val="20"/>
        </w:rPr>
        <w:t>may</w:t>
      </w:r>
      <w:proofErr w:type="spellEnd"/>
      <w:r w:rsidR="000C2B3D">
        <w:rPr>
          <w:sz w:val="20"/>
          <w:szCs w:val="20"/>
        </w:rPr>
        <w:t xml:space="preserve"> </w:t>
      </w:r>
      <w:proofErr w:type="spellStart"/>
      <w:r w:rsidR="000C2B3D">
        <w:rPr>
          <w:sz w:val="20"/>
          <w:szCs w:val="20"/>
        </w:rPr>
        <w:t>be</w:t>
      </w:r>
      <w:proofErr w:type="spellEnd"/>
      <w:r w:rsidR="000C2B3D">
        <w:rPr>
          <w:sz w:val="20"/>
          <w:szCs w:val="20"/>
        </w:rPr>
        <w:t xml:space="preserve"> </w:t>
      </w:r>
      <w:proofErr w:type="spellStart"/>
      <w:r w:rsidR="000C2B3D">
        <w:rPr>
          <w:sz w:val="20"/>
          <w:szCs w:val="20"/>
        </w:rPr>
        <w:t>uncertain</w:t>
      </w:r>
      <w:proofErr w:type="spellEnd"/>
      <w:r w:rsidR="000C2B3D">
        <w:rPr>
          <w:sz w:val="20"/>
          <w:szCs w:val="20"/>
        </w:rPr>
        <w:t xml:space="preserve"> </w:t>
      </w:r>
      <w:r w:rsidR="008E05B1">
        <w:rPr>
          <w:sz w:val="20"/>
          <w:szCs w:val="20"/>
        </w:rPr>
        <w:t xml:space="preserve">of </w:t>
      </w:r>
      <w:proofErr w:type="spellStart"/>
      <w:r w:rsidR="000C2B3D">
        <w:rPr>
          <w:sz w:val="20"/>
          <w:szCs w:val="20"/>
        </w:rPr>
        <w:t>which</w:t>
      </w:r>
      <w:proofErr w:type="spellEnd"/>
      <w:r w:rsidR="000C2B3D">
        <w:rPr>
          <w:sz w:val="20"/>
          <w:szCs w:val="20"/>
        </w:rPr>
        <w:t xml:space="preserve"> </w:t>
      </w:r>
      <w:proofErr w:type="spellStart"/>
      <w:r w:rsidR="000C2B3D">
        <w:rPr>
          <w:sz w:val="20"/>
          <w:szCs w:val="20"/>
        </w:rPr>
        <w:t>value</w:t>
      </w:r>
      <w:proofErr w:type="spellEnd"/>
      <w:r w:rsidR="000C2B3D">
        <w:rPr>
          <w:sz w:val="20"/>
          <w:szCs w:val="20"/>
        </w:rPr>
        <w:t xml:space="preserve"> to </w:t>
      </w:r>
      <w:proofErr w:type="spellStart"/>
      <w:r w:rsidR="000C2B3D">
        <w:rPr>
          <w:sz w:val="20"/>
          <w:szCs w:val="20"/>
        </w:rPr>
        <w:t>use</w:t>
      </w:r>
      <w:proofErr w:type="spellEnd"/>
      <w:r w:rsidR="000C2B3D">
        <w:rPr>
          <w:sz w:val="20"/>
          <w:szCs w:val="20"/>
        </w:rPr>
        <w:t xml:space="preserve"> (</w:t>
      </w:r>
      <w:proofErr w:type="spellStart"/>
      <w:r w:rsidR="000C2B3D">
        <w:rPr>
          <w:sz w:val="20"/>
          <w:szCs w:val="20"/>
        </w:rPr>
        <w:t>the</w:t>
      </w:r>
      <w:proofErr w:type="spellEnd"/>
      <w:r w:rsidR="000C2B3D">
        <w:rPr>
          <w:sz w:val="20"/>
          <w:szCs w:val="20"/>
        </w:rPr>
        <w:t xml:space="preserve"> </w:t>
      </w:r>
      <w:proofErr w:type="spellStart"/>
      <w:r w:rsidR="000C2B3D">
        <w:rPr>
          <w:sz w:val="20"/>
          <w:szCs w:val="20"/>
        </w:rPr>
        <w:t>one</w:t>
      </w:r>
      <w:proofErr w:type="spellEnd"/>
      <w:r w:rsidR="000C2B3D">
        <w:rPr>
          <w:sz w:val="20"/>
          <w:szCs w:val="20"/>
        </w:rPr>
        <w:t xml:space="preserve"> </w:t>
      </w:r>
      <w:proofErr w:type="spellStart"/>
      <w:r w:rsidR="000C2B3D">
        <w:rPr>
          <w:sz w:val="20"/>
          <w:szCs w:val="20"/>
        </w:rPr>
        <w:t>that</w:t>
      </w:r>
      <w:proofErr w:type="spellEnd"/>
      <w:r w:rsidR="000C2B3D">
        <w:rPr>
          <w:sz w:val="20"/>
          <w:szCs w:val="20"/>
        </w:rPr>
        <w:t xml:space="preserve"> was </w:t>
      </w:r>
      <w:proofErr w:type="spellStart"/>
      <w:r w:rsidR="000C2B3D">
        <w:rPr>
          <w:sz w:val="20"/>
          <w:szCs w:val="20"/>
        </w:rPr>
        <w:t>active</w:t>
      </w:r>
      <w:proofErr w:type="spellEnd"/>
      <w:r w:rsidR="000C2B3D">
        <w:rPr>
          <w:sz w:val="20"/>
          <w:szCs w:val="20"/>
        </w:rPr>
        <w:t xml:space="preserve"> </w:t>
      </w:r>
      <w:proofErr w:type="spellStart"/>
      <w:r w:rsidR="000C2B3D">
        <w:rPr>
          <w:sz w:val="20"/>
          <w:szCs w:val="20"/>
        </w:rPr>
        <w:t>when</w:t>
      </w:r>
      <w:proofErr w:type="spellEnd"/>
      <w:r w:rsidR="000C2B3D">
        <w:rPr>
          <w:sz w:val="20"/>
          <w:szCs w:val="20"/>
        </w:rPr>
        <w:t xml:space="preserve"> </w:t>
      </w:r>
      <w:proofErr w:type="spellStart"/>
      <w:r w:rsidR="000C2B3D">
        <w:rPr>
          <w:sz w:val="20"/>
          <w:szCs w:val="20"/>
        </w:rPr>
        <w:t>entering</w:t>
      </w:r>
      <w:proofErr w:type="spellEnd"/>
      <w:r w:rsidR="000C2B3D">
        <w:rPr>
          <w:sz w:val="20"/>
          <w:szCs w:val="20"/>
        </w:rPr>
        <w:t xml:space="preserve"> RRC_INACTIVE </w:t>
      </w:r>
      <w:proofErr w:type="spellStart"/>
      <w:r w:rsidR="000C2B3D">
        <w:rPr>
          <w:sz w:val="20"/>
          <w:szCs w:val="20"/>
        </w:rPr>
        <w:t>or</w:t>
      </w:r>
      <w:proofErr w:type="spellEnd"/>
      <w:r w:rsidR="000C2B3D">
        <w:rPr>
          <w:sz w:val="20"/>
          <w:szCs w:val="20"/>
        </w:rPr>
        <w:t xml:space="preserve"> </w:t>
      </w:r>
      <w:proofErr w:type="spellStart"/>
      <w:r w:rsidR="000C2B3D">
        <w:rPr>
          <w:sz w:val="20"/>
          <w:szCs w:val="20"/>
        </w:rPr>
        <w:t>the</w:t>
      </w:r>
      <w:proofErr w:type="spellEnd"/>
      <w:r w:rsidR="000C2B3D">
        <w:rPr>
          <w:sz w:val="20"/>
          <w:szCs w:val="20"/>
        </w:rPr>
        <w:t xml:space="preserve"> </w:t>
      </w:r>
      <w:proofErr w:type="spellStart"/>
      <w:r w:rsidR="000C2B3D">
        <w:rPr>
          <w:sz w:val="20"/>
          <w:szCs w:val="20"/>
        </w:rPr>
        <w:t>one</w:t>
      </w:r>
      <w:proofErr w:type="spellEnd"/>
      <w:r w:rsidR="000C2B3D">
        <w:rPr>
          <w:sz w:val="20"/>
          <w:szCs w:val="20"/>
        </w:rPr>
        <w:t xml:space="preserve"> </w:t>
      </w:r>
      <w:proofErr w:type="spellStart"/>
      <w:r w:rsidR="000C2B3D">
        <w:rPr>
          <w:sz w:val="20"/>
          <w:szCs w:val="20"/>
        </w:rPr>
        <w:t>when</w:t>
      </w:r>
      <w:proofErr w:type="spellEnd"/>
      <w:r w:rsidR="000C2B3D">
        <w:rPr>
          <w:sz w:val="20"/>
          <w:szCs w:val="20"/>
        </w:rPr>
        <w:t xml:space="preserve"> </w:t>
      </w:r>
      <w:proofErr w:type="spellStart"/>
      <w:r w:rsidR="0050309C">
        <w:rPr>
          <w:sz w:val="20"/>
          <w:szCs w:val="20"/>
        </w:rPr>
        <w:t>attempting</w:t>
      </w:r>
      <w:proofErr w:type="spellEnd"/>
      <w:r w:rsidR="0050309C">
        <w:rPr>
          <w:sz w:val="20"/>
          <w:szCs w:val="20"/>
        </w:rPr>
        <w:t xml:space="preserve"> </w:t>
      </w:r>
      <w:proofErr w:type="spellStart"/>
      <w:r w:rsidR="0050309C">
        <w:rPr>
          <w:sz w:val="20"/>
          <w:szCs w:val="20"/>
        </w:rPr>
        <w:t>the</w:t>
      </w:r>
      <w:proofErr w:type="spellEnd"/>
      <w:r w:rsidR="0050309C">
        <w:rPr>
          <w:sz w:val="20"/>
          <w:szCs w:val="20"/>
        </w:rPr>
        <w:t xml:space="preserve"> </w:t>
      </w:r>
      <w:proofErr w:type="spellStart"/>
      <w:r w:rsidR="0050309C">
        <w:rPr>
          <w:sz w:val="20"/>
          <w:szCs w:val="20"/>
        </w:rPr>
        <w:t>random</w:t>
      </w:r>
      <w:proofErr w:type="spellEnd"/>
      <w:r w:rsidR="0050309C">
        <w:rPr>
          <w:sz w:val="20"/>
          <w:szCs w:val="20"/>
        </w:rPr>
        <w:t xml:space="preserve"> </w:t>
      </w:r>
      <w:proofErr w:type="spellStart"/>
      <w:r w:rsidR="0050309C">
        <w:rPr>
          <w:sz w:val="20"/>
          <w:szCs w:val="20"/>
        </w:rPr>
        <w:t>access</w:t>
      </w:r>
      <w:proofErr w:type="spellEnd"/>
      <w:r w:rsidR="0050309C">
        <w:rPr>
          <w:sz w:val="20"/>
          <w:szCs w:val="20"/>
        </w:rPr>
        <w:t xml:space="preserve"> </w:t>
      </w:r>
      <w:proofErr w:type="spellStart"/>
      <w:r w:rsidR="0050309C">
        <w:rPr>
          <w:sz w:val="20"/>
          <w:szCs w:val="20"/>
        </w:rPr>
        <w:t>procedure</w:t>
      </w:r>
      <w:proofErr w:type="spellEnd"/>
      <w:r w:rsidR="0095521A">
        <w:rPr>
          <w:sz w:val="20"/>
          <w:szCs w:val="20"/>
        </w:rPr>
        <w:t>)</w:t>
      </w:r>
      <w:r w:rsidR="0050309C">
        <w:rPr>
          <w:sz w:val="20"/>
          <w:szCs w:val="20"/>
        </w:rPr>
        <w:t>.</w:t>
      </w:r>
    </w:p>
    <w:p w14:paraId="134A7EBF" w14:textId="47A5502C" w:rsidR="0050309C" w:rsidRDefault="0050309C" w:rsidP="00B41E99">
      <w:pPr>
        <w:pStyle w:val="ListParagraph"/>
        <w:numPr>
          <w:ilvl w:val="0"/>
          <w:numId w:val="31"/>
        </w:numPr>
        <w:rPr>
          <w:sz w:val="20"/>
          <w:szCs w:val="20"/>
        </w:rPr>
      </w:pPr>
      <w:r>
        <w:rPr>
          <w:sz w:val="20"/>
          <w:szCs w:val="20"/>
        </w:rPr>
        <w:t xml:space="preserve">A UE </w:t>
      </w:r>
      <w:proofErr w:type="spellStart"/>
      <w:r w:rsidR="00986A64">
        <w:rPr>
          <w:sz w:val="20"/>
          <w:szCs w:val="20"/>
        </w:rPr>
        <w:t>having</w:t>
      </w:r>
      <w:proofErr w:type="spellEnd"/>
      <w:r w:rsidR="00986A64">
        <w:rPr>
          <w:sz w:val="20"/>
          <w:szCs w:val="20"/>
        </w:rPr>
        <w:t xml:space="preserve"> </w:t>
      </w:r>
      <w:proofErr w:type="spellStart"/>
      <w:r w:rsidR="00986A64">
        <w:rPr>
          <w:sz w:val="20"/>
          <w:szCs w:val="20"/>
        </w:rPr>
        <w:t>lost</w:t>
      </w:r>
      <w:proofErr w:type="spellEnd"/>
      <w:r w:rsidR="00986A64">
        <w:rPr>
          <w:sz w:val="20"/>
          <w:szCs w:val="20"/>
        </w:rPr>
        <w:t xml:space="preserve"> </w:t>
      </w:r>
      <w:proofErr w:type="spellStart"/>
      <w:r w:rsidR="00986A64">
        <w:rPr>
          <w:sz w:val="20"/>
          <w:szCs w:val="20"/>
        </w:rPr>
        <w:t>its</w:t>
      </w:r>
      <w:proofErr w:type="spellEnd"/>
      <w:r w:rsidR="00986A64">
        <w:rPr>
          <w:sz w:val="20"/>
          <w:szCs w:val="20"/>
        </w:rPr>
        <w:t xml:space="preserve"> UL </w:t>
      </w:r>
      <w:proofErr w:type="spellStart"/>
      <w:r w:rsidR="00986A64">
        <w:rPr>
          <w:sz w:val="20"/>
          <w:szCs w:val="20"/>
        </w:rPr>
        <w:t>timing</w:t>
      </w:r>
      <w:proofErr w:type="spellEnd"/>
      <w:r w:rsidR="00986A64">
        <w:rPr>
          <w:sz w:val="20"/>
          <w:szCs w:val="20"/>
        </w:rPr>
        <w:t xml:space="preserve"> </w:t>
      </w:r>
      <w:proofErr w:type="spellStart"/>
      <w:r w:rsidR="00986A64">
        <w:rPr>
          <w:sz w:val="20"/>
          <w:szCs w:val="20"/>
        </w:rPr>
        <w:t>synchronization</w:t>
      </w:r>
      <w:proofErr w:type="spellEnd"/>
      <w:r w:rsidR="00986A64">
        <w:rPr>
          <w:sz w:val="20"/>
          <w:szCs w:val="20"/>
        </w:rPr>
        <w:t xml:space="preserve">. </w:t>
      </w:r>
      <w:proofErr w:type="spellStart"/>
      <w:r w:rsidR="00986A64">
        <w:rPr>
          <w:sz w:val="20"/>
          <w:szCs w:val="20"/>
        </w:rPr>
        <w:t>This</w:t>
      </w:r>
      <w:proofErr w:type="spellEnd"/>
      <w:r w:rsidR="00986A64">
        <w:rPr>
          <w:sz w:val="20"/>
          <w:szCs w:val="20"/>
        </w:rPr>
        <w:t xml:space="preserve"> </w:t>
      </w:r>
      <w:proofErr w:type="spellStart"/>
      <w:r w:rsidR="00986A64">
        <w:rPr>
          <w:sz w:val="20"/>
          <w:szCs w:val="20"/>
        </w:rPr>
        <w:t>may</w:t>
      </w:r>
      <w:proofErr w:type="spellEnd"/>
      <w:r w:rsidR="00986A64">
        <w:rPr>
          <w:sz w:val="20"/>
          <w:szCs w:val="20"/>
        </w:rPr>
        <w:t xml:space="preserve"> </w:t>
      </w:r>
      <w:proofErr w:type="spellStart"/>
      <w:r w:rsidR="00986A64">
        <w:rPr>
          <w:sz w:val="20"/>
          <w:szCs w:val="20"/>
        </w:rPr>
        <w:t>happen</w:t>
      </w:r>
      <w:proofErr w:type="spellEnd"/>
      <w:r w:rsidR="00986A64">
        <w:rPr>
          <w:sz w:val="20"/>
          <w:szCs w:val="20"/>
        </w:rPr>
        <w:t xml:space="preserve"> for </w:t>
      </w:r>
      <w:proofErr w:type="spellStart"/>
      <w:r w:rsidR="00986A64">
        <w:rPr>
          <w:sz w:val="20"/>
          <w:szCs w:val="20"/>
        </w:rPr>
        <w:t>cases</w:t>
      </w:r>
      <w:proofErr w:type="spellEnd"/>
      <w:r w:rsidR="00986A64">
        <w:rPr>
          <w:sz w:val="20"/>
          <w:szCs w:val="20"/>
        </w:rPr>
        <w:t xml:space="preserve"> </w:t>
      </w:r>
      <w:proofErr w:type="spellStart"/>
      <w:r w:rsidR="00986A64">
        <w:rPr>
          <w:sz w:val="20"/>
          <w:szCs w:val="20"/>
        </w:rPr>
        <w:t>where</w:t>
      </w:r>
      <w:proofErr w:type="spellEnd"/>
      <w:r w:rsidR="00986A64">
        <w:rPr>
          <w:sz w:val="20"/>
          <w:szCs w:val="20"/>
        </w:rPr>
        <w:t xml:space="preserve"> </w:t>
      </w:r>
      <w:proofErr w:type="spellStart"/>
      <w:r w:rsidR="00986A64">
        <w:rPr>
          <w:sz w:val="20"/>
          <w:szCs w:val="20"/>
        </w:rPr>
        <w:t>the</w:t>
      </w:r>
      <w:proofErr w:type="spellEnd"/>
      <w:r w:rsidR="00986A64">
        <w:rPr>
          <w:sz w:val="20"/>
          <w:szCs w:val="20"/>
        </w:rPr>
        <w:t xml:space="preserve"> UE </w:t>
      </w:r>
      <w:proofErr w:type="spellStart"/>
      <w:r w:rsidR="00986A64">
        <w:rPr>
          <w:sz w:val="20"/>
          <w:szCs w:val="20"/>
        </w:rPr>
        <w:t>has</w:t>
      </w:r>
      <w:proofErr w:type="spellEnd"/>
      <w:r w:rsidR="00986A64">
        <w:rPr>
          <w:sz w:val="20"/>
          <w:szCs w:val="20"/>
        </w:rPr>
        <w:t xml:space="preserve"> </w:t>
      </w:r>
      <w:proofErr w:type="spellStart"/>
      <w:r w:rsidR="00986A64">
        <w:rPr>
          <w:sz w:val="20"/>
          <w:szCs w:val="20"/>
        </w:rPr>
        <w:t>not</w:t>
      </w:r>
      <w:proofErr w:type="spellEnd"/>
      <w:r w:rsidR="00986A64">
        <w:rPr>
          <w:sz w:val="20"/>
          <w:szCs w:val="20"/>
        </w:rPr>
        <w:t xml:space="preserve"> </w:t>
      </w:r>
      <w:proofErr w:type="spellStart"/>
      <w:r w:rsidR="00986A64">
        <w:rPr>
          <w:sz w:val="20"/>
          <w:szCs w:val="20"/>
        </w:rPr>
        <w:t>been</w:t>
      </w:r>
      <w:proofErr w:type="spellEnd"/>
      <w:r w:rsidR="00986A64">
        <w:rPr>
          <w:sz w:val="20"/>
          <w:szCs w:val="20"/>
        </w:rPr>
        <w:t xml:space="preserve"> </w:t>
      </w:r>
      <w:proofErr w:type="spellStart"/>
      <w:r w:rsidR="00986A64">
        <w:rPr>
          <w:sz w:val="20"/>
          <w:szCs w:val="20"/>
        </w:rPr>
        <w:t>scheduled</w:t>
      </w:r>
      <w:proofErr w:type="spellEnd"/>
      <w:r w:rsidR="00986A64">
        <w:rPr>
          <w:sz w:val="20"/>
          <w:szCs w:val="20"/>
        </w:rPr>
        <w:t xml:space="preserve"> for a </w:t>
      </w:r>
      <w:proofErr w:type="spellStart"/>
      <w:r w:rsidR="00986A64">
        <w:rPr>
          <w:sz w:val="20"/>
          <w:szCs w:val="20"/>
        </w:rPr>
        <w:t>while</w:t>
      </w:r>
      <w:proofErr w:type="spellEnd"/>
      <w:r w:rsidR="00986A64">
        <w:rPr>
          <w:sz w:val="20"/>
          <w:szCs w:val="20"/>
        </w:rPr>
        <w:t xml:space="preserve">, and </w:t>
      </w:r>
      <w:proofErr w:type="spellStart"/>
      <w:r w:rsidR="0095521A">
        <w:rPr>
          <w:sz w:val="20"/>
          <w:szCs w:val="20"/>
        </w:rPr>
        <w:t>the</w:t>
      </w:r>
      <w:proofErr w:type="spellEnd"/>
      <w:r w:rsidR="0095521A">
        <w:rPr>
          <w:sz w:val="20"/>
          <w:szCs w:val="20"/>
        </w:rPr>
        <w:t xml:space="preserve"> </w:t>
      </w:r>
      <w:r w:rsidR="00986A64">
        <w:rPr>
          <w:sz w:val="20"/>
          <w:szCs w:val="20"/>
        </w:rPr>
        <w:t xml:space="preserve">TA </w:t>
      </w:r>
      <w:proofErr w:type="spellStart"/>
      <w:r w:rsidR="00986A64">
        <w:rPr>
          <w:sz w:val="20"/>
          <w:szCs w:val="20"/>
        </w:rPr>
        <w:t>timer</w:t>
      </w:r>
      <w:proofErr w:type="spellEnd"/>
      <w:r w:rsidR="00986A64">
        <w:rPr>
          <w:sz w:val="20"/>
          <w:szCs w:val="20"/>
        </w:rPr>
        <w:t xml:space="preserve"> </w:t>
      </w:r>
      <w:proofErr w:type="spellStart"/>
      <w:r w:rsidR="00986A64">
        <w:rPr>
          <w:sz w:val="20"/>
          <w:szCs w:val="20"/>
        </w:rPr>
        <w:t>has</w:t>
      </w:r>
      <w:proofErr w:type="spellEnd"/>
      <w:r w:rsidR="00986A64">
        <w:rPr>
          <w:sz w:val="20"/>
          <w:szCs w:val="20"/>
        </w:rPr>
        <w:t xml:space="preserve"> </w:t>
      </w:r>
      <w:proofErr w:type="spellStart"/>
      <w:r w:rsidR="00986A64">
        <w:rPr>
          <w:sz w:val="20"/>
          <w:szCs w:val="20"/>
        </w:rPr>
        <w:t>expired</w:t>
      </w:r>
      <w:proofErr w:type="spellEnd"/>
      <w:r w:rsidR="00986A64">
        <w:rPr>
          <w:sz w:val="20"/>
          <w:szCs w:val="20"/>
        </w:rPr>
        <w:t xml:space="preserve">. In </w:t>
      </w:r>
      <w:proofErr w:type="spellStart"/>
      <w:r w:rsidR="00986A64">
        <w:rPr>
          <w:sz w:val="20"/>
          <w:szCs w:val="20"/>
        </w:rPr>
        <w:t>this</w:t>
      </w:r>
      <w:proofErr w:type="spellEnd"/>
      <w:r w:rsidR="00986A64">
        <w:rPr>
          <w:sz w:val="20"/>
          <w:szCs w:val="20"/>
        </w:rPr>
        <w:t xml:space="preserve"> case, </w:t>
      </w:r>
      <w:proofErr w:type="spellStart"/>
      <w:r w:rsidR="00986A64">
        <w:rPr>
          <w:sz w:val="20"/>
          <w:szCs w:val="20"/>
        </w:rPr>
        <w:t>the</w:t>
      </w:r>
      <w:proofErr w:type="spellEnd"/>
      <w:r w:rsidR="00986A64">
        <w:rPr>
          <w:sz w:val="20"/>
          <w:szCs w:val="20"/>
        </w:rPr>
        <w:t xml:space="preserve"> UE </w:t>
      </w:r>
      <w:proofErr w:type="spellStart"/>
      <w:r w:rsidR="00986A64">
        <w:rPr>
          <w:sz w:val="20"/>
          <w:szCs w:val="20"/>
        </w:rPr>
        <w:t>would</w:t>
      </w:r>
      <w:proofErr w:type="spellEnd"/>
      <w:r w:rsidR="00986A64">
        <w:rPr>
          <w:sz w:val="20"/>
          <w:szCs w:val="20"/>
        </w:rPr>
        <w:t xml:space="preserve"> </w:t>
      </w:r>
      <w:proofErr w:type="spellStart"/>
      <w:r w:rsidR="00986A64">
        <w:rPr>
          <w:sz w:val="20"/>
          <w:szCs w:val="20"/>
        </w:rPr>
        <w:t>still</w:t>
      </w:r>
      <w:proofErr w:type="spellEnd"/>
      <w:r w:rsidR="00986A64">
        <w:rPr>
          <w:sz w:val="20"/>
          <w:szCs w:val="20"/>
        </w:rPr>
        <w:t xml:space="preserve"> </w:t>
      </w:r>
      <w:proofErr w:type="spellStart"/>
      <w:r w:rsidR="00986A64">
        <w:rPr>
          <w:sz w:val="20"/>
          <w:szCs w:val="20"/>
        </w:rPr>
        <w:t>consider</w:t>
      </w:r>
      <w:proofErr w:type="spellEnd"/>
      <w:r w:rsidR="00986A64">
        <w:rPr>
          <w:sz w:val="20"/>
          <w:szCs w:val="20"/>
        </w:rPr>
        <w:t xml:space="preserve"> </w:t>
      </w:r>
      <w:proofErr w:type="spellStart"/>
      <w:r w:rsidR="00986A64">
        <w:rPr>
          <w:sz w:val="20"/>
          <w:szCs w:val="20"/>
        </w:rPr>
        <w:t>itself</w:t>
      </w:r>
      <w:proofErr w:type="spellEnd"/>
      <w:r w:rsidR="00986A64">
        <w:rPr>
          <w:sz w:val="20"/>
          <w:szCs w:val="20"/>
        </w:rPr>
        <w:t xml:space="preserve"> as in RRC_CONNECTED </w:t>
      </w:r>
      <w:proofErr w:type="spellStart"/>
      <w:r w:rsidR="00986A64">
        <w:rPr>
          <w:sz w:val="20"/>
          <w:szCs w:val="20"/>
        </w:rPr>
        <w:t>mode</w:t>
      </w:r>
      <w:proofErr w:type="spellEnd"/>
      <w:r w:rsidR="00986A64">
        <w:rPr>
          <w:sz w:val="20"/>
          <w:szCs w:val="20"/>
        </w:rPr>
        <w:t xml:space="preserve">, and </w:t>
      </w:r>
      <w:proofErr w:type="spellStart"/>
      <w:r w:rsidR="00986A64">
        <w:rPr>
          <w:sz w:val="20"/>
          <w:szCs w:val="20"/>
        </w:rPr>
        <w:t>have</w:t>
      </w:r>
      <w:proofErr w:type="spellEnd"/>
      <w:r w:rsidR="00986A64">
        <w:rPr>
          <w:sz w:val="20"/>
          <w:szCs w:val="20"/>
        </w:rPr>
        <w:t xml:space="preserve"> a C-RNTI </w:t>
      </w:r>
      <w:proofErr w:type="spellStart"/>
      <w:r w:rsidR="00986A64">
        <w:rPr>
          <w:sz w:val="20"/>
          <w:szCs w:val="20"/>
        </w:rPr>
        <w:t>which</w:t>
      </w:r>
      <w:proofErr w:type="spellEnd"/>
      <w:r w:rsidR="00986A64">
        <w:rPr>
          <w:sz w:val="20"/>
          <w:szCs w:val="20"/>
        </w:rPr>
        <w:t xml:space="preserve"> it </w:t>
      </w:r>
      <w:proofErr w:type="spellStart"/>
      <w:r w:rsidR="00986A64">
        <w:rPr>
          <w:sz w:val="20"/>
          <w:szCs w:val="20"/>
        </w:rPr>
        <w:t>will</w:t>
      </w:r>
      <w:proofErr w:type="spellEnd"/>
      <w:r w:rsidR="00986A64">
        <w:rPr>
          <w:sz w:val="20"/>
          <w:szCs w:val="20"/>
        </w:rPr>
        <w:t xml:space="preserve"> </w:t>
      </w:r>
      <w:proofErr w:type="spellStart"/>
      <w:r w:rsidR="00986A64">
        <w:rPr>
          <w:sz w:val="20"/>
          <w:szCs w:val="20"/>
        </w:rPr>
        <w:t>use</w:t>
      </w:r>
      <w:proofErr w:type="spellEnd"/>
      <w:r w:rsidR="00986A64">
        <w:rPr>
          <w:sz w:val="20"/>
          <w:szCs w:val="20"/>
        </w:rPr>
        <w:t xml:space="preserve"> </w:t>
      </w:r>
      <w:proofErr w:type="spellStart"/>
      <w:r w:rsidR="00986A64">
        <w:rPr>
          <w:sz w:val="20"/>
          <w:szCs w:val="20"/>
        </w:rPr>
        <w:t>during</w:t>
      </w:r>
      <w:proofErr w:type="spellEnd"/>
      <w:r w:rsidR="00986A64">
        <w:rPr>
          <w:sz w:val="20"/>
          <w:szCs w:val="20"/>
        </w:rPr>
        <w:t xml:space="preserve"> </w:t>
      </w:r>
      <w:proofErr w:type="spellStart"/>
      <w:r w:rsidR="00986A64">
        <w:rPr>
          <w:sz w:val="20"/>
          <w:szCs w:val="20"/>
        </w:rPr>
        <w:t>the</w:t>
      </w:r>
      <w:proofErr w:type="spellEnd"/>
      <w:r w:rsidR="00986A64">
        <w:rPr>
          <w:sz w:val="20"/>
          <w:szCs w:val="20"/>
        </w:rPr>
        <w:t xml:space="preserve"> </w:t>
      </w:r>
      <w:proofErr w:type="spellStart"/>
      <w:r w:rsidR="00986A64">
        <w:rPr>
          <w:sz w:val="20"/>
          <w:szCs w:val="20"/>
        </w:rPr>
        <w:t>random</w:t>
      </w:r>
      <w:proofErr w:type="spellEnd"/>
      <w:r w:rsidR="00986A64">
        <w:rPr>
          <w:sz w:val="20"/>
          <w:szCs w:val="20"/>
        </w:rPr>
        <w:t xml:space="preserve"> </w:t>
      </w:r>
      <w:proofErr w:type="spellStart"/>
      <w:r w:rsidR="00986A64">
        <w:rPr>
          <w:sz w:val="20"/>
          <w:szCs w:val="20"/>
        </w:rPr>
        <w:t>access</w:t>
      </w:r>
      <w:proofErr w:type="spellEnd"/>
      <w:r w:rsidR="00986A64">
        <w:rPr>
          <w:sz w:val="20"/>
          <w:szCs w:val="20"/>
        </w:rPr>
        <w:t xml:space="preserve"> </w:t>
      </w:r>
      <w:proofErr w:type="spellStart"/>
      <w:r w:rsidR="00986A64">
        <w:rPr>
          <w:sz w:val="20"/>
          <w:szCs w:val="20"/>
        </w:rPr>
        <w:t>procedure</w:t>
      </w:r>
      <w:proofErr w:type="spellEnd"/>
      <w:r w:rsidR="00986A64">
        <w:rPr>
          <w:sz w:val="20"/>
          <w:szCs w:val="20"/>
        </w:rPr>
        <w:t xml:space="preserve">. </w:t>
      </w:r>
      <w:proofErr w:type="spellStart"/>
      <w:r w:rsidR="00986A64">
        <w:rPr>
          <w:sz w:val="20"/>
          <w:szCs w:val="20"/>
        </w:rPr>
        <w:t>Hence</w:t>
      </w:r>
      <w:proofErr w:type="spellEnd"/>
      <w:r w:rsidR="00986A64">
        <w:rPr>
          <w:sz w:val="20"/>
          <w:szCs w:val="20"/>
        </w:rPr>
        <w:t xml:space="preserve">, </w:t>
      </w:r>
      <w:proofErr w:type="spellStart"/>
      <w:r w:rsidR="00986A64">
        <w:rPr>
          <w:sz w:val="20"/>
          <w:szCs w:val="20"/>
        </w:rPr>
        <w:t>this</w:t>
      </w:r>
      <w:proofErr w:type="spellEnd"/>
      <w:r w:rsidR="00986A64">
        <w:rPr>
          <w:sz w:val="20"/>
          <w:szCs w:val="20"/>
        </w:rPr>
        <w:t xml:space="preserve"> </w:t>
      </w:r>
      <w:proofErr w:type="spellStart"/>
      <w:r w:rsidR="00986A64">
        <w:rPr>
          <w:sz w:val="20"/>
          <w:szCs w:val="20"/>
        </w:rPr>
        <w:t>situation</w:t>
      </w:r>
      <w:proofErr w:type="spellEnd"/>
      <w:r w:rsidR="00986A64">
        <w:rPr>
          <w:sz w:val="20"/>
          <w:szCs w:val="20"/>
        </w:rPr>
        <w:t xml:space="preserve"> </w:t>
      </w:r>
      <w:proofErr w:type="spellStart"/>
      <w:r w:rsidR="00986A64">
        <w:rPr>
          <w:sz w:val="20"/>
          <w:szCs w:val="20"/>
        </w:rPr>
        <w:t>would</w:t>
      </w:r>
      <w:proofErr w:type="spellEnd"/>
      <w:r w:rsidR="00986A64">
        <w:rPr>
          <w:sz w:val="20"/>
          <w:szCs w:val="20"/>
        </w:rPr>
        <w:t xml:space="preserve"> </w:t>
      </w:r>
      <w:proofErr w:type="spellStart"/>
      <w:r w:rsidR="00986A64">
        <w:rPr>
          <w:sz w:val="20"/>
          <w:szCs w:val="20"/>
        </w:rPr>
        <w:t>resemble</w:t>
      </w:r>
      <w:proofErr w:type="spellEnd"/>
      <w:r w:rsidR="00986A64">
        <w:rPr>
          <w:sz w:val="20"/>
          <w:szCs w:val="20"/>
        </w:rPr>
        <w:t xml:space="preserve"> </w:t>
      </w:r>
      <w:proofErr w:type="spellStart"/>
      <w:r w:rsidR="00986A64">
        <w:rPr>
          <w:sz w:val="20"/>
          <w:szCs w:val="20"/>
        </w:rPr>
        <w:t>the</w:t>
      </w:r>
      <w:proofErr w:type="spellEnd"/>
      <w:r w:rsidR="00986A64">
        <w:rPr>
          <w:sz w:val="20"/>
          <w:szCs w:val="20"/>
        </w:rPr>
        <w:t xml:space="preserve"> case </w:t>
      </w:r>
      <w:proofErr w:type="spellStart"/>
      <w:r w:rsidR="00986A64">
        <w:rPr>
          <w:sz w:val="20"/>
          <w:szCs w:val="20"/>
        </w:rPr>
        <w:t>from</w:t>
      </w:r>
      <w:proofErr w:type="spellEnd"/>
      <w:r w:rsidR="00986A64">
        <w:rPr>
          <w:sz w:val="20"/>
          <w:szCs w:val="20"/>
        </w:rPr>
        <w:t xml:space="preserve"> </w:t>
      </w:r>
      <w:proofErr w:type="spellStart"/>
      <w:r w:rsidR="00986A64">
        <w:rPr>
          <w:sz w:val="20"/>
          <w:szCs w:val="20"/>
        </w:rPr>
        <w:t>the</w:t>
      </w:r>
      <w:proofErr w:type="spellEnd"/>
      <w:r w:rsidR="00986A64">
        <w:rPr>
          <w:sz w:val="20"/>
          <w:szCs w:val="20"/>
        </w:rPr>
        <w:t xml:space="preserve"> </w:t>
      </w:r>
      <w:proofErr w:type="spellStart"/>
      <w:r w:rsidR="00986A64">
        <w:rPr>
          <w:sz w:val="20"/>
          <w:szCs w:val="20"/>
        </w:rPr>
        <w:t>handover</w:t>
      </w:r>
      <w:proofErr w:type="spellEnd"/>
      <w:r w:rsidR="00986A64">
        <w:rPr>
          <w:sz w:val="20"/>
          <w:szCs w:val="20"/>
        </w:rPr>
        <w:t xml:space="preserve"> case.</w:t>
      </w:r>
    </w:p>
    <w:p w14:paraId="1DC28E0C" w14:textId="77777777" w:rsidR="00A36189" w:rsidRPr="00986A64" w:rsidRDefault="00A36189" w:rsidP="00986A64"/>
    <w:p w14:paraId="4112DB72" w14:textId="0F631527" w:rsidR="00693593" w:rsidRPr="006E3EC7" w:rsidRDefault="00693593" w:rsidP="001F201D">
      <w:pPr>
        <w:rPr>
          <w:b/>
          <w:bCs/>
        </w:rPr>
      </w:pPr>
      <w:r w:rsidRPr="00986A64">
        <w:rPr>
          <w:b/>
          <w:bCs/>
        </w:rPr>
        <w:t xml:space="preserve">Observation 1: There may be other cases </w:t>
      </w:r>
      <w:r w:rsidR="00B47045" w:rsidRPr="00986A64">
        <w:rPr>
          <w:b/>
          <w:bCs/>
        </w:rPr>
        <w:t xml:space="preserve">than the handover without dedicated random access preamble </w:t>
      </w:r>
      <w:r w:rsidRPr="00986A64">
        <w:rPr>
          <w:b/>
          <w:bCs/>
        </w:rPr>
        <w:t xml:space="preserve">where a UE may have </w:t>
      </w:r>
      <w:r w:rsidR="007A05E6" w:rsidRPr="00986A64">
        <w:rPr>
          <w:b/>
          <w:bCs/>
        </w:rPr>
        <w:t>a C-RNTI available</w:t>
      </w:r>
      <w:r w:rsidR="00B47045" w:rsidRPr="00986A64">
        <w:rPr>
          <w:b/>
          <w:bCs/>
        </w:rPr>
        <w:t xml:space="preserve"> (e.g. </w:t>
      </w:r>
      <w:r w:rsidR="00AD65C2" w:rsidRPr="00986A64">
        <w:rPr>
          <w:b/>
          <w:bCs/>
        </w:rPr>
        <w:t xml:space="preserve">establishing timing after TA timer expiry, UE establishing connection </w:t>
      </w:r>
      <w:r w:rsidR="00AE6E58" w:rsidRPr="00986A64">
        <w:rPr>
          <w:b/>
          <w:bCs/>
        </w:rPr>
        <w:t>from RRC_INACTIVE mode).</w:t>
      </w:r>
    </w:p>
    <w:p w14:paraId="1207825D" w14:textId="13F25AB0" w:rsidR="006F1FA5" w:rsidRPr="00823627" w:rsidRDefault="006F1FA5" w:rsidP="001F201D">
      <w:r w:rsidRPr="00823627">
        <w:lastRenderedPageBreak/>
        <w:t>Based on this observation, RAN1 should consider all the cases where a UE may have uncertainty as to the configuration of PUCCH repetition factor and design a generic solution accordingly.</w:t>
      </w:r>
      <w:r>
        <w:t xml:space="preserve"> Restricting the solution to only the cases where UE receives a Msg4 scrambled by C-RNTI would be very limiting and would only partly solve the problem. For this reason, and as already mentioned in our previous contribution </w:t>
      </w:r>
      <w:r w:rsidR="007A508D">
        <w:fldChar w:fldCharType="begin"/>
      </w:r>
      <w:r w:rsidR="007A508D">
        <w:instrText xml:space="preserve"> REF _Ref158796605 \n \h </w:instrText>
      </w:r>
      <w:r w:rsidR="007A508D">
        <w:fldChar w:fldCharType="separate"/>
      </w:r>
      <w:r w:rsidR="007A508D">
        <w:t>[3]</w:t>
      </w:r>
      <w:r w:rsidR="007A508D">
        <w:fldChar w:fldCharType="end"/>
      </w:r>
      <w:r>
        <w:t>, we propose to</w:t>
      </w:r>
      <w:r w:rsidRPr="006F1FA5">
        <w:t xml:space="preserve"> address the problem </w:t>
      </w:r>
      <w:r>
        <w:t>via a</w:t>
      </w:r>
      <w:r w:rsidRPr="006F1FA5">
        <w:t xml:space="preserve"> </w:t>
      </w:r>
      <w:r>
        <w:t xml:space="preserve">preconfigured UE </w:t>
      </w:r>
      <w:proofErr w:type="spellStart"/>
      <w:r>
        <w:t>behavior</w:t>
      </w:r>
      <w:proofErr w:type="spellEnd"/>
      <w:r>
        <w:t xml:space="preserve"> in such cases. In particular, whenever there is an ambiguity for the UE on which number of PUCCH repetitions to use</w:t>
      </w:r>
      <w:r w:rsidR="0075371D">
        <w:t xml:space="preserve"> (i.e. whenever</w:t>
      </w:r>
      <w:r w:rsidR="0075371D" w:rsidRPr="0075371D">
        <w:t xml:space="preserve"> </w:t>
      </w:r>
      <w:r w:rsidR="0075371D">
        <w:t xml:space="preserve">the </w:t>
      </w:r>
      <w:r w:rsidR="0075371D" w:rsidRPr="00823627">
        <w:t>PUCCH repetition table changes and UE is not provided with a DCI with CRC scrambled by TC-RNTI after the change)</w:t>
      </w:r>
      <w:r>
        <w:t xml:space="preserve">, </w:t>
      </w:r>
      <w:r w:rsidR="00A717B0">
        <w:t xml:space="preserve">the </w:t>
      </w:r>
      <w:r w:rsidRPr="006F1FA5">
        <w:t>UE kee</w:t>
      </w:r>
      <w:r>
        <w:t>ps</w:t>
      </w:r>
      <w:r w:rsidRPr="006F1FA5">
        <w:t xml:space="preserve"> operating with previously indicated</w:t>
      </w:r>
      <w:r>
        <w:t xml:space="preserve"> (before the change)</w:t>
      </w:r>
      <w:r w:rsidRPr="006F1FA5">
        <w:t xml:space="preserve"> number of PUCCH repetitions if such number of PUCCH repetitions is supported by the new PUCCH repetition table configuration </w:t>
      </w:r>
      <w:r w:rsidR="00F959AE">
        <w:t>or UE starts</w:t>
      </w:r>
      <w:r w:rsidRPr="006F1FA5">
        <w:t xml:space="preserve"> operat</w:t>
      </w:r>
      <w:r w:rsidR="00F959AE">
        <w:t>ing</w:t>
      </w:r>
      <w:r w:rsidRPr="006F1FA5">
        <w:t xml:space="preserve"> with the lowest number of PUCCH repetitions supported by the new configuration in case the previously indicated number of PUCCH repetitions is not supported by the new PUCCH repetition table. Although the motivation for the former approach is straightforward, we are proposing that a UE switches to the lowest number of PUCCH repetitions after SI modifications (if previous number not supported) to avoid a UE </w:t>
      </w:r>
      <w:proofErr w:type="spellStart"/>
      <w:r w:rsidRPr="006F1FA5">
        <w:t>handovering</w:t>
      </w:r>
      <w:proofErr w:type="spellEnd"/>
      <w:r w:rsidRPr="006F1FA5">
        <w:t xml:space="preserve"> to another cell with good channel conditions occupying excessive network resources when not needed and potentially creating unwanted interference in PUCCH resources in slots that are not designated for PUCCH repetitions for this given UE. If then the lowest number of PUCCH repetitions is not enough for the UE to keep connected to the network, </w:t>
      </w:r>
      <w:r w:rsidR="00836255">
        <w:t xml:space="preserve">the </w:t>
      </w:r>
      <w:r w:rsidRPr="006F1FA5">
        <w:t>UE will perform the RACH procedure and will be able to be assigned an appropriate number of PUCCH repetitions via the DAI field of the DCI format 1_0 with CRC scrambled by a TC-RNTI.</w:t>
      </w:r>
    </w:p>
    <w:p w14:paraId="1993D350" w14:textId="4F5FFE86" w:rsidR="00AE6E58" w:rsidRPr="006E3EC7" w:rsidRDefault="00F959AE" w:rsidP="001F201D">
      <w:pPr>
        <w:rPr>
          <w:b/>
          <w:bCs/>
        </w:rPr>
      </w:pPr>
      <w:r>
        <w:rPr>
          <w:b/>
          <w:bCs/>
        </w:rPr>
        <w:t>Observation</w:t>
      </w:r>
      <w:r w:rsidRPr="006E3EC7">
        <w:rPr>
          <w:b/>
          <w:bCs/>
        </w:rPr>
        <w:t xml:space="preserve"> </w:t>
      </w:r>
      <w:r>
        <w:rPr>
          <w:b/>
          <w:bCs/>
        </w:rPr>
        <w:t>2</w:t>
      </w:r>
      <w:r w:rsidR="00AE6E58" w:rsidRPr="006E3EC7">
        <w:rPr>
          <w:b/>
          <w:bCs/>
        </w:rPr>
        <w:t xml:space="preserve">: </w:t>
      </w:r>
      <w:r w:rsidR="00986A64" w:rsidRPr="006E3EC7">
        <w:rPr>
          <w:b/>
          <w:bCs/>
        </w:rPr>
        <w:t xml:space="preserve">RAN1 should consider all the cases where a UE may have uncertainty as to the configuration of PUCCH repetition factor. The </w:t>
      </w:r>
      <w:r w:rsidR="006E3EC7" w:rsidRPr="006E3EC7">
        <w:rPr>
          <w:b/>
          <w:bCs/>
        </w:rPr>
        <w:t>known C-RNTI for handover case may only be a subset of the cases to consider.</w:t>
      </w:r>
    </w:p>
    <w:p w14:paraId="1D1A18FC" w14:textId="231B4CE3" w:rsidR="004272A4" w:rsidRPr="001F201D" w:rsidRDefault="00F959AE" w:rsidP="001F201D">
      <w:r w:rsidRPr="00823627">
        <w:rPr>
          <w:b/>
          <w:bCs/>
        </w:rPr>
        <w:t>Proposal 1. In the case the PUCCH repetition table changes and UE is not provided with a DCI with CRC scrambled by TC-RNTI</w:t>
      </w:r>
      <w:r w:rsidR="008C0DC1">
        <w:rPr>
          <w:b/>
          <w:bCs/>
        </w:rPr>
        <w:t xml:space="preserve"> after the change</w:t>
      </w:r>
      <w:r w:rsidRPr="00823627">
        <w:rPr>
          <w:b/>
          <w:bCs/>
        </w:rPr>
        <w:t xml:space="preserve">, UE keeps operating with previously indicated (before the change) number of PUCCH repetitions if such number of PUCCH repetitions is supported by the new PUCCH repetition table configuration or </w:t>
      </w:r>
      <w:r w:rsidR="00226F20">
        <w:rPr>
          <w:b/>
          <w:bCs/>
        </w:rPr>
        <w:t xml:space="preserve">the </w:t>
      </w:r>
      <w:r w:rsidRPr="00823627">
        <w:rPr>
          <w:b/>
          <w:bCs/>
        </w:rPr>
        <w:t>UE starts operating with the lowest number of PUCCH repetitions supported by the new configuration in case the previously indicated number of PUCCH repetitions is not supported by the new PUCCH repetition table.</w:t>
      </w:r>
    </w:p>
    <w:bookmarkEnd w:id="1"/>
    <w:p w14:paraId="10445A01" w14:textId="480CC7E1" w:rsidR="00885580" w:rsidRDefault="007820D0" w:rsidP="00885580">
      <w:pPr>
        <w:pStyle w:val="Heading1"/>
      </w:pPr>
      <w:r>
        <w:t>Conclusion</w:t>
      </w:r>
    </w:p>
    <w:p w14:paraId="384567B8" w14:textId="5C0FC579" w:rsidR="001337A5" w:rsidRDefault="00993375" w:rsidP="001F201D">
      <w:r>
        <w:t>In this contribution we have presented our observations and proposal. These are as follows:</w:t>
      </w:r>
    </w:p>
    <w:p w14:paraId="5595E3E9" w14:textId="77777777" w:rsidR="00823627" w:rsidRPr="006E3EC7" w:rsidRDefault="00823627" w:rsidP="00823627">
      <w:pPr>
        <w:rPr>
          <w:b/>
          <w:bCs/>
        </w:rPr>
      </w:pPr>
      <w:r w:rsidRPr="00986A64">
        <w:rPr>
          <w:b/>
          <w:bCs/>
        </w:rPr>
        <w:t>Observation 1: There may be other cases than the handover without dedicated random access preamble where a UE may have a C-RNTI available (e.g. establishing timing after TA timer expiry, UE establishing connection from RRC_INACTIVE mode).</w:t>
      </w:r>
    </w:p>
    <w:p w14:paraId="1B13E1AE" w14:textId="77777777" w:rsidR="00823627" w:rsidRPr="006E3EC7" w:rsidRDefault="00823627" w:rsidP="00823627">
      <w:pPr>
        <w:rPr>
          <w:b/>
          <w:bCs/>
        </w:rPr>
      </w:pPr>
      <w:r>
        <w:rPr>
          <w:b/>
          <w:bCs/>
        </w:rPr>
        <w:t>Observation</w:t>
      </w:r>
      <w:r w:rsidRPr="006E3EC7">
        <w:rPr>
          <w:b/>
          <w:bCs/>
        </w:rPr>
        <w:t xml:space="preserve"> </w:t>
      </w:r>
      <w:r>
        <w:rPr>
          <w:b/>
          <w:bCs/>
        </w:rPr>
        <w:t>2</w:t>
      </w:r>
      <w:r w:rsidRPr="006E3EC7">
        <w:rPr>
          <w:b/>
          <w:bCs/>
        </w:rPr>
        <w:t>: RAN1 should consider all the cases where a UE may have uncertainty as to the configuration of PUCCH repetition factor. The known C-RNTI for handover case may only be a subset of the cases to consider.</w:t>
      </w:r>
    </w:p>
    <w:p w14:paraId="1BA7BA71" w14:textId="579C360C" w:rsidR="00993375" w:rsidRPr="00823627" w:rsidRDefault="00823627" w:rsidP="001F201D">
      <w:r w:rsidRPr="003C4B3C">
        <w:rPr>
          <w:b/>
          <w:bCs/>
        </w:rPr>
        <w:t>Proposal 1. In the case the PUCCH repetition table changes and UE is not provided with a DCI with CRC scrambled by TC-RNTI</w:t>
      </w:r>
      <w:r>
        <w:rPr>
          <w:b/>
          <w:bCs/>
        </w:rPr>
        <w:t xml:space="preserve"> after the change</w:t>
      </w:r>
      <w:r w:rsidRPr="003C4B3C">
        <w:rPr>
          <w:b/>
          <w:bCs/>
        </w:rPr>
        <w:t xml:space="preserve">, UE keeps operating with previously indicated (before the change) number of PUCCH repetitions if such number of PUCCH repetitions is supported by the new PUCCH repetition table configuration or </w:t>
      </w:r>
      <w:r>
        <w:rPr>
          <w:b/>
          <w:bCs/>
        </w:rPr>
        <w:t xml:space="preserve">the </w:t>
      </w:r>
      <w:r w:rsidRPr="003C4B3C">
        <w:rPr>
          <w:b/>
          <w:bCs/>
        </w:rPr>
        <w:t>UE starts operating with the lowest number of PUCCH repetitions supported by the new configuration in case the previously indicated number of PUCCH repetitions is not supported by the new PUCCH repetition table.</w:t>
      </w:r>
    </w:p>
    <w:p w14:paraId="53CD9119" w14:textId="5206E1F5" w:rsidR="00885580" w:rsidRDefault="00885580" w:rsidP="00885580">
      <w:pPr>
        <w:pStyle w:val="Heading1"/>
        <w:numPr>
          <w:ilvl w:val="0"/>
          <w:numId w:val="0"/>
        </w:numPr>
      </w:pPr>
      <w:r>
        <w:t>References</w:t>
      </w:r>
    </w:p>
    <w:p w14:paraId="2C6979C9" w14:textId="33370E2D" w:rsidR="00205A4B" w:rsidRDefault="00320FE2" w:rsidP="00205A4B">
      <w:pPr>
        <w:pStyle w:val="ListParagraph"/>
        <w:numPr>
          <w:ilvl w:val="0"/>
          <w:numId w:val="27"/>
        </w:numPr>
        <w:rPr>
          <w:sz w:val="20"/>
          <w:szCs w:val="20"/>
        </w:rPr>
      </w:pPr>
      <w:bookmarkStart w:id="2" w:name="_Ref158752205"/>
      <w:r w:rsidRPr="00320FE2">
        <w:rPr>
          <w:sz w:val="20"/>
          <w:szCs w:val="20"/>
        </w:rPr>
        <w:t>R1-2312321</w:t>
      </w:r>
      <w:r w:rsidR="003037B5">
        <w:rPr>
          <w:sz w:val="20"/>
          <w:szCs w:val="20"/>
        </w:rPr>
        <w:t>, ”</w:t>
      </w:r>
      <w:proofErr w:type="spellStart"/>
      <w:r w:rsidR="008D166F" w:rsidRPr="008D166F">
        <w:rPr>
          <w:sz w:val="20"/>
          <w:szCs w:val="20"/>
        </w:rPr>
        <w:t>Summary</w:t>
      </w:r>
      <w:proofErr w:type="spellEnd"/>
      <w:r w:rsidR="008D166F" w:rsidRPr="008D166F">
        <w:rPr>
          <w:sz w:val="20"/>
          <w:szCs w:val="20"/>
        </w:rPr>
        <w:t xml:space="preserve"> #3 on 8.13.1 </w:t>
      </w:r>
      <w:proofErr w:type="spellStart"/>
      <w:r w:rsidR="008D166F" w:rsidRPr="008D166F">
        <w:rPr>
          <w:sz w:val="20"/>
          <w:szCs w:val="20"/>
        </w:rPr>
        <w:t>Coverage</w:t>
      </w:r>
      <w:proofErr w:type="spellEnd"/>
      <w:r w:rsidR="008D166F" w:rsidRPr="008D166F">
        <w:rPr>
          <w:sz w:val="20"/>
          <w:szCs w:val="20"/>
        </w:rPr>
        <w:t xml:space="preserve"> </w:t>
      </w:r>
      <w:proofErr w:type="spellStart"/>
      <w:r w:rsidR="008D166F" w:rsidRPr="008D166F">
        <w:rPr>
          <w:sz w:val="20"/>
          <w:szCs w:val="20"/>
        </w:rPr>
        <w:t>enhancement</w:t>
      </w:r>
      <w:proofErr w:type="spellEnd"/>
      <w:r w:rsidR="008D166F" w:rsidRPr="008D166F">
        <w:rPr>
          <w:sz w:val="20"/>
          <w:szCs w:val="20"/>
        </w:rPr>
        <w:t xml:space="preserve"> for NR NTN</w:t>
      </w:r>
      <w:r w:rsidR="003037B5">
        <w:rPr>
          <w:sz w:val="20"/>
          <w:szCs w:val="20"/>
        </w:rPr>
        <w:t>”</w:t>
      </w:r>
      <w:bookmarkEnd w:id="2"/>
    </w:p>
    <w:p w14:paraId="7786E893" w14:textId="1DFF2A3C" w:rsidR="00C11DD1" w:rsidRPr="00C11DD1" w:rsidRDefault="00C11DD1" w:rsidP="00C11DD1">
      <w:pPr>
        <w:pStyle w:val="ListParagraph"/>
        <w:numPr>
          <w:ilvl w:val="0"/>
          <w:numId w:val="27"/>
        </w:numPr>
        <w:rPr>
          <w:sz w:val="20"/>
          <w:szCs w:val="20"/>
        </w:rPr>
      </w:pPr>
      <w:bookmarkStart w:id="3" w:name="_Ref158752409"/>
      <w:r w:rsidRPr="00C11DD1">
        <w:rPr>
          <w:sz w:val="20"/>
          <w:szCs w:val="20"/>
        </w:rPr>
        <w:t>R1-2311200</w:t>
      </w:r>
      <w:r>
        <w:rPr>
          <w:sz w:val="20"/>
          <w:szCs w:val="20"/>
        </w:rPr>
        <w:t>, ”</w:t>
      </w:r>
      <w:proofErr w:type="spellStart"/>
      <w:r w:rsidRPr="00C11DD1">
        <w:rPr>
          <w:sz w:val="20"/>
          <w:szCs w:val="20"/>
        </w:rPr>
        <w:t>Remaining</w:t>
      </w:r>
      <w:proofErr w:type="spellEnd"/>
      <w:r w:rsidRPr="00C11DD1">
        <w:rPr>
          <w:sz w:val="20"/>
          <w:szCs w:val="20"/>
        </w:rPr>
        <w:t xml:space="preserve"> </w:t>
      </w:r>
      <w:proofErr w:type="spellStart"/>
      <w:r w:rsidRPr="00C11DD1">
        <w:rPr>
          <w:sz w:val="20"/>
          <w:szCs w:val="20"/>
        </w:rPr>
        <w:t>issue</w:t>
      </w:r>
      <w:proofErr w:type="spellEnd"/>
      <w:r w:rsidRPr="00C11DD1">
        <w:rPr>
          <w:sz w:val="20"/>
          <w:szCs w:val="20"/>
        </w:rPr>
        <w:t xml:space="preserve"> on </w:t>
      </w:r>
      <w:proofErr w:type="spellStart"/>
      <w:r w:rsidRPr="00C11DD1">
        <w:rPr>
          <w:sz w:val="20"/>
          <w:szCs w:val="20"/>
        </w:rPr>
        <w:t>coverage</w:t>
      </w:r>
      <w:proofErr w:type="spellEnd"/>
      <w:r w:rsidRPr="00C11DD1">
        <w:rPr>
          <w:sz w:val="20"/>
          <w:szCs w:val="20"/>
        </w:rPr>
        <w:t xml:space="preserve"> </w:t>
      </w:r>
      <w:proofErr w:type="spellStart"/>
      <w:r w:rsidRPr="00C11DD1">
        <w:rPr>
          <w:sz w:val="20"/>
          <w:szCs w:val="20"/>
        </w:rPr>
        <w:t>enhancement</w:t>
      </w:r>
      <w:proofErr w:type="spellEnd"/>
      <w:r>
        <w:rPr>
          <w:sz w:val="20"/>
          <w:szCs w:val="20"/>
        </w:rPr>
        <w:t xml:space="preserve">”, </w:t>
      </w:r>
      <w:r w:rsidRPr="00C11DD1">
        <w:rPr>
          <w:sz w:val="20"/>
          <w:szCs w:val="20"/>
        </w:rPr>
        <w:t>ZTE</w:t>
      </w:r>
      <w:bookmarkEnd w:id="3"/>
    </w:p>
    <w:p w14:paraId="093EE10C" w14:textId="013DB143" w:rsidR="00205A4B" w:rsidRPr="00205A4B" w:rsidRDefault="00502489" w:rsidP="00205A4B">
      <w:pPr>
        <w:pStyle w:val="ListParagraph"/>
        <w:numPr>
          <w:ilvl w:val="0"/>
          <w:numId w:val="27"/>
        </w:numPr>
        <w:rPr>
          <w:sz w:val="20"/>
          <w:szCs w:val="20"/>
        </w:rPr>
      </w:pPr>
      <w:bookmarkStart w:id="4" w:name="_Ref158796605"/>
      <w:r>
        <w:rPr>
          <w:sz w:val="20"/>
          <w:szCs w:val="20"/>
        </w:rPr>
        <w:t>R1-2</w:t>
      </w:r>
      <w:r w:rsidRPr="00502489">
        <w:rPr>
          <w:sz w:val="20"/>
          <w:szCs w:val="20"/>
        </w:rPr>
        <w:t>312137</w:t>
      </w:r>
      <w:r>
        <w:rPr>
          <w:sz w:val="20"/>
          <w:szCs w:val="20"/>
        </w:rPr>
        <w:t>, ”</w:t>
      </w:r>
      <w:r w:rsidRPr="00502489">
        <w:rPr>
          <w:sz w:val="20"/>
          <w:szCs w:val="20"/>
        </w:rPr>
        <w:t xml:space="preserve">Open </w:t>
      </w:r>
      <w:proofErr w:type="spellStart"/>
      <w:r w:rsidRPr="00502489">
        <w:rPr>
          <w:sz w:val="20"/>
          <w:szCs w:val="20"/>
        </w:rPr>
        <w:t>issues</w:t>
      </w:r>
      <w:proofErr w:type="spellEnd"/>
      <w:r w:rsidRPr="00502489">
        <w:rPr>
          <w:sz w:val="20"/>
          <w:szCs w:val="20"/>
        </w:rPr>
        <w:t xml:space="preserve"> </w:t>
      </w:r>
      <w:proofErr w:type="spellStart"/>
      <w:r w:rsidRPr="00502489">
        <w:rPr>
          <w:sz w:val="20"/>
          <w:szCs w:val="20"/>
        </w:rPr>
        <w:t>related</w:t>
      </w:r>
      <w:proofErr w:type="spellEnd"/>
      <w:r w:rsidRPr="00502489">
        <w:rPr>
          <w:sz w:val="20"/>
          <w:szCs w:val="20"/>
        </w:rPr>
        <w:t xml:space="preserve"> to </w:t>
      </w:r>
      <w:proofErr w:type="spellStart"/>
      <w:r w:rsidRPr="00502489">
        <w:rPr>
          <w:sz w:val="20"/>
          <w:szCs w:val="20"/>
        </w:rPr>
        <w:t>coverage</w:t>
      </w:r>
      <w:proofErr w:type="spellEnd"/>
      <w:r w:rsidRPr="00502489">
        <w:rPr>
          <w:sz w:val="20"/>
          <w:szCs w:val="20"/>
        </w:rPr>
        <w:t xml:space="preserve"> </w:t>
      </w:r>
      <w:proofErr w:type="spellStart"/>
      <w:r w:rsidRPr="00502489">
        <w:rPr>
          <w:sz w:val="20"/>
          <w:szCs w:val="20"/>
        </w:rPr>
        <w:t>enhancements</w:t>
      </w:r>
      <w:proofErr w:type="spellEnd"/>
      <w:r w:rsidRPr="00502489">
        <w:rPr>
          <w:sz w:val="20"/>
          <w:szCs w:val="20"/>
        </w:rPr>
        <w:t xml:space="preserve"> for NR </w:t>
      </w:r>
      <w:proofErr w:type="spellStart"/>
      <w:r w:rsidRPr="00502489">
        <w:rPr>
          <w:sz w:val="20"/>
          <w:szCs w:val="20"/>
        </w:rPr>
        <w:t>over</w:t>
      </w:r>
      <w:proofErr w:type="spellEnd"/>
      <w:r w:rsidRPr="00502489">
        <w:rPr>
          <w:sz w:val="20"/>
          <w:szCs w:val="20"/>
        </w:rPr>
        <w:t xml:space="preserve"> NTN</w:t>
      </w:r>
      <w:r>
        <w:rPr>
          <w:sz w:val="20"/>
          <w:szCs w:val="20"/>
        </w:rPr>
        <w:t xml:space="preserve">”, Nokia, Nokia </w:t>
      </w:r>
      <w:proofErr w:type="spellStart"/>
      <w:r>
        <w:rPr>
          <w:sz w:val="20"/>
          <w:szCs w:val="20"/>
        </w:rPr>
        <w:t>Shangai</w:t>
      </w:r>
      <w:proofErr w:type="spellEnd"/>
      <w:r>
        <w:rPr>
          <w:sz w:val="20"/>
          <w:szCs w:val="20"/>
        </w:rPr>
        <w:t xml:space="preserve"> Bell</w:t>
      </w:r>
      <w:bookmarkEnd w:id="4"/>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44DA" w14:textId="77777777" w:rsidR="00767C12" w:rsidRDefault="00767C12">
      <w:r>
        <w:separator/>
      </w:r>
    </w:p>
  </w:endnote>
  <w:endnote w:type="continuationSeparator" w:id="0">
    <w:p w14:paraId="3EDCB9AB" w14:textId="77777777" w:rsidR="00767C12" w:rsidRDefault="00767C12">
      <w:r>
        <w:continuationSeparator/>
      </w:r>
    </w:p>
  </w:endnote>
  <w:endnote w:type="continuationNotice" w:id="1">
    <w:p w14:paraId="03C6435F" w14:textId="77777777" w:rsidR="00767C12" w:rsidRDefault="00767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F9502" w14:textId="77777777" w:rsidR="00767C12" w:rsidRDefault="00767C12">
      <w:r>
        <w:separator/>
      </w:r>
    </w:p>
  </w:footnote>
  <w:footnote w:type="continuationSeparator" w:id="0">
    <w:p w14:paraId="0A6ACF7B" w14:textId="77777777" w:rsidR="00767C12" w:rsidRDefault="00767C12">
      <w:r>
        <w:continuationSeparator/>
      </w:r>
    </w:p>
  </w:footnote>
  <w:footnote w:type="continuationNotice" w:id="1">
    <w:p w14:paraId="0BDEF16F" w14:textId="77777777" w:rsidR="00767C12" w:rsidRDefault="00767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513CF8"/>
    <w:multiLevelType w:val="hybridMultilevel"/>
    <w:tmpl w:val="99502296"/>
    <w:lvl w:ilvl="0" w:tplc="73225DE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4"/>
  </w:num>
  <w:num w:numId="3" w16cid:durableId="1943798377">
    <w:abstractNumId w:val="0"/>
  </w:num>
  <w:num w:numId="4" w16cid:durableId="1469277388">
    <w:abstractNumId w:val="2"/>
  </w:num>
  <w:num w:numId="5" w16cid:durableId="1018848446">
    <w:abstractNumId w:val="13"/>
  </w:num>
  <w:num w:numId="6" w16cid:durableId="1033068757">
    <w:abstractNumId w:val="25"/>
  </w:num>
  <w:num w:numId="7" w16cid:durableId="1744330563">
    <w:abstractNumId w:val="16"/>
  </w:num>
  <w:num w:numId="8" w16cid:durableId="1979602216">
    <w:abstractNumId w:val="12"/>
  </w:num>
  <w:num w:numId="9" w16cid:durableId="1330985911">
    <w:abstractNumId w:val="29"/>
  </w:num>
  <w:num w:numId="10" w16cid:durableId="848714823">
    <w:abstractNumId w:val="4"/>
  </w:num>
  <w:num w:numId="11" w16cid:durableId="1241450750">
    <w:abstractNumId w:val="18"/>
  </w:num>
  <w:num w:numId="12" w16cid:durableId="1402369672">
    <w:abstractNumId w:val="3"/>
  </w:num>
  <w:num w:numId="13" w16cid:durableId="2068794687">
    <w:abstractNumId w:val="10"/>
  </w:num>
  <w:num w:numId="14" w16cid:durableId="1663004210">
    <w:abstractNumId w:val="22"/>
  </w:num>
  <w:num w:numId="15" w16cid:durableId="633487918">
    <w:abstractNumId w:val="14"/>
  </w:num>
  <w:num w:numId="16" w16cid:durableId="40904577">
    <w:abstractNumId w:val="1"/>
  </w:num>
  <w:num w:numId="17" w16cid:durableId="1334649392">
    <w:abstractNumId w:val="20"/>
  </w:num>
  <w:num w:numId="18" w16cid:durableId="343437106">
    <w:abstractNumId w:val="11"/>
  </w:num>
  <w:num w:numId="19" w16cid:durableId="1341854298">
    <w:abstractNumId w:val="17"/>
  </w:num>
  <w:num w:numId="20" w16cid:durableId="189075330">
    <w:abstractNumId w:val="28"/>
  </w:num>
  <w:num w:numId="21" w16cid:durableId="1782455724">
    <w:abstractNumId w:val="30"/>
  </w:num>
  <w:num w:numId="22" w16cid:durableId="621033433">
    <w:abstractNumId w:val="19"/>
  </w:num>
  <w:num w:numId="23" w16cid:durableId="52853245">
    <w:abstractNumId w:val="9"/>
  </w:num>
  <w:num w:numId="24" w16cid:durableId="230241405">
    <w:abstractNumId w:val="5"/>
  </w:num>
  <w:num w:numId="25" w16cid:durableId="1019703140">
    <w:abstractNumId w:val="26"/>
  </w:num>
  <w:num w:numId="26" w16cid:durableId="796294696">
    <w:abstractNumId w:val="23"/>
  </w:num>
  <w:num w:numId="27" w16cid:durableId="1457216582">
    <w:abstractNumId w:val="8"/>
  </w:num>
  <w:num w:numId="28" w16cid:durableId="1000083594">
    <w:abstractNumId w:val="7"/>
  </w:num>
  <w:num w:numId="29" w16cid:durableId="1333072538">
    <w:abstractNumId w:val="21"/>
  </w:num>
  <w:num w:numId="30" w16cid:durableId="1850294215">
    <w:abstractNumId w:val="27"/>
  </w:num>
  <w:num w:numId="31" w16cid:durableId="108692334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447"/>
    <w:rsid w:val="000C1D59"/>
    <w:rsid w:val="000C2B09"/>
    <w:rsid w:val="000C2B3D"/>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3CCA"/>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1B94"/>
    <w:rsid w:val="001C226F"/>
    <w:rsid w:val="001C5296"/>
    <w:rsid w:val="001C66AC"/>
    <w:rsid w:val="001C6754"/>
    <w:rsid w:val="001C77F0"/>
    <w:rsid w:val="001D16C7"/>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AC2"/>
    <w:rsid w:val="00215AAA"/>
    <w:rsid w:val="0021683C"/>
    <w:rsid w:val="00216F5F"/>
    <w:rsid w:val="00220615"/>
    <w:rsid w:val="00221985"/>
    <w:rsid w:val="00221EC5"/>
    <w:rsid w:val="00222A7A"/>
    <w:rsid w:val="00224A2C"/>
    <w:rsid w:val="00225217"/>
    <w:rsid w:val="002256D9"/>
    <w:rsid w:val="00226577"/>
    <w:rsid w:val="0022687C"/>
    <w:rsid w:val="00226F20"/>
    <w:rsid w:val="0022717B"/>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899"/>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35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7B5"/>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FE2"/>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C7990"/>
    <w:rsid w:val="003C7F12"/>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30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272A4"/>
    <w:rsid w:val="0043052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496"/>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0704"/>
    <w:rsid w:val="004E10CD"/>
    <w:rsid w:val="004E1401"/>
    <w:rsid w:val="004E2892"/>
    <w:rsid w:val="004E362B"/>
    <w:rsid w:val="004E3681"/>
    <w:rsid w:val="004E3D74"/>
    <w:rsid w:val="004E5DE1"/>
    <w:rsid w:val="004E5FE2"/>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489"/>
    <w:rsid w:val="0050309C"/>
    <w:rsid w:val="0050318B"/>
    <w:rsid w:val="00503CF2"/>
    <w:rsid w:val="00504311"/>
    <w:rsid w:val="0050485C"/>
    <w:rsid w:val="00504AC6"/>
    <w:rsid w:val="00504D75"/>
    <w:rsid w:val="00505D51"/>
    <w:rsid w:val="00510ABC"/>
    <w:rsid w:val="00510B0E"/>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119"/>
    <w:rsid w:val="005942FB"/>
    <w:rsid w:val="00595A8C"/>
    <w:rsid w:val="00595C2C"/>
    <w:rsid w:val="00596BBA"/>
    <w:rsid w:val="00596FD4"/>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6A8F"/>
    <w:rsid w:val="005C7243"/>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0D5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83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593"/>
    <w:rsid w:val="006948EF"/>
    <w:rsid w:val="00696D63"/>
    <w:rsid w:val="006A032F"/>
    <w:rsid w:val="006A0DD3"/>
    <w:rsid w:val="006A0F16"/>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3DC"/>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796"/>
    <w:rsid w:val="006E3EC7"/>
    <w:rsid w:val="006E4D0C"/>
    <w:rsid w:val="006E4D1B"/>
    <w:rsid w:val="006E5B78"/>
    <w:rsid w:val="006E67BA"/>
    <w:rsid w:val="006E699D"/>
    <w:rsid w:val="006E6BA3"/>
    <w:rsid w:val="006F1116"/>
    <w:rsid w:val="006F1FA5"/>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2DA"/>
    <w:rsid w:val="00735C6F"/>
    <w:rsid w:val="00735F63"/>
    <w:rsid w:val="00737A31"/>
    <w:rsid w:val="00742A6A"/>
    <w:rsid w:val="00742B44"/>
    <w:rsid w:val="0074656E"/>
    <w:rsid w:val="007472D5"/>
    <w:rsid w:val="00752B03"/>
    <w:rsid w:val="00753454"/>
    <w:rsid w:val="0075371D"/>
    <w:rsid w:val="00753BB5"/>
    <w:rsid w:val="007544F1"/>
    <w:rsid w:val="00755E4A"/>
    <w:rsid w:val="00756832"/>
    <w:rsid w:val="007578B7"/>
    <w:rsid w:val="00757F0B"/>
    <w:rsid w:val="007626D0"/>
    <w:rsid w:val="007651CA"/>
    <w:rsid w:val="00767519"/>
    <w:rsid w:val="00767C12"/>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05E6"/>
    <w:rsid w:val="007A138F"/>
    <w:rsid w:val="007A1640"/>
    <w:rsid w:val="007A1AE4"/>
    <w:rsid w:val="007A39DF"/>
    <w:rsid w:val="007A43ED"/>
    <w:rsid w:val="007A4BDD"/>
    <w:rsid w:val="007A508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211"/>
    <w:rsid w:val="007E44FC"/>
    <w:rsid w:val="007E5AC2"/>
    <w:rsid w:val="007E71BC"/>
    <w:rsid w:val="007E79C5"/>
    <w:rsid w:val="007F0798"/>
    <w:rsid w:val="007F1F60"/>
    <w:rsid w:val="007F2845"/>
    <w:rsid w:val="007F2A69"/>
    <w:rsid w:val="007F38A2"/>
    <w:rsid w:val="007F42B1"/>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147"/>
    <w:rsid w:val="00820DC7"/>
    <w:rsid w:val="00820FFB"/>
    <w:rsid w:val="00821698"/>
    <w:rsid w:val="008221FE"/>
    <w:rsid w:val="00822BF5"/>
    <w:rsid w:val="00823627"/>
    <w:rsid w:val="00824894"/>
    <w:rsid w:val="00824FFF"/>
    <w:rsid w:val="00825366"/>
    <w:rsid w:val="00825E84"/>
    <w:rsid w:val="00826C7B"/>
    <w:rsid w:val="00826DD9"/>
    <w:rsid w:val="00826E01"/>
    <w:rsid w:val="008277A8"/>
    <w:rsid w:val="008278B6"/>
    <w:rsid w:val="00827A48"/>
    <w:rsid w:val="008307ED"/>
    <w:rsid w:val="00830B3B"/>
    <w:rsid w:val="0083350F"/>
    <w:rsid w:val="00834358"/>
    <w:rsid w:val="008346BD"/>
    <w:rsid w:val="00834923"/>
    <w:rsid w:val="008359EB"/>
    <w:rsid w:val="00836255"/>
    <w:rsid w:val="00836B7A"/>
    <w:rsid w:val="00837B90"/>
    <w:rsid w:val="008409AA"/>
    <w:rsid w:val="00840FB8"/>
    <w:rsid w:val="00841B49"/>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485F"/>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503"/>
    <w:rsid w:val="0089716F"/>
    <w:rsid w:val="00897C71"/>
    <w:rsid w:val="008A0F54"/>
    <w:rsid w:val="008A16F9"/>
    <w:rsid w:val="008A1D3E"/>
    <w:rsid w:val="008A3038"/>
    <w:rsid w:val="008A4B16"/>
    <w:rsid w:val="008A4D63"/>
    <w:rsid w:val="008A4E11"/>
    <w:rsid w:val="008A6D62"/>
    <w:rsid w:val="008A79D7"/>
    <w:rsid w:val="008B13E9"/>
    <w:rsid w:val="008B2257"/>
    <w:rsid w:val="008B2436"/>
    <w:rsid w:val="008B3B51"/>
    <w:rsid w:val="008B4057"/>
    <w:rsid w:val="008B4145"/>
    <w:rsid w:val="008B5071"/>
    <w:rsid w:val="008B5290"/>
    <w:rsid w:val="008B6A40"/>
    <w:rsid w:val="008B72EC"/>
    <w:rsid w:val="008C0DC1"/>
    <w:rsid w:val="008C2CFD"/>
    <w:rsid w:val="008C3FDC"/>
    <w:rsid w:val="008C47AD"/>
    <w:rsid w:val="008C603A"/>
    <w:rsid w:val="008C71C8"/>
    <w:rsid w:val="008D166F"/>
    <w:rsid w:val="008D167D"/>
    <w:rsid w:val="008D3116"/>
    <w:rsid w:val="008D492A"/>
    <w:rsid w:val="008D4B58"/>
    <w:rsid w:val="008D4B7F"/>
    <w:rsid w:val="008D4B8A"/>
    <w:rsid w:val="008D6541"/>
    <w:rsid w:val="008D7D7B"/>
    <w:rsid w:val="008E05B1"/>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EFE"/>
    <w:rsid w:val="009036BC"/>
    <w:rsid w:val="00903D30"/>
    <w:rsid w:val="00904414"/>
    <w:rsid w:val="00905197"/>
    <w:rsid w:val="00905C47"/>
    <w:rsid w:val="00906379"/>
    <w:rsid w:val="0090687F"/>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7D0"/>
    <w:rsid w:val="00934D97"/>
    <w:rsid w:val="00935D15"/>
    <w:rsid w:val="009400FB"/>
    <w:rsid w:val="0094074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1A"/>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A64"/>
    <w:rsid w:val="00986CF9"/>
    <w:rsid w:val="0098727B"/>
    <w:rsid w:val="00987416"/>
    <w:rsid w:val="00990C0E"/>
    <w:rsid w:val="00990D75"/>
    <w:rsid w:val="00991093"/>
    <w:rsid w:val="0099163B"/>
    <w:rsid w:val="00992343"/>
    <w:rsid w:val="00993375"/>
    <w:rsid w:val="0099383D"/>
    <w:rsid w:val="009938B1"/>
    <w:rsid w:val="00996258"/>
    <w:rsid w:val="00996306"/>
    <w:rsid w:val="00996744"/>
    <w:rsid w:val="00997CF4"/>
    <w:rsid w:val="009A1169"/>
    <w:rsid w:val="009A164C"/>
    <w:rsid w:val="009A19F0"/>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1B0"/>
    <w:rsid w:val="00A36155"/>
    <w:rsid w:val="00A36189"/>
    <w:rsid w:val="00A3629E"/>
    <w:rsid w:val="00A365AD"/>
    <w:rsid w:val="00A42A85"/>
    <w:rsid w:val="00A42D07"/>
    <w:rsid w:val="00A44B43"/>
    <w:rsid w:val="00A4503E"/>
    <w:rsid w:val="00A450C0"/>
    <w:rsid w:val="00A45468"/>
    <w:rsid w:val="00A471A8"/>
    <w:rsid w:val="00A4791B"/>
    <w:rsid w:val="00A50A46"/>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17B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1DF8"/>
    <w:rsid w:val="00A92066"/>
    <w:rsid w:val="00A92776"/>
    <w:rsid w:val="00A93181"/>
    <w:rsid w:val="00A938E6"/>
    <w:rsid w:val="00A93CCF"/>
    <w:rsid w:val="00A94E4E"/>
    <w:rsid w:val="00A95399"/>
    <w:rsid w:val="00A95514"/>
    <w:rsid w:val="00A95BD5"/>
    <w:rsid w:val="00A95C53"/>
    <w:rsid w:val="00A968E7"/>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218"/>
    <w:rsid w:val="00AC60B4"/>
    <w:rsid w:val="00AC67B6"/>
    <w:rsid w:val="00AC7D98"/>
    <w:rsid w:val="00AD00C5"/>
    <w:rsid w:val="00AD165F"/>
    <w:rsid w:val="00AD2794"/>
    <w:rsid w:val="00AD2DC5"/>
    <w:rsid w:val="00AD3455"/>
    <w:rsid w:val="00AD3CAD"/>
    <w:rsid w:val="00AD5A99"/>
    <w:rsid w:val="00AD65C2"/>
    <w:rsid w:val="00AD69FF"/>
    <w:rsid w:val="00AD702B"/>
    <w:rsid w:val="00AD72E6"/>
    <w:rsid w:val="00AD7C95"/>
    <w:rsid w:val="00AD7FCD"/>
    <w:rsid w:val="00AE2BED"/>
    <w:rsid w:val="00AE3DE1"/>
    <w:rsid w:val="00AE5439"/>
    <w:rsid w:val="00AE61B2"/>
    <w:rsid w:val="00AE6E58"/>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378A"/>
    <w:rsid w:val="00B04048"/>
    <w:rsid w:val="00B04D79"/>
    <w:rsid w:val="00B04F3D"/>
    <w:rsid w:val="00B05287"/>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11D"/>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E99"/>
    <w:rsid w:val="00B422A7"/>
    <w:rsid w:val="00B42A32"/>
    <w:rsid w:val="00B42FA6"/>
    <w:rsid w:val="00B4399E"/>
    <w:rsid w:val="00B43A16"/>
    <w:rsid w:val="00B45CE1"/>
    <w:rsid w:val="00B46A75"/>
    <w:rsid w:val="00B4704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64F"/>
    <w:rsid w:val="00B66594"/>
    <w:rsid w:val="00B67805"/>
    <w:rsid w:val="00B701FE"/>
    <w:rsid w:val="00B70D71"/>
    <w:rsid w:val="00B721CD"/>
    <w:rsid w:val="00B7267A"/>
    <w:rsid w:val="00B726FF"/>
    <w:rsid w:val="00B72A5B"/>
    <w:rsid w:val="00B72AA4"/>
    <w:rsid w:val="00B75454"/>
    <w:rsid w:val="00B75A1F"/>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38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3BF"/>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509"/>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90B"/>
    <w:rsid w:val="00C03309"/>
    <w:rsid w:val="00C037E0"/>
    <w:rsid w:val="00C072FE"/>
    <w:rsid w:val="00C11ADE"/>
    <w:rsid w:val="00C11DD1"/>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4AC"/>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474"/>
    <w:rsid w:val="00C5099B"/>
    <w:rsid w:val="00C50A4E"/>
    <w:rsid w:val="00C51C37"/>
    <w:rsid w:val="00C520B1"/>
    <w:rsid w:val="00C522D6"/>
    <w:rsid w:val="00C52C52"/>
    <w:rsid w:val="00C54020"/>
    <w:rsid w:val="00C5406F"/>
    <w:rsid w:val="00C545C5"/>
    <w:rsid w:val="00C54817"/>
    <w:rsid w:val="00C54A0E"/>
    <w:rsid w:val="00C54F35"/>
    <w:rsid w:val="00C55566"/>
    <w:rsid w:val="00C55696"/>
    <w:rsid w:val="00C57A01"/>
    <w:rsid w:val="00C57A2D"/>
    <w:rsid w:val="00C60B07"/>
    <w:rsid w:val="00C61D4B"/>
    <w:rsid w:val="00C62B0A"/>
    <w:rsid w:val="00C63C52"/>
    <w:rsid w:val="00C63F08"/>
    <w:rsid w:val="00C6528C"/>
    <w:rsid w:val="00C661E8"/>
    <w:rsid w:val="00C6641A"/>
    <w:rsid w:val="00C70084"/>
    <w:rsid w:val="00C7090B"/>
    <w:rsid w:val="00C7235B"/>
    <w:rsid w:val="00C72E18"/>
    <w:rsid w:val="00C731AD"/>
    <w:rsid w:val="00C7380B"/>
    <w:rsid w:val="00C74393"/>
    <w:rsid w:val="00C74421"/>
    <w:rsid w:val="00C75F2F"/>
    <w:rsid w:val="00C75FEE"/>
    <w:rsid w:val="00C76F1D"/>
    <w:rsid w:val="00C77023"/>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13E"/>
    <w:rsid w:val="00CC35AE"/>
    <w:rsid w:val="00CC3DAA"/>
    <w:rsid w:val="00CC4C2C"/>
    <w:rsid w:val="00CC5057"/>
    <w:rsid w:val="00CD078F"/>
    <w:rsid w:val="00CD121E"/>
    <w:rsid w:val="00CD185D"/>
    <w:rsid w:val="00CD28F0"/>
    <w:rsid w:val="00CD3ED8"/>
    <w:rsid w:val="00CD497A"/>
    <w:rsid w:val="00CD761D"/>
    <w:rsid w:val="00CD76B5"/>
    <w:rsid w:val="00CD78B9"/>
    <w:rsid w:val="00CE0ABF"/>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102"/>
    <w:rsid w:val="00D060FF"/>
    <w:rsid w:val="00D064E8"/>
    <w:rsid w:val="00D06546"/>
    <w:rsid w:val="00D06572"/>
    <w:rsid w:val="00D065CD"/>
    <w:rsid w:val="00D0724B"/>
    <w:rsid w:val="00D12325"/>
    <w:rsid w:val="00D12761"/>
    <w:rsid w:val="00D1332A"/>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8DE"/>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463"/>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41D"/>
    <w:rsid w:val="00E30F2D"/>
    <w:rsid w:val="00E319DB"/>
    <w:rsid w:val="00E31AFC"/>
    <w:rsid w:val="00E322C7"/>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222"/>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782"/>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B4F"/>
    <w:rsid w:val="00EE5A27"/>
    <w:rsid w:val="00EE6E77"/>
    <w:rsid w:val="00EE76A9"/>
    <w:rsid w:val="00EE799E"/>
    <w:rsid w:val="00EE7CA8"/>
    <w:rsid w:val="00EE7FA7"/>
    <w:rsid w:val="00EF0322"/>
    <w:rsid w:val="00EF1093"/>
    <w:rsid w:val="00EF1FCB"/>
    <w:rsid w:val="00EF21C3"/>
    <w:rsid w:val="00EF2C14"/>
    <w:rsid w:val="00EF2E6B"/>
    <w:rsid w:val="00EF54D1"/>
    <w:rsid w:val="00EF64CD"/>
    <w:rsid w:val="00EF67BB"/>
    <w:rsid w:val="00EF72F9"/>
    <w:rsid w:val="00F0021E"/>
    <w:rsid w:val="00F0030E"/>
    <w:rsid w:val="00F00CD1"/>
    <w:rsid w:val="00F01E6B"/>
    <w:rsid w:val="00F0241C"/>
    <w:rsid w:val="00F031EE"/>
    <w:rsid w:val="00F05759"/>
    <w:rsid w:val="00F06314"/>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424"/>
    <w:rsid w:val="00F378F1"/>
    <w:rsid w:val="00F403A1"/>
    <w:rsid w:val="00F403DB"/>
    <w:rsid w:val="00F4065A"/>
    <w:rsid w:val="00F4275C"/>
    <w:rsid w:val="00F434B2"/>
    <w:rsid w:val="00F45693"/>
    <w:rsid w:val="00F47491"/>
    <w:rsid w:val="00F52339"/>
    <w:rsid w:val="00F5277A"/>
    <w:rsid w:val="00F53115"/>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075"/>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59AE"/>
    <w:rsid w:val="00F96500"/>
    <w:rsid w:val="00FA2C35"/>
    <w:rsid w:val="00FA31E7"/>
    <w:rsid w:val="00FA413A"/>
    <w:rsid w:val="00FA4144"/>
    <w:rsid w:val="00FA4DDF"/>
    <w:rsid w:val="00FA5C71"/>
    <w:rsid w:val="00FA645E"/>
    <w:rsid w:val="00FA6A01"/>
    <w:rsid w:val="00FA6E7F"/>
    <w:rsid w:val="00FA7114"/>
    <w:rsid w:val="00FB03DF"/>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711D"/>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6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2024-02-19T14:27:00Z</dcterms:created>
  <dcterms:modified xsi:type="dcterms:W3CDTF">2024-02-19T14:27:00Z</dcterms:modified>
</cp:coreProperties>
</file>