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200277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95505B" w:rsidRPr="0095505B">
        <w:rPr>
          <w:bCs/>
          <w:noProof w:val="0"/>
          <w:sz w:val="24"/>
          <w:szCs w:val="24"/>
        </w:rPr>
        <w:t>R1-2400969</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6DD3474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554C6">
        <w:rPr>
          <w:rFonts w:cs="Arial"/>
          <w:b/>
          <w:bCs/>
          <w:sz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56F256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E5A11">
        <w:rPr>
          <w:rFonts w:ascii="Arial" w:hAnsi="Arial" w:cs="Arial"/>
          <w:b/>
          <w:bCs/>
          <w:sz w:val="24"/>
        </w:rPr>
        <w:t xml:space="preserve">Considerations for satellite switch with resync for </w:t>
      </w:r>
      <w:r w:rsidR="00A554C6">
        <w:rPr>
          <w:rFonts w:ascii="Arial" w:hAnsi="Arial" w:cs="Arial"/>
          <w:b/>
          <w:bCs/>
          <w:sz w:val="24"/>
        </w:rPr>
        <w:t xml:space="preserve">NR over NTN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73D846E7" w:rsidR="00056BDE" w:rsidRDefault="005E5A11" w:rsidP="00056BDE">
      <w:r>
        <w:t>For this meeting, RAN2 provided an LS on the topic of satellite switch with resync</w:t>
      </w:r>
      <w:r>
        <w:fldChar w:fldCharType="begin"/>
      </w:r>
      <w:r>
        <w:instrText xml:space="preserve"> REF _Ref158637348 \r \h </w:instrText>
      </w:r>
      <w:r>
        <w:fldChar w:fldCharType="separate"/>
      </w:r>
      <w:r>
        <w:t>[1]</w:t>
      </w:r>
      <w:r>
        <w:fldChar w:fldCharType="end"/>
      </w:r>
      <w:r>
        <w:t>, which was earlier discussed in RAN1 under the topic of “Satellite switch with unchanged PCI”. In the LS RAN2 outlines the agreements that have been reached under this topic and asks whether RAN1 has any concerns.</w:t>
      </w:r>
    </w:p>
    <w:p w14:paraId="7E7704A8" w14:textId="35DC9647" w:rsidR="005E5A11" w:rsidRPr="00056BDE" w:rsidRDefault="005E5A11" w:rsidP="00056BDE">
      <w:r>
        <w:t>In this contribution we will discuss some of the potential concerns that are seen from RAN1 point of view.</w:t>
      </w:r>
    </w:p>
    <w:p w14:paraId="71230483" w14:textId="72F9C930" w:rsidR="00305297" w:rsidRDefault="007820D0" w:rsidP="00A23DCA">
      <w:pPr>
        <w:pStyle w:val="Heading1"/>
      </w:pPr>
      <w:bookmarkStart w:id="1" w:name="_Hlk510705081"/>
      <w:r>
        <w:t>Discussion</w:t>
      </w:r>
    </w:p>
    <w:bookmarkEnd w:id="1"/>
    <w:p w14:paraId="0C6765DB" w14:textId="77777777" w:rsidR="00D95667" w:rsidRPr="0099133A" w:rsidRDefault="00D95667" w:rsidP="00D95667">
      <w:pPr>
        <w:pStyle w:val="Heading2"/>
      </w:pPr>
      <w:r w:rsidRPr="0099133A">
        <w:t>Satellite switching with re-</w:t>
      </w:r>
      <w:proofErr w:type="gramStart"/>
      <w:r w:rsidRPr="0099133A">
        <w:t>sync</w:t>
      </w:r>
      <w:proofErr w:type="gramEnd"/>
    </w:p>
    <w:p w14:paraId="75BB3967" w14:textId="118E871E" w:rsidR="00D95667" w:rsidRDefault="00D95667" w:rsidP="00D95667">
      <w:r>
        <w:t xml:space="preserve">In their LS RAN2 has indicated that they have specified a new feature (“satellite switch with re-sync”), which might be configured in two different types: soft and hard. According to the description of the feature functionality, they are </w:t>
      </w:r>
      <w:proofErr w:type="gramStart"/>
      <w:r>
        <w:t>exactly the same</w:t>
      </w:r>
      <w:proofErr w:type="gramEnd"/>
      <w:r>
        <w:t xml:space="preserve"> except for the differences highlighted in the box below:</w:t>
      </w:r>
    </w:p>
    <w:tbl>
      <w:tblPr>
        <w:tblStyle w:val="Style1"/>
        <w:tblW w:w="0" w:type="auto"/>
        <w:tblLook w:val="04A0" w:firstRow="1" w:lastRow="0" w:firstColumn="1" w:lastColumn="0" w:noHBand="0" w:noVBand="1"/>
      </w:tblPr>
      <w:tblGrid>
        <w:gridCol w:w="3000"/>
        <w:gridCol w:w="3273"/>
        <w:gridCol w:w="3344"/>
      </w:tblGrid>
      <w:tr w:rsidR="00D95667" w14:paraId="4715508A" w14:textId="77777777" w:rsidTr="00EA4DC7">
        <w:trPr>
          <w:cnfStyle w:val="100000000000" w:firstRow="1" w:lastRow="0" w:firstColumn="0" w:lastColumn="0" w:oddVBand="0" w:evenVBand="0" w:oddHBand="0" w:evenHBand="0" w:firstRowFirstColumn="0" w:firstRowLastColumn="0" w:lastRowFirstColumn="0" w:lastRowLastColumn="0"/>
        </w:trPr>
        <w:tc>
          <w:tcPr>
            <w:tcW w:w="3000" w:type="dxa"/>
          </w:tcPr>
          <w:p w14:paraId="2A962320" w14:textId="77777777" w:rsidR="00D95667" w:rsidRDefault="00D95667" w:rsidP="00EA4DC7"/>
        </w:tc>
        <w:tc>
          <w:tcPr>
            <w:tcW w:w="3273" w:type="dxa"/>
          </w:tcPr>
          <w:p w14:paraId="5CCE3C18" w14:textId="77777777" w:rsidR="00D95667" w:rsidRDefault="00D95667" w:rsidP="00EA4DC7">
            <w:r>
              <w:t xml:space="preserve">Soft satellite switch with re-sync </w:t>
            </w:r>
          </w:p>
        </w:tc>
        <w:tc>
          <w:tcPr>
            <w:tcW w:w="3344" w:type="dxa"/>
          </w:tcPr>
          <w:p w14:paraId="6EE44AC5" w14:textId="77777777" w:rsidR="00D95667" w:rsidRDefault="00D95667" w:rsidP="00EA4DC7">
            <w:r>
              <w:t>Hard satellite switch with re-sync</w:t>
            </w:r>
          </w:p>
        </w:tc>
      </w:tr>
      <w:tr w:rsidR="00D95667" w14:paraId="1535CD59" w14:textId="77777777" w:rsidTr="00EA4DC7">
        <w:tc>
          <w:tcPr>
            <w:tcW w:w="3000" w:type="dxa"/>
          </w:tcPr>
          <w:p w14:paraId="17BFAA68" w14:textId="77777777" w:rsidR="00D95667" w:rsidRDefault="00D95667" w:rsidP="00EA4DC7">
            <w:r>
              <w:t>Procedure start time</w:t>
            </w:r>
          </w:p>
        </w:tc>
        <w:tc>
          <w:tcPr>
            <w:tcW w:w="3273" w:type="dxa"/>
          </w:tcPr>
          <w:p w14:paraId="2EF91D51" w14:textId="73769265" w:rsidR="00D95667" w:rsidRDefault="00DB4F8C" w:rsidP="00EA4DC7">
            <w:r>
              <w:t>Between t-start and t-service (UE decision)</w:t>
            </w:r>
          </w:p>
        </w:tc>
        <w:tc>
          <w:tcPr>
            <w:tcW w:w="3344" w:type="dxa"/>
          </w:tcPr>
          <w:p w14:paraId="25E6757C" w14:textId="26DB324A" w:rsidR="00D95667" w:rsidRDefault="00DB4F8C" w:rsidP="00EA4DC7">
            <w:r>
              <w:t>At t-service</w:t>
            </w:r>
          </w:p>
        </w:tc>
      </w:tr>
      <w:tr w:rsidR="00D95667" w14:paraId="6B1DA6EA" w14:textId="77777777" w:rsidTr="00EA4DC7">
        <w:tc>
          <w:tcPr>
            <w:tcW w:w="3000" w:type="dxa"/>
          </w:tcPr>
          <w:p w14:paraId="4C1384C1" w14:textId="77777777" w:rsidR="00D95667" w:rsidRDefault="00D95667" w:rsidP="00EA4DC7">
            <w:r>
              <w:t>SSB information of target cell</w:t>
            </w:r>
          </w:p>
        </w:tc>
        <w:tc>
          <w:tcPr>
            <w:tcW w:w="3273" w:type="dxa"/>
          </w:tcPr>
          <w:p w14:paraId="23D8CD83" w14:textId="4294E392" w:rsidR="00D95667" w:rsidRDefault="00DB4F8C" w:rsidP="00EA4DC7">
            <w:r>
              <w:t>Mandatory</w:t>
            </w:r>
          </w:p>
        </w:tc>
        <w:tc>
          <w:tcPr>
            <w:tcW w:w="3344" w:type="dxa"/>
          </w:tcPr>
          <w:p w14:paraId="4F50D58F" w14:textId="53831093" w:rsidR="00D95667" w:rsidRDefault="00DB4F8C" w:rsidP="00EA4DC7">
            <w:r>
              <w:t>Optional</w:t>
            </w:r>
          </w:p>
        </w:tc>
      </w:tr>
    </w:tbl>
    <w:p w14:paraId="6B994249" w14:textId="77777777" w:rsidR="00D95667" w:rsidRDefault="00D95667" w:rsidP="00D95667"/>
    <w:p w14:paraId="54CD6FE7" w14:textId="5A81DD67" w:rsidR="00573CCB" w:rsidRDefault="00573CCB" w:rsidP="00573CCB">
      <w:r>
        <w:t>RAN2 goes on to ask RAN</w:t>
      </w:r>
      <w:r w:rsidR="00DD7AD3">
        <w:t>1</w:t>
      </w:r>
      <w:r>
        <w:t xml:space="preserve"> whether based on such principles and on the procedural description presented in </w:t>
      </w:r>
      <w:r w:rsidR="00174FF6">
        <w:fldChar w:fldCharType="begin"/>
      </w:r>
      <w:r w:rsidR="00174FF6">
        <w:instrText xml:space="preserve"> REF _Ref159187263 \r \h </w:instrText>
      </w:r>
      <w:r w:rsidR="00174FF6">
        <w:fldChar w:fldCharType="separate"/>
      </w:r>
      <w:r w:rsidR="00174FF6">
        <w:t>[2]</w:t>
      </w:r>
      <w:r w:rsidR="00174FF6">
        <w:fldChar w:fldCharType="end"/>
      </w:r>
      <w:r>
        <w:t>, whether there are concerns to the feasibility of UE performing downlink synchronization to the target satellite while the communication with the source satellite is going on.</w:t>
      </w:r>
    </w:p>
    <w:p w14:paraId="684ACE0D" w14:textId="3125A38C" w:rsidR="00573CCB" w:rsidRDefault="00573CCB" w:rsidP="00573CCB">
      <w:r>
        <w:t xml:space="preserve">The first feasibility concern for the acquisition of synchronization signals between source and target satellite depends on whether the SSB signals radiated by source and target satellites are not overlapping at UE reception. According to the description provided in </w:t>
      </w:r>
      <w:r w:rsidR="00EA1766">
        <w:fldChar w:fldCharType="begin"/>
      </w:r>
      <w:r w:rsidR="00EA1766">
        <w:instrText xml:space="preserve"> REF _Ref158637348 \r \h </w:instrText>
      </w:r>
      <w:r w:rsidR="00EA1766">
        <w:fldChar w:fldCharType="separate"/>
      </w:r>
      <w:r w:rsidR="00EA1766">
        <w:t>[1]</w:t>
      </w:r>
      <w:r w:rsidR="00EA1766">
        <w:fldChar w:fldCharType="end"/>
      </w:r>
      <w:r w:rsidR="00EA1766">
        <w:t xml:space="preserve"> </w:t>
      </w:r>
      <w:r w:rsidR="00EA1766">
        <w:fldChar w:fldCharType="begin"/>
      </w:r>
      <w:r w:rsidR="00EA1766">
        <w:instrText xml:space="preserve"> REF _Ref159187263 \r \h </w:instrText>
      </w:r>
      <w:r w:rsidR="00EA1766">
        <w:fldChar w:fldCharType="separate"/>
      </w:r>
      <w:r w:rsidR="00EA1766">
        <w:t>[2]</w:t>
      </w:r>
      <w:r w:rsidR="00EA1766">
        <w:fldChar w:fldCharType="end"/>
      </w:r>
      <w:r>
        <w:t>, the network will notify the UE about a transmit timing offset between source and target satellites:</w:t>
      </w:r>
    </w:p>
    <w:tbl>
      <w:tblPr>
        <w:tblStyle w:val="TableGrid"/>
        <w:tblW w:w="0" w:type="auto"/>
        <w:tblLook w:val="04A0" w:firstRow="1" w:lastRow="0" w:firstColumn="1" w:lastColumn="0" w:noHBand="0" w:noVBand="1"/>
      </w:tblPr>
      <w:tblGrid>
        <w:gridCol w:w="9617"/>
      </w:tblGrid>
      <w:tr w:rsidR="00573CCB" w14:paraId="4B917789" w14:textId="77777777" w:rsidTr="003C4B3C">
        <w:tc>
          <w:tcPr>
            <w:tcW w:w="9617" w:type="dxa"/>
          </w:tcPr>
          <w:p w14:paraId="18CFC076" w14:textId="77777777" w:rsidR="00573CCB" w:rsidRPr="00E3549E" w:rsidRDefault="00573CCB" w:rsidP="003C4B3C">
            <w:pPr>
              <w:spacing w:before="120" w:after="120" w:line="276" w:lineRule="auto"/>
              <w:jc w:val="both"/>
              <w:rPr>
                <w:rFonts w:ascii="Arial" w:hAnsi="Arial" w:cs="Arial"/>
                <w:color w:val="000000"/>
                <w:lang w:eastAsia="ko-KR"/>
              </w:rPr>
            </w:pPr>
            <w:r w:rsidRPr="00E3549E">
              <w:rPr>
                <w:rFonts w:ascii="Arial" w:hAnsi="Arial" w:cs="Arial"/>
                <w:color w:val="000000"/>
                <w:lang w:eastAsia="ko-KR"/>
              </w:rPr>
              <w:t>Agreements</w:t>
            </w:r>
            <w:r>
              <w:rPr>
                <w:rFonts w:ascii="Arial" w:hAnsi="Arial" w:cs="Arial"/>
                <w:color w:val="000000"/>
                <w:lang w:eastAsia="ko-KR"/>
              </w:rPr>
              <w:t xml:space="preserve"> according to </w:t>
            </w:r>
            <w:r>
              <w:rPr>
                <w:rFonts w:ascii="Arial" w:hAnsi="Arial" w:cs="Arial"/>
                <w:color w:val="000000"/>
                <w:lang w:eastAsia="ko-KR"/>
              </w:rPr>
              <w:fldChar w:fldCharType="begin"/>
            </w:r>
            <w:r>
              <w:rPr>
                <w:rFonts w:ascii="Arial" w:hAnsi="Arial" w:cs="Arial"/>
                <w:color w:val="000000"/>
                <w:lang w:eastAsia="ko-KR"/>
              </w:rPr>
              <w:instrText xml:space="preserve"> REF _Ref158196476 \r \h </w:instrText>
            </w:r>
            <w:r>
              <w:rPr>
                <w:rFonts w:ascii="Arial" w:hAnsi="Arial" w:cs="Arial"/>
                <w:color w:val="000000"/>
                <w:lang w:eastAsia="ko-KR"/>
              </w:rPr>
            </w:r>
            <w:r>
              <w:rPr>
                <w:rFonts w:ascii="Arial" w:hAnsi="Arial" w:cs="Arial"/>
                <w:color w:val="000000"/>
                <w:lang w:eastAsia="ko-KR"/>
              </w:rPr>
              <w:fldChar w:fldCharType="separate"/>
            </w:r>
            <w:r>
              <w:rPr>
                <w:rFonts w:ascii="Arial" w:hAnsi="Arial" w:cs="Arial"/>
                <w:color w:val="000000"/>
                <w:lang w:eastAsia="ko-KR"/>
              </w:rPr>
              <w:t>[2]</w:t>
            </w:r>
            <w:r>
              <w:rPr>
                <w:rFonts w:ascii="Arial" w:hAnsi="Arial" w:cs="Arial"/>
                <w:color w:val="000000"/>
                <w:lang w:eastAsia="ko-KR"/>
              </w:rPr>
              <w:fldChar w:fldCharType="end"/>
            </w:r>
            <w:r w:rsidRPr="00E3549E">
              <w:rPr>
                <w:rFonts w:ascii="Arial" w:hAnsi="Arial" w:cs="Arial"/>
                <w:color w:val="000000"/>
                <w:lang w:eastAsia="ko-KR"/>
              </w:rPr>
              <w:t>:</w:t>
            </w:r>
          </w:p>
          <w:p w14:paraId="75172C61" w14:textId="77777777" w:rsidR="00573CCB" w:rsidRDefault="00573CCB" w:rsidP="00573CCB">
            <w:pPr>
              <w:numPr>
                <w:ilvl w:val="0"/>
                <w:numId w:val="33"/>
              </w:numPr>
              <w:spacing w:before="120" w:after="120" w:line="276" w:lineRule="auto"/>
              <w:jc w:val="both"/>
              <w:rPr>
                <w:rFonts w:ascii="Arial" w:hAnsi="Arial" w:cs="Arial"/>
                <w:color w:val="000000"/>
                <w:highlight w:val="yellow"/>
                <w:lang w:eastAsia="ko-KR"/>
              </w:rPr>
            </w:pPr>
            <w:r w:rsidRPr="00E3549E">
              <w:rPr>
                <w:rFonts w:ascii="Arial" w:hAnsi="Arial" w:cs="Arial"/>
                <w:color w:val="000000"/>
                <w:highlight w:val="yellow"/>
                <w:lang w:eastAsia="ko-KR"/>
              </w:rPr>
              <w:t>At least for soft switch, there needs to be an “SSB time offset” between the source and the target satellite. “SSB time offset” is specified as a new IE, with the same format as “offset” in SSB-MTC4</w:t>
            </w:r>
          </w:p>
          <w:p w14:paraId="150E8A50" w14:textId="77777777" w:rsidR="00573CCB" w:rsidRPr="00E3549E" w:rsidRDefault="00573CCB" w:rsidP="00573CCB">
            <w:pPr>
              <w:numPr>
                <w:ilvl w:val="0"/>
                <w:numId w:val="33"/>
              </w:numPr>
              <w:spacing w:before="120" w:after="120" w:line="276" w:lineRule="auto"/>
              <w:jc w:val="both"/>
              <w:rPr>
                <w:rFonts w:ascii="Arial" w:hAnsi="Arial" w:cs="Arial"/>
                <w:color w:val="000000"/>
                <w:highlight w:val="yellow"/>
                <w:lang w:eastAsia="ko-KR"/>
              </w:rPr>
            </w:pPr>
            <w:r w:rsidRPr="00E3549E">
              <w:rPr>
                <w:rFonts w:ascii="Arial" w:hAnsi="Arial" w:cs="Arial"/>
                <w:color w:val="000000"/>
                <w:highlight w:val="yellow"/>
                <w:lang w:eastAsia="ko-KR"/>
              </w:rPr>
              <w:t xml:space="preserve">Target satellite SSB tracking is handled autonomously by the UE based on the provided SSB time </w:t>
            </w:r>
            <w:proofErr w:type="gramStart"/>
            <w:r w:rsidRPr="00E3549E">
              <w:rPr>
                <w:rFonts w:ascii="Arial" w:hAnsi="Arial" w:cs="Arial"/>
                <w:color w:val="000000"/>
                <w:highlight w:val="yellow"/>
                <w:lang w:eastAsia="ko-KR"/>
              </w:rPr>
              <w:t>offset</w:t>
            </w:r>
            <w:proofErr w:type="gramEnd"/>
            <w:r w:rsidRPr="00E3549E">
              <w:rPr>
                <w:rFonts w:ascii="Arial" w:hAnsi="Arial" w:cs="Arial"/>
                <w:color w:val="000000"/>
                <w:highlight w:val="yellow"/>
                <w:lang w:eastAsia="ko-KR"/>
              </w:rPr>
              <w:t xml:space="preserve"> </w:t>
            </w:r>
          </w:p>
          <w:p w14:paraId="69DCE950" w14:textId="77777777" w:rsidR="00573CCB" w:rsidRPr="00697B29" w:rsidRDefault="00573CCB" w:rsidP="00573CCB">
            <w:pPr>
              <w:numPr>
                <w:ilvl w:val="0"/>
                <w:numId w:val="33"/>
              </w:numPr>
              <w:spacing w:before="120" w:after="120" w:line="276" w:lineRule="auto"/>
              <w:jc w:val="both"/>
              <w:rPr>
                <w:rFonts w:ascii="Arial" w:hAnsi="Arial" w:cs="Arial"/>
                <w:color w:val="000000"/>
                <w:lang w:eastAsia="ko-KR"/>
              </w:rPr>
            </w:pPr>
            <w:r w:rsidRPr="00697B29">
              <w:rPr>
                <w:rFonts w:ascii="Arial" w:hAnsi="Arial" w:cs="Arial"/>
                <w:color w:val="000000"/>
                <w:lang w:eastAsia="ko-KR"/>
              </w:rPr>
              <w:t xml:space="preserve">The “SSB time offset” between the source and the target satellite should be provided in </w:t>
            </w:r>
            <w:proofErr w:type="gramStart"/>
            <w:r w:rsidRPr="00697B29">
              <w:rPr>
                <w:rFonts w:ascii="Arial" w:hAnsi="Arial" w:cs="Arial"/>
                <w:color w:val="000000"/>
                <w:lang w:eastAsia="ko-KR"/>
              </w:rPr>
              <w:t>SIB19</w:t>
            </w:r>
            <w:proofErr w:type="gramEnd"/>
          </w:p>
          <w:p w14:paraId="5AEFA27D" w14:textId="77777777" w:rsidR="00573CCB" w:rsidRPr="00E3549E" w:rsidRDefault="00573CCB" w:rsidP="00573CCB">
            <w:pPr>
              <w:numPr>
                <w:ilvl w:val="0"/>
                <w:numId w:val="33"/>
              </w:numPr>
              <w:spacing w:before="120" w:after="120" w:line="276" w:lineRule="auto"/>
              <w:jc w:val="both"/>
              <w:rPr>
                <w:rFonts w:ascii="Arial" w:hAnsi="Arial" w:cs="Arial"/>
                <w:color w:val="000000"/>
                <w:highlight w:val="yellow"/>
                <w:lang w:eastAsia="ko-KR"/>
              </w:rPr>
            </w:pPr>
            <w:r w:rsidRPr="00E3549E">
              <w:rPr>
                <w:rFonts w:ascii="Arial" w:hAnsi="Arial" w:cs="Arial"/>
                <w:color w:val="000000"/>
                <w:highlight w:val="yellow"/>
                <w:lang w:eastAsia="ko-KR"/>
              </w:rPr>
              <w:t>For soft satellite switch, as a baseline, it is sufficient to provide the “SSB time offset” of the target satellite in SIB19. (Can come back in the next meeting to check whether a different SSB index for the target satellite can optionally be provided)</w:t>
            </w:r>
          </w:p>
          <w:p w14:paraId="36397BFD" w14:textId="77777777" w:rsidR="00573CCB" w:rsidRPr="00E3549E" w:rsidRDefault="00573CCB" w:rsidP="003C4B3C">
            <w:pPr>
              <w:spacing w:before="120" w:after="120" w:line="276" w:lineRule="auto"/>
              <w:jc w:val="both"/>
              <w:rPr>
                <w:rFonts w:ascii="Arial" w:hAnsi="Arial" w:cs="Arial"/>
                <w:color w:val="000000"/>
                <w:highlight w:val="yellow"/>
                <w:lang w:eastAsia="ko-KR"/>
              </w:rPr>
            </w:pPr>
          </w:p>
          <w:p w14:paraId="565665EF" w14:textId="77777777" w:rsidR="00573CCB" w:rsidRDefault="00573CCB" w:rsidP="003C4B3C"/>
        </w:tc>
      </w:tr>
    </w:tbl>
    <w:p w14:paraId="26A3AA53" w14:textId="77777777" w:rsidR="00573CCB" w:rsidRDefault="00573CCB" w:rsidP="00573CCB"/>
    <w:p w14:paraId="6FC9E6AD" w14:textId="77777777" w:rsidR="00573CCB" w:rsidRDefault="00573CCB" w:rsidP="00573CCB">
      <w:r>
        <w:t xml:space="preserve">The following analysis is provided assuming the “offset” is defined similarly to the “offset” used in SMTC4, i.e., it is a transmission time offset at the </w:t>
      </w:r>
      <w:proofErr w:type="spellStart"/>
      <w:r>
        <w:t>gNB</w:t>
      </w:r>
      <w:proofErr w:type="spellEnd"/>
      <w:r>
        <w:t>:</w:t>
      </w:r>
    </w:p>
    <w:tbl>
      <w:tblPr>
        <w:tblStyle w:val="TableGrid"/>
        <w:tblW w:w="0" w:type="auto"/>
        <w:tblLook w:val="04A0" w:firstRow="1" w:lastRow="0" w:firstColumn="1" w:lastColumn="0" w:noHBand="0" w:noVBand="1"/>
      </w:tblPr>
      <w:tblGrid>
        <w:gridCol w:w="9617"/>
      </w:tblGrid>
      <w:tr w:rsidR="00573CCB" w14:paraId="74E4C721" w14:textId="77777777" w:rsidTr="003C4B3C">
        <w:tc>
          <w:tcPr>
            <w:tcW w:w="9617" w:type="dxa"/>
          </w:tcPr>
          <w:p w14:paraId="2FA3615A" w14:textId="77777777" w:rsidR="00573CCB" w:rsidRPr="0043217D" w:rsidRDefault="00573CCB" w:rsidP="003C4B3C">
            <w:pPr>
              <w:pStyle w:val="TAL"/>
              <w:rPr>
                <w:b/>
                <w:iCs/>
                <w:u w:val="single"/>
                <w:lang w:eastAsia="en-GB"/>
              </w:rPr>
            </w:pPr>
            <w:r w:rsidRPr="0043217D">
              <w:rPr>
                <w:b/>
                <w:iCs/>
                <w:u w:val="single"/>
                <w:lang w:eastAsia="en-GB"/>
              </w:rPr>
              <w:t>From TS 38.331:</w:t>
            </w:r>
          </w:p>
          <w:p w14:paraId="29DA7FC1" w14:textId="77777777" w:rsidR="00573CCB" w:rsidRPr="0043217D" w:rsidRDefault="00573CCB" w:rsidP="003C4B3C">
            <w:pPr>
              <w:pStyle w:val="TAL"/>
              <w:rPr>
                <w:b/>
                <w:iCs/>
                <w:lang w:eastAsia="en-GB"/>
              </w:rPr>
            </w:pPr>
          </w:p>
          <w:p w14:paraId="3E63E295" w14:textId="77777777" w:rsidR="00573CCB" w:rsidRDefault="00573CCB" w:rsidP="003C4B3C">
            <w:pPr>
              <w:pStyle w:val="TAL"/>
              <w:rPr>
                <w:b/>
                <w:i/>
                <w:lang w:eastAsia="en-GB"/>
              </w:rPr>
            </w:pPr>
            <w:r>
              <w:rPr>
                <w:b/>
                <w:i/>
                <w:lang w:eastAsia="en-GB"/>
              </w:rPr>
              <w:t>smtc4list</w:t>
            </w:r>
          </w:p>
          <w:p w14:paraId="18F8554F" w14:textId="77777777" w:rsidR="00573CCB" w:rsidRDefault="00573CCB" w:rsidP="003C4B3C">
            <w:r>
              <w:rPr>
                <w:bCs/>
                <w:iCs/>
                <w:lang w:eastAsia="en-GB"/>
              </w:rPr>
              <w:t xml:space="preserve">Measurement timing configuration list for NTN deployments, see clause 5.5.2.10. </w:t>
            </w:r>
            <w:r w:rsidRPr="0043217D">
              <w:rPr>
                <w:bCs/>
                <w:iCs/>
                <w:highlight w:val="cyan"/>
                <w:lang w:eastAsia="en-GB"/>
              </w:rPr>
              <w:t xml:space="preserve">The offset of each SSB-MTC4 in </w:t>
            </w:r>
            <w:r w:rsidRPr="0043217D">
              <w:rPr>
                <w:bCs/>
                <w:i/>
                <w:highlight w:val="cyan"/>
                <w:lang w:eastAsia="en-GB"/>
              </w:rPr>
              <w:t>smtc4list</w:t>
            </w:r>
            <w:r w:rsidRPr="0043217D">
              <w:rPr>
                <w:bCs/>
                <w:iCs/>
                <w:highlight w:val="cyan"/>
                <w:lang w:eastAsia="en-GB"/>
              </w:rPr>
              <w:t xml:space="preserve"> </w:t>
            </w:r>
            <w:proofErr w:type="gramStart"/>
            <w:r w:rsidRPr="0043217D">
              <w:rPr>
                <w:bCs/>
                <w:iCs/>
                <w:highlight w:val="cyan"/>
                <w:lang w:eastAsia="en-GB"/>
              </w:rPr>
              <w:t>is based on the assumption</w:t>
            </w:r>
            <w:proofErr w:type="gramEnd"/>
            <w:r w:rsidRPr="0043217D">
              <w:rPr>
                <w:bCs/>
                <w:iCs/>
                <w:highlight w:val="cyan"/>
                <w:lang w:eastAsia="en-GB"/>
              </w:rPr>
              <w:t xml:space="preserve"> that the </w:t>
            </w:r>
            <w:proofErr w:type="spellStart"/>
            <w:r w:rsidRPr="0043217D">
              <w:rPr>
                <w:bCs/>
                <w:iCs/>
                <w:highlight w:val="cyan"/>
                <w:lang w:eastAsia="en-GB"/>
              </w:rPr>
              <w:t>gNB</w:t>
            </w:r>
            <w:proofErr w:type="spellEnd"/>
            <w:r w:rsidRPr="0043217D">
              <w:rPr>
                <w:bCs/>
                <w:iCs/>
                <w:highlight w:val="cyan"/>
                <w:lang w:eastAsia="en-GB"/>
              </w:rPr>
              <w:t xml:space="preserve">-UE propagation delay difference between the serving cell and neighbour cells equals to 0 </w:t>
            </w:r>
            <w:proofErr w:type="spellStart"/>
            <w:r w:rsidRPr="0043217D">
              <w:rPr>
                <w:bCs/>
                <w:iCs/>
                <w:highlight w:val="cyan"/>
                <w:lang w:eastAsia="en-GB"/>
              </w:rPr>
              <w:t>ms</w:t>
            </w:r>
            <w:proofErr w:type="spellEnd"/>
            <w:r w:rsidRPr="0043217D">
              <w:rPr>
                <w:bCs/>
                <w:iCs/>
                <w:highlight w:val="cyan"/>
                <w:lang w:eastAsia="en-GB"/>
              </w:rPr>
              <w:t xml:space="preserve">, and UE can adjust the actual </w:t>
            </w:r>
            <w:r w:rsidRPr="0043217D">
              <w:rPr>
                <w:bCs/>
                <w:i/>
                <w:highlight w:val="cyan"/>
                <w:lang w:eastAsia="en-GB"/>
              </w:rPr>
              <w:t>offset</w:t>
            </w:r>
            <w:r w:rsidRPr="0043217D">
              <w:rPr>
                <w:bCs/>
                <w:iCs/>
                <w:highlight w:val="cyan"/>
                <w:lang w:eastAsia="en-GB"/>
              </w:rPr>
              <w:t xml:space="preserve"> based on the actual propagation delay difference.</w:t>
            </w:r>
            <w:r>
              <w:rPr>
                <w:bCs/>
                <w:iCs/>
                <w:lang w:eastAsia="en-GB"/>
              </w:rPr>
              <w:t xml:space="preserve"> For a UE that supports less SMTCs than what is included in this list, it is up to the UE to select which SMTCs to consider.</w:t>
            </w:r>
          </w:p>
          <w:p w14:paraId="09ED6FC0" w14:textId="77777777" w:rsidR="00573CCB" w:rsidRDefault="00573CCB" w:rsidP="003C4B3C"/>
        </w:tc>
      </w:tr>
    </w:tbl>
    <w:p w14:paraId="07B8278A" w14:textId="77777777" w:rsidR="00573CCB" w:rsidRDefault="00573CCB" w:rsidP="00573CCB"/>
    <w:p w14:paraId="3ED19800" w14:textId="4CFE9250" w:rsidR="00573CCB" w:rsidRDefault="00C75DC3" w:rsidP="00573CCB">
      <w:r>
        <w:t xml:space="preserve">Following this, the feasibility will be determined based on </w:t>
      </w:r>
      <w:proofErr w:type="gramStart"/>
      <w:r>
        <w:t>whether or not</w:t>
      </w:r>
      <w:proofErr w:type="gramEnd"/>
      <w:r>
        <w:t xml:space="preserve"> </w:t>
      </w:r>
      <w:r w:rsidR="00AC073C">
        <w:t xml:space="preserve">it is possible to </w:t>
      </w:r>
      <w:r w:rsidR="00573CCB">
        <w:t xml:space="preserve">guarantee – via the offset in timing between the two nodes – that the SSB transmitted do not overlap at UE reception. </w:t>
      </w:r>
    </w:p>
    <w:p w14:paraId="09C0FAB1" w14:textId="62201572" w:rsidR="00573CCB" w:rsidRDefault="00573CCB" w:rsidP="00573CCB">
      <w:r>
        <w:t xml:space="preserve">For clarity and brevity, the calculations used to derive the conclusions in this section are presented in Annex A of </w:t>
      </w:r>
      <w:r w:rsidR="00D66D78">
        <w:t>our corresponding RAN4 contribution</w:t>
      </w:r>
      <w:r w:rsidR="009B5495">
        <w:t xml:space="preserve"> </w:t>
      </w:r>
      <w:r w:rsidR="009B5495">
        <w:fldChar w:fldCharType="begin"/>
      </w:r>
      <w:r w:rsidR="009B5495">
        <w:instrText xml:space="preserve"> REF _Ref159187453 \r \h </w:instrText>
      </w:r>
      <w:r w:rsidR="009B5495">
        <w:fldChar w:fldCharType="separate"/>
      </w:r>
      <w:r w:rsidR="009B5495">
        <w:t>[3]</w:t>
      </w:r>
      <w:r w:rsidR="009B5495">
        <w:fldChar w:fldCharType="end"/>
      </w:r>
      <w:r w:rsidR="009B5495">
        <w:t>.</w:t>
      </w:r>
      <w:r>
        <w:t xml:space="preserve"> </w:t>
      </w:r>
      <w:r w:rsidR="003F3FBD">
        <w:t>From this contribution it is found that:</w:t>
      </w:r>
    </w:p>
    <w:p w14:paraId="4E338AE0" w14:textId="77777777" w:rsidR="003F3FBD" w:rsidRPr="00175006" w:rsidRDefault="003F3FBD" w:rsidP="00175006">
      <w:pPr>
        <w:rPr>
          <w:b/>
          <w:bCs/>
        </w:rPr>
      </w:pPr>
      <w:r w:rsidRPr="00175006">
        <w:rPr>
          <w:b/>
          <w:bCs/>
        </w:rPr>
        <w:t xml:space="preserve">Observation 1: </w:t>
      </w:r>
      <w:r w:rsidR="00573CCB" w:rsidRPr="00175006">
        <w:rPr>
          <w:b/>
          <w:bCs/>
        </w:rPr>
        <w:t xml:space="preserve">For NGSO, it is possible to guarantee that a proper offset can be set in any scenario to avoid overlap between SSBs. </w:t>
      </w:r>
    </w:p>
    <w:p w14:paraId="29FABE25" w14:textId="3118A07E" w:rsidR="00573CCB" w:rsidRPr="00175006" w:rsidRDefault="003F3FBD" w:rsidP="00175006">
      <w:pPr>
        <w:rPr>
          <w:b/>
          <w:bCs/>
        </w:rPr>
      </w:pPr>
      <w:r w:rsidRPr="00175006">
        <w:rPr>
          <w:b/>
          <w:bCs/>
        </w:rPr>
        <w:t xml:space="preserve">Observation 2: </w:t>
      </w:r>
      <w:r w:rsidR="00573CCB" w:rsidRPr="00175006">
        <w:rPr>
          <w:b/>
          <w:bCs/>
        </w:rPr>
        <w:t xml:space="preserve">For GSO, it is not always possible to guarantee non overlapping SSB at UE reception in every scenario simply based on offset. </w:t>
      </w:r>
    </w:p>
    <w:p w14:paraId="135D6B49" w14:textId="4850A1DD" w:rsidR="00573CCB" w:rsidRPr="00175006" w:rsidRDefault="00175006" w:rsidP="00175006">
      <w:pPr>
        <w:rPr>
          <w:b/>
          <w:bCs/>
        </w:rPr>
      </w:pPr>
      <w:r w:rsidRPr="00175006">
        <w:rPr>
          <w:b/>
          <w:bCs/>
        </w:rPr>
        <w:t xml:space="preserve">Proposal 1: RAN1 should </w:t>
      </w:r>
      <w:proofErr w:type="gramStart"/>
      <w:r w:rsidRPr="00175006">
        <w:rPr>
          <w:b/>
          <w:bCs/>
        </w:rPr>
        <w:t>make an observation</w:t>
      </w:r>
      <w:proofErr w:type="gramEnd"/>
      <w:r w:rsidRPr="00175006">
        <w:rPr>
          <w:b/>
          <w:bCs/>
        </w:rPr>
        <w:t xml:space="preserve"> that soft satellite switch is only feasible for </w:t>
      </w:r>
      <w:r w:rsidR="009C3F04">
        <w:rPr>
          <w:b/>
          <w:bCs/>
        </w:rPr>
        <w:t>N</w:t>
      </w:r>
      <w:r w:rsidRPr="00175006">
        <w:rPr>
          <w:b/>
          <w:bCs/>
        </w:rPr>
        <w:t>GSO scenarios.</w:t>
      </w:r>
    </w:p>
    <w:p w14:paraId="01E97AD5" w14:textId="2D50B6B2" w:rsidR="00573CCB" w:rsidRDefault="00573CCB" w:rsidP="00573CCB">
      <w:r>
        <w:t>Another critical aspect of the soft-switch operation is that the current understanding is that during the “soft-switch duration”, i.e., the interval between t-start and t-service, both satellites will be broadcasting the same cell, while UEs are slowly moved from one anchor satellite to another</w:t>
      </w:r>
      <w:r w:rsidR="004027EB">
        <w:t>, mainly driven by different UEs internal triggers</w:t>
      </w:r>
      <w:r>
        <w:t xml:space="preserve">. This means, that DL transmissions in the target satellite start earlier for some UEs, while other UEs might still be </w:t>
      </w:r>
      <w:r w:rsidR="004027EB">
        <w:t xml:space="preserve">attached to </w:t>
      </w:r>
      <w:r>
        <w:t xml:space="preserve">the source satellite. </w:t>
      </w:r>
    </w:p>
    <w:p w14:paraId="7519F067" w14:textId="38955742" w:rsidR="00573CCB" w:rsidRDefault="00573CCB" w:rsidP="00573CCB">
      <w:r>
        <w:t xml:space="preserve">However, as it is demonstrated in the annex </w:t>
      </w:r>
      <w:r w:rsidR="004027EB">
        <w:t xml:space="preserve">in </w:t>
      </w:r>
      <w:r w:rsidR="004027EB">
        <w:fldChar w:fldCharType="begin"/>
      </w:r>
      <w:r w:rsidR="004027EB">
        <w:instrText xml:space="preserve"> REF _Ref159187453 \r \h </w:instrText>
      </w:r>
      <w:r w:rsidR="004027EB">
        <w:fldChar w:fldCharType="separate"/>
      </w:r>
      <w:r w:rsidR="004027EB">
        <w:t>[3]</w:t>
      </w:r>
      <w:r w:rsidR="004027EB">
        <w:fldChar w:fldCharType="end"/>
      </w:r>
      <w:r w:rsidR="004027EB">
        <w:t xml:space="preserve">, </w:t>
      </w:r>
      <w:r>
        <w:t>the DL delay differential observed by different UEs in the same NGSO cell can be as high as 6</w:t>
      </w:r>
      <w:r w:rsidR="009C3F04">
        <w:t>.</w:t>
      </w:r>
      <w:r>
        <w:t xml:space="preserve">28 </w:t>
      </w:r>
      <w:proofErr w:type="spellStart"/>
      <w:r>
        <w:t>ms</w:t>
      </w:r>
      <w:proofErr w:type="spellEnd"/>
      <w:r>
        <w:t xml:space="preserve">. </w:t>
      </w:r>
      <w:proofErr w:type="gramStart"/>
      <w:r>
        <w:t>Meaning, the overlapping slots</w:t>
      </w:r>
      <w:proofErr w:type="gramEnd"/>
      <w:r>
        <w:t xml:space="preserve"> vary significantly depending on the observing UE. </w:t>
      </w:r>
    </w:p>
    <w:p w14:paraId="7F289401" w14:textId="5402F3CF" w:rsidR="00573CCB" w:rsidRPr="006F15EA" w:rsidRDefault="00573CCB" w:rsidP="00573CCB">
      <w:r>
        <w:t xml:space="preserve">In this case, source and target satellites will both be broadcasting the same cell, in the same </w:t>
      </w:r>
      <w:r w:rsidR="009C3F04">
        <w:t xml:space="preserve">geographical </w:t>
      </w:r>
      <w:r>
        <w:t xml:space="preserve">area but with different overlapping slots at UE reception. The DL payload data allocated to some UEs will necessarily constitute interference to the other UEs. In this case, depending on the difference in power between source and target satellite one or both SSBs (from source and target) might not be fully decodable.  </w:t>
      </w:r>
    </w:p>
    <w:p w14:paraId="1C067EE8" w14:textId="15ECAA32" w:rsidR="00573CCB" w:rsidRPr="00C91C0B" w:rsidRDefault="00C91C0B" w:rsidP="00C91C0B">
      <w:pPr>
        <w:rPr>
          <w:b/>
          <w:bCs/>
        </w:rPr>
      </w:pPr>
      <w:r w:rsidRPr="00C91C0B">
        <w:rPr>
          <w:b/>
          <w:bCs/>
        </w:rPr>
        <w:t>O</w:t>
      </w:r>
      <w:r w:rsidR="00374CE7" w:rsidRPr="00C91C0B">
        <w:rPr>
          <w:b/>
          <w:bCs/>
        </w:rPr>
        <w:t xml:space="preserve">bservation 3: </w:t>
      </w:r>
      <w:r w:rsidR="00573CCB" w:rsidRPr="00C91C0B">
        <w:rPr>
          <w:b/>
          <w:bCs/>
        </w:rPr>
        <w:t>Depending on the difference in power between source and target satellite, the destructive interference caused by the DL payload from either source or target satellite might make the SSB data from the other satellite not decodable at the UE side.</w:t>
      </w:r>
    </w:p>
    <w:p w14:paraId="3C3F2EC1" w14:textId="697A91E6" w:rsidR="00D95667" w:rsidRPr="004B40B2" w:rsidRDefault="00C91C0B" w:rsidP="004B40B2">
      <w:pPr>
        <w:pStyle w:val="RAN4observation0"/>
        <w:numPr>
          <w:ilvl w:val="0"/>
          <w:numId w:val="0"/>
        </w:numPr>
        <w:rPr>
          <w:b/>
          <w:bCs/>
        </w:rPr>
      </w:pPr>
      <w:r w:rsidRPr="003167B8">
        <w:rPr>
          <w:b/>
          <w:bCs/>
        </w:rPr>
        <w:t xml:space="preserve">Proposal 2: RAN1 should </w:t>
      </w:r>
      <w:proofErr w:type="gramStart"/>
      <w:r w:rsidRPr="003167B8">
        <w:rPr>
          <w:b/>
          <w:bCs/>
        </w:rPr>
        <w:t>make an observation</w:t>
      </w:r>
      <w:proofErr w:type="gramEnd"/>
      <w:r w:rsidRPr="003167B8">
        <w:rPr>
          <w:b/>
          <w:bCs/>
        </w:rPr>
        <w:t xml:space="preserve"> that </w:t>
      </w:r>
      <w:r w:rsidR="000F1A36" w:rsidRPr="003167B8">
        <w:rPr>
          <w:b/>
          <w:bCs/>
        </w:rPr>
        <w:t>soft satellite switch may create excessive inter-satellite interference during the switching window</w:t>
      </w:r>
      <w:r w:rsidR="003167B8" w:rsidRPr="003167B8">
        <w:rPr>
          <w:b/>
          <w:bCs/>
        </w:rPr>
        <w:t xml:space="preserve"> for both UL and DL.</w:t>
      </w:r>
    </w:p>
    <w:p w14:paraId="5EF16EB0" w14:textId="77777777" w:rsidR="00D95667" w:rsidRPr="008E4A52" w:rsidRDefault="00D95667" w:rsidP="00D95667"/>
    <w:p w14:paraId="10445A01" w14:textId="480CC7E1" w:rsidR="00885580" w:rsidRDefault="007820D0" w:rsidP="00885580">
      <w:pPr>
        <w:pStyle w:val="Heading1"/>
      </w:pPr>
      <w:r>
        <w:t>Conclusion</w:t>
      </w:r>
    </w:p>
    <w:p w14:paraId="384567B8" w14:textId="4B53D43A" w:rsidR="001337A5" w:rsidRDefault="004B40B2" w:rsidP="001F201D">
      <w:r>
        <w:t xml:space="preserve">In this contribution we have </w:t>
      </w:r>
      <w:proofErr w:type="spellStart"/>
      <w:r>
        <w:t>analyzed</w:t>
      </w:r>
      <w:proofErr w:type="spellEnd"/>
      <w:r>
        <w:t xml:space="preserve"> the LS from RAN2 and have the following observations and proposals:</w:t>
      </w:r>
    </w:p>
    <w:p w14:paraId="521CC54B" w14:textId="77777777" w:rsidR="00FC5274" w:rsidRPr="00175006" w:rsidRDefault="00FC5274" w:rsidP="00FC5274">
      <w:pPr>
        <w:rPr>
          <w:b/>
          <w:bCs/>
        </w:rPr>
      </w:pPr>
      <w:r w:rsidRPr="00175006">
        <w:rPr>
          <w:b/>
          <w:bCs/>
        </w:rPr>
        <w:t xml:space="preserve">Observation 1: For NGSO, it is possible to guarantee that a proper offset can be set in any scenario to avoid overlap between SSBs. </w:t>
      </w:r>
    </w:p>
    <w:p w14:paraId="34C9B280" w14:textId="77777777" w:rsidR="00FC5274" w:rsidRPr="00175006" w:rsidRDefault="00FC5274" w:rsidP="00FC5274">
      <w:pPr>
        <w:rPr>
          <w:b/>
          <w:bCs/>
        </w:rPr>
      </w:pPr>
      <w:r w:rsidRPr="00175006">
        <w:rPr>
          <w:b/>
          <w:bCs/>
        </w:rPr>
        <w:lastRenderedPageBreak/>
        <w:t xml:space="preserve">Observation 2: For GSO, it is not always possible to guarantee non overlapping SSB at UE reception in every scenario simply based on offset. </w:t>
      </w:r>
    </w:p>
    <w:p w14:paraId="77F70D5D" w14:textId="77777777" w:rsidR="00FC5274" w:rsidRPr="00C91C0B" w:rsidRDefault="00FC5274" w:rsidP="00FC5274">
      <w:pPr>
        <w:rPr>
          <w:b/>
          <w:bCs/>
        </w:rPr>
      </w:pPr>
      <w:r w:rsidRPr="00C91C0B">
        <w:rPr>
          <w:b/>
          <w:bCs/>
        </w:rPr>
        <w:t>Observation 3: Depending on the difference in power between source and target satellite, the destructive interference caused by the DL payload from either source or target satellite might make the SSB data from the other satellite not decodable at the UE side.</w:t>
      </w:r>
    </w:p>
    <w:p w14:paraId="63705306" w14:textId="77777777" w:rsidR="00FC5274" w:rsidRPr="00175006" w:rsidRDefault="00FC5274" w:rsidP="00FC5274">
      <w:pPr>
        <w:rPr>
          <w:b/>
          <w:bCs/>
        </w:rPr>
      </w:pPr>
      <w:r w:rsidRPr="00175006">
        <w:rPr>
          <w:b/>
          <w:bCs/>
        </w:rPr>
        <w:t xml:space="preserve">Proposal 1: RAN1 should </w:t>
      </w:r>
      <w:proofErr w:type="gramStart"/>
      <w:r w:rsidRPr="00175006">
        <w:rPr>
          <w:b/>
          <w:bCs/>
        </w:rPr>
        <w:t>make an observation</w:t>
      </w:r>
      <w:proofErr w:type="gramEnd"/>
      <w:r w:rsidRPr="00175006">
        <w:rPr>
          <w:b/>
          <w:bCs/>
        </w:rPr>
        <w:t xml:space="preserve"> that soft satellite switch is only feasible for </w:t>
      </w:r>
      <w:r>
        <w:rPr>
          <w:b/>
          <w:bCs/>
        </w:rPr>
        <w:t>N</w:t>
      </w:r>
      <w:r w:rsidRPr="00175006">
        <w:rPr>
          <w:b/>
          <w:bCs/>
        </w:rPr>
        <w:t>GSO scenarios.</w:t>
      </w:r>
    </w:p>
    <w:p w14:paraId="5BC8A7DD" w14:textId="77777777" w:rsidR="00FC5274" w:rsidRPr="004B40B2" w:rsidRDefault="00FC5274" w:rsidP="00FC5274">
      <w:pPr>
        <w:pStyle w:val="RAN4observation0"/>
        <w:numPr>
          <w:ilvl w:val="0"/>
          <w:numId w:val="0"/>
        </w:numPr>
        <w:rPr>
          <w:b/>
          <w:bCs/>
        </w:rPr>
      </w:pPr>
      <w:r w:rsidRPr="003167B8">
        <w:rPr>
          <w:b/>
          <w:bCs/>
        </w:rPr>
        <w:t xml:space="preserve">Proposal 2: RAN1 should </w:t>
      </w:r>
      <w:proofErr w:type="gramStart"/>
      <w:r w:rsidRPr="003167B8">
        <w:rPr>
          <w:b/>
          <w:bCs/>
        </w:rPr>
        <w:t>make an observation</w:t>
      </w:r>
      <w:proofErr w:type="gramEnd"/>
      <w:r w:rsidRPr="003167B8">
        <w:rPr>
          <w:b/>
          <w:bCs/>
        </w:rPr>
        <w:t xml:space="preserve"> that soft satellite switch may create excessive inter-satellite interference during the switching window for both UL and DL.</w:t>
      </w:r>
    </w:p>
    <w:p w14:paraId="58DFD1CC" w14:textId="77777777" w:rsidR="004B40B2" w:rsidRPr="000A6ACE" w:rsidRDefault="004B40B2" w:rsidP="001F201D"/>
    <w:p w14:paraId="53CD9119" w14:textId="5206E1F5" w:rsidR="00885580" w:rsidRPr="00437431" w:rsidRDefault="00885580" w:rsidP="00885580">
      <w:pPr>
        <w:pStyle w:val="Heading1"/>
        <w:numPr>
          <w:ilvl w:val="0"/>
          <w:numId w:val="0"/>
        </w:numPr>
      </w:pPr>
      <w:r w:rsidRPr="00437431">
        <w:t>References</w:t>
      </w:r>
    </w:p>
    <w:bookmarkStart w:id="2" w:name="_Ref158637348"/>
    <w:p w14:paraId="2C6979C9" w14:textId="1973FF6E" w:rsidR="00205A4B" w:rsidRPr="00437431" w:rsidRDefault="005E5A11" w:rsidP="00205A4B">
      <w:pPr>
        <w:pStyle w:val="ListParagraph"/>
        <w:numPr>
          <w:ilvl w:val="0"/>
          <w:numId w:val="27"/>
        </w:numPr>
        <w:rPr>
          <w:sz w:val="20"/>
          <w:szCs w:val="20"/>
        </w:rPr>
      </w:pPr>
      <w:r w:rsidRPr="00437431">
        <w:rPr>
          <w:sz w:val="20"/>
          <w:szCs w:val="20"/>
        </w:rPr>
        <w:fldChar w:fldCharType="begin"/>
      </w:r>
      <w:r w:rsidRPr="00437431">
        <w:rPr>
          <w:sz w:val="20"/>
          <w:szCs w:val="20"/>
        </w:rPr>
        <w:instrText>HYPERLINK "https://www.3gpp.org/ftp/TSG_RAN/WG1_RL1/TSGR1_116/Docs/R1-2400009.zip"</w:instrText>
      </w:r>
      <w:r w:rsidRPr="00437431">
        <w:rPr>
          <w:sz w:val="20"/>
          <w:szCs w:val="20"/>
        </w:rPr>
      </w:r>
      <w:r w:rsidRPr="00437431">
        <w:rPr>
          <w:sz w:val="20"/>
          <w:szCs w:val="20"/>
        </w:rPr>
        <w:fldChar w:fldCharType="separate"/>
      </w:r>
      <w:r w:rsidRPr="00437431">
        <w:rPr>
          <w:rStyle w:val="Hyperlink"/>
          <w:sz w:val="20"/>
          <w:szCs w:val="20"/>
        </w:rPr>
        <w:t>R1-2400009</w:t>
      </w:r>
      <w:r w:rsidRPr="00437431">
        <w:rPr>
          <w:sz w:val="20"/>
          <w:szCs w:val="20"/>
        </w:rPr>
        <w:fldChar w:fldCharType="end"/>
      </w:r>
      <w:r w:rsidRPr="00437431">
        <w:rPr>
          <w:sz w:val="20"/>
          <w:szCs w:val="20"/>
        </w:rPr>
        <w:t xml:space="preserve">, ”LS on RAN2 </w:t>
      </w:r>
      <w:proofErr w:type="spellStart"/>
      <w:r w:rsidRPr="00437431">
        <w:rPr>
          <w:sz w:val="20"/>
          <w:szCs w:val="20"/>
        </w:rPr>
        <w:t>agreements</w:t>
      </w:r>
      <w:proofErr w:type="spellEnd"/>
      <w:r w:rsidRPr="00437431">
        <w:rPr>
          <w:sz w:val="20"/>
          <w:szCs w:val="20"/>
        </w:rPr>
        <w:t xml:space="preserve"> for </w:t>
      </w:r>
      <w:proofErr w:type="spellStart"/>
      <w:r w:rsidRPr="00437431">
        <w:rPr>
          <w:sz w:val="20"/>
          <w:szCs w:val="20"/>
        </w:rPr>
        <w:t>satellite</w:t>
      </w:r>
      <w:proofErr w:type="spellEnd"/>
      <w:r w:rsidRPr="00437431">
        <w:rPr>
          <w:sz w:val="20"/>
          <w:szCs w:val="20"/>
        </w:rPr>
        <w:t xml:space="preserve"> </w:t>
      </w:r>
      <w:proofErr w:type="spellStart"/>
      <w:r w:rsidRPr="00437431">
        <w:rPr>
          <w:sz w:val="20"/>
          <w:szCs w:val="20"/>
        </w:rPr>
        <w:t>switch</w:t>
      </w:r>
      <w:proofErr w:type="spellEnd"/>
      <w:r w:rsidRPr="00437431">
        <w:rPr>
          <w:sz w:val="20"/>
          <w:szCs w:val="20"/>
        </w:rPr>
        <w:t xml:space="preserve"> </w:t>
      </w:r>
      <w:proofErr w:type="spellStart"/>
      <w:r w:rsidRPr="00437431">
        <w:rPr>
          <w:sz w:val="20"/>
          <w:szCs w:val="20"/>
        </w:rPr>
        <w:t>with</w:t>
      </w:r>
      <w:proofErr w:type="spellEnd"/>
      <w:r w:rsidRPr="00437431">
        <w:rPr>
          <w:sz w:val="20"/>
          <w:szCs w:val="20"/>
        </w:rPr>
        <w:t xml:space="preserve"> </w:t>
      </w:r>
      <w:proofErr w:type="spellStart"/>
      <w:r w:rsidRPr="00437431">
        <w:rPr>
          <w:sz w:val="20"/>
          <w:szCs w:val="20"/>
        </w:rPr>
        <w:t>resync</w:t>
      </w:r>
      <w:proofErr w:type="spellEnd"/>
      <w:r w:rsidRPr="00437431">
        <w:rPr>
          <w:sz w:val="20"/>
          <w:szCs w:val="20"/>
        </w:rPr>
        <w:t>”, RAN2 (R2-2314016)</w:t>
      </w:r>
      <w:bookmarkEnd w:id="2"/>
    </w:p>
    <w:p w14:paraId="1E2FDF54" w14:textId="77777777" w:rsidR="00174FF6" w:rsidRPr="00437431" w:rsidRDefault="00174FF6" w:rsidP="00174FF6">
      <w:pPr>
        <w:pStyle w:val="ListParagraph"/>
        <w:numPr>
          <w:ilvl w:val="0"/>
          <w:numId w:val="27"/>
        </w:numPr>
        <w:rPr>
          <w:sz w:val="20"/>
          <w:szCs w:val="20"/>
        </w:rPr>
      </w:pPr>
      <w:bookmarkStart w:id="3" w:name="_Ref159187263"/>
      <w:r w:rsidRPr="00437431">
        <w:rPr>
          <w:sz w:val="20"/>
          <w:szCs w:val="20"/>
        </w:rPr>
        <w:t>R2-2313877, “RACH-</w:t>
      </w:r>
      <w:proofErr w:type="spellStart"/>
      <w:r w:rsidRPr="00437431">
        <w:rPr>
          <w:sz w:val="20"/>
          <w:szCs w:val="20"/>
        </w:rPr>
        <w:t>less</w:t>
      </w:r>
      <w:proofErr w:type="spellEnd"/>
      <w:r w:rsidRPr="00437431">
        <w:rPr>
          <w:sz w:val="20"/>
          <w:szCs w:val="20"/>
        </w:rPr>
        <w:t xml:space="preserve"> </w:t>
      </w:r>
      <w:proofErr w:type="spellStart"/>
      <w:r w:rsidRPr="00437431">
        <w:rPr>
          <w:sz w:val="20"/>
          <w:szCs w:val="20"/>
        </w:rPr>
        <w:t>satellite</w:t>
      </w:r>
      <w:proofErr w:type="spellEnd"/>
      <w:r w:rsidRPr="00437431">
        <w:rPr>
          <w:sz w:val="20"/>
          <w:szCs w:val="20"/>
        </w:rPr>
        <w:t xml:space="preserve"> </w:t>
      </w:r>
      <w:proofErr w:type="spellStart"/>
      <w:r w:rsidRPr="00437431">
        <w:rPr>
          <w:sz w:val="20"/>
          <w:szCs w:val="20"/>
        </w:rPr>
        <w:t>switch</w:t>
      </w:r>
      <w:proofErr w:type="spellEnd"/>
      <w:r w:rsidRPr="00437431">
        <w:rPr>
          <w:sz w:val="20"/>
          <w:szCs w:val="20"/>
        </w:rPr>
        <w:t xml:space="preserve"> </w:t>
      </w:r>
      <w:proofErr w:type="spellStart"/>
      <w:r w:rsidRPr="00437431">
        <w:rPr>
          <w:sz w:val="20"/>
          <w:szCs w:val="20"/>
        </w:rPr>
        <w:t>procedure</w:t>
      </w:r>
      <w:proofErr w:type="spellEnd"/>
      <w:r w:rsidRPr="00437431">
        <w:rPr>
          <w:sz w:val="20"/>
          <w:szCs w:val="20"/>
        </w:rPr>
        <w:t xml:space="preserve">”, Apple, RAN2#124bis, Chicago, USA, </w:t>
      </w:r>
      <w:proofErr w:type="spellStart"/>
      <w:r w:rsidRPr="00437431">
        <w:rPr>
          <w:sz w:val="20"/>
          <w:szCs w:val="20"/>
        </w:rPr>
        <w:t>Nov</w:t>
      </w:r>
      <w:proofErr w:type="spellEnd"/>
      <w:r w:rsidRPr="00437431">
        <w:rPr>
          <w:sz w:val="20"/>
          <w:szCs w:val="20"/>
        </w:rPr>
        <w:t xml:space="preserve"> 13 – </w:t>
      </w:r>
      <w:proofErr w:type="spellStart"/>
      <w:r w:rsidRPr="00437431">
        <w:rPr>
          <w:sz w:val="20"/>
          <w:szCs w:val="20"/>
        </w:rPr>
        <w:t>Nov</w:t>
      </w:r>
      <w:proofErr w:type="spellEnd"/>
      <w:r w:rsidRPr="00437431">
        <w:rPr>
          <w:sz w:val="20"/>
          <w:szCs w:val="20"/>
        </w:rPr>
        <w:t xml:space="preserve"> 17, 2023.</w:t>
      </w:r>
      <w:bookmarkEnd w:id="3"/>
    </w:p>
    <w:p w14:paraId="5C76E798" w14:textId="697C15A4" w:rsidR="00D66D78" w:rsidRPr="00437431" w:rsidRDefault="00437431" w:rsidP="00174FF6">
      <w:pPr>
        <w:pStyle w:val="ListParagraph"/>
        <w:numPr>
          <w:ilvl w:val="0"/>
          <w:numId w:val="27"/>
        </w:numPr>
        <w:rPr>
          <w:sz w:val="20"/>
          <w:szCs w:val="20"/>
        </w:rPr>
      </w:pPr>
      <w:bookmarkStart w:id="4" w:name="_Ref159187453"/>
      <w:r w:rsidRPr="00437431">
        <w:rPr>
          <w:sz w:val="20"/>
          <w:szCs w:val="20"/>
        </w:rPr>
        <w:t>R4-2402384</w:t>
      </w:r>
      <w:r w:rsidR="00D66D78" w:rsidRPr="00437431">
        <w:rPr>
          <w:sz w:val="20"/>
          <w:szCs w:val="20"/>
        </w:rPr>
        <w:t xml:space="preserve">, </w:t>
      </w:r>
      <w:r w:rsidR="009B5495" w:rsidRPr="00437431">
        <w:rPr>
          <w:sz w:val="20"/>
          <w:szCs w:val="20"/>
        </w:rPr>
        <w:t>”</w:t>
      </w:r>
      <w:proofErr w:type="spellStart"/>
      <w:r w:rsidRPr="00437431">
        <w:rPr>
          <w:sz w:val="20"/>
          <w:szCs w:val="20"/>
        </w:rPr>
        <w:t>Considerations</w:t>
      </w:r>
      <w:proofErr w:type="spellEnd"/>
      <w:r w:rsidRPr="00437431">
        <w:rPr>
          <w:sz w:val="20"/>
          <w:szCs w:val="20"/>
        </w:rPr>
        <w:t xml:space="preserve"> on </w:t>
      </w:r>
      <w:proofErr w:type="spellStart"/>
      <w:r w:rsidRPr="00437431">
        <w:rPr>
          <w:sz w:val="20"/>
          <w:szCs w:val="20"/>
        </w:rPr>
        <w:t>Satellite</w:t>
      </w:r>
      <w:proofErr w:type="spellEnd"/>
      <w:r w:rsidRPr="00437431">
        <w:rPr>
          <w:sz w:val="20"/>
          <w:szCs w:val="20"/>
        </w:rPr>
        <w:t xml:space="preserve"> </w:t>
      </w:r>
      <w:proofErr w:type="spellStart"/>
      <w:r w:rsidRPr="00437431">
        <w:rPr>
          <w:sz w:val="20"/>
          <w:szCs w:val="20"/>
        </w:rPr>
        <w:t>Switching</w:t>
      </w:r>
      <w:proofErr w:type="spellEnd"/>
      <w:r w:rsidRPr="00437431">
        <w:rPr>
          <w:sz w:val="20"/>
          <w:szCs w:val="20"/>
        </w:rPr>
        <w:t xml:space="preserve"> </w:t>
      </w:r>
      <w:proofErr w:type="spellStart"/>
      <w:r w:rsidRPr="00437431">
        <w:rPr>
          <w:sz w:val="20"/>
          <w:szCs w:val="20"/>
        </w:rPr>
        <w:t>with</w:t>
      </w:r>
      <w:proofErr w:type="spellEnd"/>
      <w:r w:rsidRPr="00437431">
        <w:rPr>
          <w:sz w:val="20"/>
          <w:szCs w:val="20"/>
        </w:rPr>
        <w:t xml:space="preserve"> </w:t>
      </w:r>
      <w:proofErr w:type="spellStart"/>
      <w:r w:rsidRPr="00437431">
        <w:rPr>
          <w:sz w:val="20"/>
          <w:szCs w:val="20"/>
        </w:rPr>
        <w:t>re-sync</w:t>
      </w:r>
      <w:proofErr w:type="spellEnd"/>
      <w:r w:rsidR="009B5495" w:rsidRPr="00437431">
        <w:rPr>
          <w:sz w:val="20"/>
          <w:szCs w:val="20"/>
        </w:rPr>
        <w:t xml:space="preserve">”, </w:t>
      </w:r>
      <w:r w:rsidR="00BA620D" w:rsidRPr="00437431">
        <w:rPr>
          <w:sz w:val="20"/>
          <w:szCs w:val="20"/>
        </w:rPr>
        <w:t xml:space="preserve">RAN4, </w:t>
      </w:r>
      <w:r w:rsidR="009B5495" w:rsidRPr="00437431">
        <w:rPr>
          <w:sz w:val="20"/>
          <w:szCs w:val="20"/>
        </w:rPr>
        <w:t>Nokia, Nokia Shanghai Bell</w:t>
      </w:r>
      <w:bookmarkEnd w:id="4"/>
    </w:p>
    <w:p w14:paraId="093EE10C" w14:textId="77777777" w:rsidR="00205A4B" w:rsidRPr="00174FF6" w:rsidRDefault="00205A4B" w:rsidP="00174FF6"/>
    <w:p w14:paraId="48CBFBDF" w14:textId="560D1473" w:rsidR="000C5B5B" w:rsidRDefault="000C5B5B" w:rsidP="00EF733E">
      <w:pPr>
        <w:overflowPunct/>
        <w:autoSpaceDE/>
        <w:autoSpaceDN/>
        <w:adjustRightInd/>
        <w:spacing w:after="0"/>
        <w:jc w:val="right"/>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AB90" w14:textId="77777777" w:rsidR="007D1367" w:rsidRDefault="007D1367">
      <w:r>
        <w:separator/>
      </w:r>
    </w:p>
  </w:endnote>
  <w:endnote w:type="continuationSeparator" w:id="0">
    <w:p w14:paraId="6BC0B542" w14:textId="77777777" w:rsidR="007D1367" w:rsidRDefault="007D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789A5" w14:textId="77777777" w:rsidR="007D1367" w:rsidRDefault="007D1367">
      <w:r>
        <w:separator/>
      </w:r>
    </w:p>
  </w:footnote>
  <w:footnote w:type="continuationSeparator" w:id="0">
    <w:p w14:paraId="0292C87C" w14:textId="77777777" w:rsidR="007D1367" w:rsidRDefault="007D1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8F674B"/>
    <w:multiLevelType w:val="hybridMultilevel"/>
    <w:tmpl w:val="0EF63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9E1C50"/>
    <w:multiLevelType w:val="hybridMultilevel"/>
    <w:tmpl w:val="BDA03DB8"/>
    <w:lvl w:ilvl="0" w:tplc="C0E21E5E">
      <w:start w:val="2"/>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7"/>
  </w:num>
  <w:num w:numId="2" w16cid:durableId="1220944519">
    <w:abstractNumId w:val="27"/>
  </w:num>
  <w:num w:numId="3" w16cid:durableId="1943798377">
    <w:abstractNumId w:val="0"/>
  </w:num>
  <w:num w:numId="4" w16cid:durableId="1469277388">
    <w:abstractNumId w:val="2"/>
  </w:num>
  <w:num w:numId="5" w16cid:durableId="1018848446">
    <w:abstractNumId w:val="15"/>
  </w:num>
  <w:num w:numId="6" w16cid:durableId="1033068757">
    <w:abstractNumId w:val="28"/>
  </w:num>
  <w:num w:numId="7" w16cid:durableId="1744330563">
    <w:abstractNumId w:val="17"/>
  </w:num>
  <w:num w:numId="8" w16cid:durableId="1979602216">
    <w:abstractNumId w:val="14"/>
  </w:num>
  <w:num w:numId="9" w16cid:durableId="1330985911">
    <w:abstractNumId w:val="32"/>
  </w:num>
  <w:num w:numId="10" w16cid:durableId="848714823">
    <w:abstractNumId w:val="4"/>
  </w:num>
  <w:num w:numId="11" w16cid:durableId="1241450750">
    <w:abstractNumId w:val="19"/>
  </w:num>
  <w:num w:numId="12" w16cid:durableId="1402369672">
    <w:abstractNumId w:val="3"/>
  </w:num>
  <w:num w:numId="13" w16cid:durableId="2068794687">
    <w:abstractNumId w:val="12"/>
  </w:num>
  <w:num w:numId="14" w16cid:durableId="1663004210">
    <w:abstractNumId w:val="25"/>
  </w:num>
  <w:num w:numId="15" w16cid:durableId="633487918">
    <w:abstractNumId w:val="16"/>
  </w:num>
  <w:num w:numId="16" w16cid:durableId="40904577">
    <w:abstractNumId w:val="1"/>
  </w:num>
  <w:num w:numId="17" w16cid:durableId="1334649392">
    <w:abstractNumId w:val="23"/>
  </w:num>
  <w:num w:numId="18" w16cid:durableId="343437106">
    <w:abstractNumId w:val="13"/>
  </w:num>
  <w:num w:numId="19" w16cid:durableId="1341854298">
    <w:abstractNumId w:val="18"/>
  </w:num>
  <w:num w:numId="20" w16cid:durableId="189075330">
    <w:abstractNumId w:val="31"/>
  </w:num>
  <w:num w:numId="21" w16cid:durableId="1782455724">
    <w:abstractNumId w:val="33"/>
  </w:num>
  <w:num w:numId="22" w16cid:durableId="621033433">
    <w:abstractNumId w:val="21"/>
  </w:num>
  <w:num w:numId="23" w16cid:durableId="52853245">
    <w:abstractNumId w:val="11"/>
  </w:num>
  <w:num w:numId="24" w16cid:durableId="230241405">
    <w:abstractNumId w:val="6"/>
  </w:num>
  <w:num w:numId="25" w16cid:durableId="1019703140">
    <w:abstractNumId w:val="30"/>
  </w:num>
  <w:num w:numId="26" w16cid:durableId="796294696">
    <w:abstractNumId w:val="26"/>
  </w:num>
  <w:num w:numId="27" w16cid:durableId="1457216582">
    <w:abstractNumId w:val="9"/>
  </w:num>
  <w:num w:numId="28" w16cid:durableId="1000083594">
    <w:abstractNumId w:val="8"/>
  </w:num>
  <w:num w:numId="29" w16cid:durableId="1333072538">
    <w:abstractNumId w:val="24"/>
  </w:num>
  <w:num w:numId="30" w16cid:durableId="80681869">
    <w:abstractNumId w:val="20"/>
  </w:num>
  <w:num w:numId="31" w16cid:durableId="1566528953">
    <w:abstractNumId w:val="22"/>
  </w:num>
  <w:num w:numId="32" w16cid:durableId="1456096507">
    <w:abstractNumId w:val="29"/>
  </w:num>
  <w:num w:numId="33" w16cid:durableId="815685889">
    <w:abstractNumId w:val="10"/>
  </w:num>
  <w:num w:numId="34" w16cid:durableId="1246187558">
    <w:abstractNumId w:val="5"/>
  </w:num>
  <w:num w:numId="35" w16cid:durableId="136960048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9DE"/>
    <w:rsid w:val="000902C2"/>
    <w:rsid w:val="00091A92"/>
    <w:rsid w:val="00093C49"/>
    <w:rsid w:val="00095A80"/>
    <w:rsid w:val="000973E1"/>
    <w:rsid w:val="000A1402"/>
    <w:rsid w:val="000A20BA"/>
    <w:rsid w:val="000A262C"/>
    <w:rsid w:val="000A3C8D"/>
    <w:rsid w:val="000A3DFE"/>
    <w:rsid w:val="000A40EC"/>
    <w:rsid w:val="000A54EE"/>
    <w:rsid w:val="000A59E1"/>
    <w:rsid w:val="000A6A23"/>
    <w:rsid w:val="000A6ACE"/>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1A36"/>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6"/>
    <w:rsid w:val="00174FFD"/>
    <w:rsid w:val="00175006"/>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7B8"/>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4CE7"/>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BD"/>
    <w:rsid w:val="003F3FCC"/>
    <w:rsid w:val="003F5547"/>
    <w:rsid w:val="003F5C40"/>
    <w:rsid w:val="003F6E12"/>
    <w:rsid w:val="003F6F8B"/>
    <w:rsid w:val="003F75ED"/>
    <w:rsid w:val="004002B7"/>
    <w:rsid w:val="00400F31"/>
    <w:rsid w:val="004023BA"/>
    <w:rsid w:val="004027EB"/>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43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0B2"/>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CCB"/>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D7AFF"/>
    <w:rsid w:val="005E00E5"/>
    <w:rsid w:val="005E0148"/>
    <w:rsid w:val="005E049F"/>
    <w:rsid w:val="005E0BB6"/>
    <w:rsid w:val="005E3073"/>
    <w:rsid w:val="005E316A"/>
    <w:rsid w:val="005E5A11"/>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367"/>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2F57"/>
    <w:rsid w:val="008C3FDC"/>
    <w:rsid w:val="008C47AD"/>
    <w:rsid w:val="008C603A"/>
    <w:rsid w:val="008C71C8"/>
    <w:rsid w:val="008D167D"/>
    <w:rsid w:val="008D3116"/>
    <w:rsid w:val="008D3E1C"/>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05B"/>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495"/>
    <w:rsid w:val="009B76E3"/>
    <w:rsid w:val="009B76F9"/>
    <w:rsid w:val="009B7A72"/>
    <w:rsid w:val="009B7BB8"/>
    <w:rsid w:val="009C0E9B"/>
    <w:rsid w:val="009C126A"/>
    <w:rsid w:val="009C1D4C"/>
    <w:rsid w:val="009C2DD2"/>
    <w:rsid w:val="009C3982"/>
    <w:rsid w:val="009C3F04"/>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4C6"/>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A8A"/>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73C"/>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20D"/>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DC3"/>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C0B"/>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7B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D8C"/>
    <w:rsid w:val="00D62ECD"/>
    <w:rsid w:val="00D64426"/>
    <w:rsid w:val="00D64475"/>
    <w:rsid w:val="00D64A2A"/>
    <w:rsid w:val="00D65D78"/>
    <w:rsid w:val="00D66AAA"/>
    <w:rsid w:val="00D66B04"/>
    <w:rsid w:val="00D66D78"/>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66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4F8C"/>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AD3"/>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766"/>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33E"/>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274"/>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640"/>
    <w:rsid w:val="00FE6C25"/>
    <w:rsid w:val="00FF033A"/>
    <w:rsid w:val="00FF0964"/>
    <w:rsid w:val="00FF0F67"/>
    <w:rsid w:val="00FF16F2"/>
    <w:rsid w:val="00FF1F9B"/>
    <w:rsid w:val="00FF2B42"/>
    <w:rsid w:val="00FF2D5B"/>
    <w:rsid w:val="00FF3B7F"/>
    <w:rsid w:val="00FF4F92"/>
    <w:rsid w:val="00FF54EB"/>
    <w:rsid w:val="00FF6633"/>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27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 Paragraph - Bullets,R4_bullets,Lista1,列出段落1,中等深浅网格 1 - 着色 21,列表段落1,—ño’i—Ž,¥¡¡¡¡ì¬º¥¹¥È¶ÎÂä,ÁÐ³ö¶ÎÂä,¥ê¥¹¥È¶ÎÂä,1st level - Bullet List Paragraph,Lettre d'introduction,Paragrafo elenco,목록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 Paragraph - Bullets Char,R4_bullets Char,Lista1 Char,列出段落1 Char,中等深浅网格 1 - 着色 21 Char,列表段落1 Char,—ño’i—Ž Char,¥¡¡¡¡ì¬º¥¹¥È¶ÎÂä Char,ÁÐ³ö¶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RAN4H2">
    <w:name w:val="RAN4 H2"/>
    <w:basedOn w:val="Heading2"/>
    <w:next w:val="Normal"/>
    <w:link w:val="RAN4H2Char"/>
    <w:qFormat/>
    <w:rsid w:val="00D95667"/>
    <w:pPr>
      <w:numPr>
        <w:numId w:val="32"/>
      </w:numPr>
      <w:overflowPunct/>
      <w:autoSpaceDE/>
      <w:autoSpaceDN/>
      <w:adjustRightInd/>
      <w:ind w:left="431" w:hanging="431"/>
      <w:textAlignment w:val="auto"/>
    </w:pPr>
    <w:rPr>
      <w:rFonts w:eastAsia="Times New Roman"/>
      <w:color w:val="2E74B5" w:themeColor="accent1" w:themeShade="BF"/>
    </w:rPr>
  </w:style>
  <w:style w:type="paragraph" w:customStyle="1" w:styleId="RAN4H1">
    <w:name w:val="RAN4 H1"/>
    <w:basedOn w:val="Normal"/>
    <w:next w:val="Normal"/>
    <w:qFormat/>
    <w:rsid w:val="00D95667"/>
    <w:pPr>
      <w:keepNext/>
      <w:keepLines/>
      <w:numPr>
        <w:numId w:val="32"/>
      </w:numPr>
      <w:pBdr>
        <w:top w:val="single" w:sz="12" w:space="3" w:color="auto"/>
      </w:pBdr>
      <w:spacing w:before="240"/>
      <w:outlineLvl w:val="0"/>
    </w:pPr>
    <w:rPr>
      <w:rFonts w:ascii="Arial" w:hAnsi="Arial"/>
      <w:sz w:val="36"/>
    </w:rPr>
  </w:style>
  <w:style w:type="character" w:customStyle="1" w:styleId="RAN4H2Char">
    <w:name w:val="RAN4 H2 Char"/>
    <w:basedOn w:val="Heading2Char"/>
    <w:link w:val="RAN4H2"/>
    <w:rsid w:val="00D95667"/>
    <w:rPr>
      <w:rFonts w:ascii="Arial" w:eastAsia="Times New Roman" w:hAnsi="Arial"/>
      <w:color w:val="2E74B5" w:themeColor="accent1" w:themeShade="BF"/>
      <w:sz w:val="32"/>
      <w:lang w:val="en-GB"/>
    </w:rPr>
  </w:style>
  <w:style w:type="paragraph" w:customStyle="1" w:styleId="RAN4Observation">
    <w:name w:val="RAN4 Observation"/>
    <w:basedOn w:val="ListParagraph"/>
    <w:next w:val="Normal"/>
    <w:link w:val="RAN4ObservationChar"/>
    <w:rsid w:val="00D95667"/>
    <w:pPr>
      <w:numPr>
        <w:numId w:val="30"/>
      </w:numPr>
      <w:spacing w:after="160" w:line="259" w:lineRule="auto"/>
    </w:pPr>
    <w:rPr>
      <w:rFonts w:eastAsia="Calibri"/>
      <w:sz w:val="20"/>
      <w:szCs w:val="20"/>
      <w:lang w:val="en-GB" w:eastAsia="en-US"/>
    </w:rPr>
  </w:style>
  <w:style w:type="character" w:customStyle="1" w:styleId="RAN4ObservationChar">
    <w:name w:val="RAN4 Observation Char"/>
    <w:basedOn w:val="DefaultParagraphFont"/>
    <w:link w:val="RAN4Observation"/>
    <w:rsid w:val="00D95667"/>
    <w:rPr>
      <w:rFonts w:ascii="Times New Roman" w:eastAsia="Calibri" w:hAnsi="Times New Roman"/>
      <w:lang w:val="en-GB"/>
    </w:rPr>
  </w:style>
  <w:style w:type="paragraph" w:customStyle="1" w:styleId="RAN4proposal">
    <w:name w:val="RAN4 proposal"/>
    <w:basedOn w:val="Caption"/>
    <w:next w:val="Normal"/>
    <w:link w:val="RAN4proposalChar"/>
    <w:qFormat/>
    <w:rsid w:val="00D95667"/>
    <w:pPr>
      <w:numPr>
        <w:numId w:val="31"/>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D95667"/>
    <w:rPr>
      <w:rFonts w:ascii="Times New Roman" w:eastAsiaTheme="minorHAnsi" w:hAnsi="Times New Roman" w:cstheme="minorBidi"/>
      <w:b/>
      <w:iCs/>
      <w:szCs w:val="18"/>
      <w:lang w:val="en-GB"/>
    </w:rPr>
  </w:style>
  <w:style w:type="paragraph" w:customStyle="1" w:styleId="RAN4observation0">
    <w:name w:val="RAN4 observation"/>
    <w:basedOn w:val="RAN4Observation"/>
    <w:next w:val="Normal"/>
    <w:link w:val="RAN4observationChar0"/>
    <w:qFormat/>
    <w:rsid w:val="00D95667"/>
  </w:style>
  <w:style w:type="character" w:customStyle="1" w:styleId="RAN4observationChar0">
    <w:name w:val="RAN4 observation Char"/>
    <w:basedOn w:val="RAN4ObservationChar"/>
    <w:link w:val="RAN4observation0"/>
    <w:rsid w:val="00D95667"/>
    <w:rPr>
      <w:rFonts w:ascii="Times New Roman" w:eastAsia="Calibri" w:hAnsi="Times New Roman"/>
      <w:lang w:val="en-GB"/>
    </w:rPr>
  </w:style>
  <w:style w:type="paragraph" w:customStyle="1" w:styleId="RAN4H3">
    <w:name w:val="RAN4 H3"/>
    <w:basedOn w:val="Normal"/>
    <w:qFormat/>
    <w:rsid w:val="00D95667"/>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rPr>
  </w:style>
  <w:style w:type="table" w:customStyle="1" w:styleId="Style1">
    <w:name w:val="Style1"/>
    <w:basedOn w:val="TableNormal"/>
    <w:uiPriority w:val="99"/>
    <w:rsid w:val="00D9566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Light" w:hAnsi="Nokia Pure Text Light"/>
        <w:b/>
        <w:color w:val="FFFFFF" w:themeColor="background1"/>
        <w:sz w:val="20"/>
      </w:rPr>
      <w:tblPr/>
      <w:tcPr>
        <w:shd w:val="clear" w:color="auto" w:fill="124191"/>
      </w:tcPr>
    </w:tblStylePr>
  </w:style>
  <w:style w:type="character" w:customStyle="1" w:styleId="TALCar">
    <w:name w:val="TAL Car"/>
    <w:link w:val="TAL"/>
    <w:qFormat/>
    <w:locked/>
    <w:rsid w:val="00D95667"/>
    <w:rPr>
      <w:rFonts w:ascii="Arial" w:hAnsi="Arial"/>
      <w:sz w:val="18"/>
      <w:lang w:val="en-GB"/>
    </w:rPr>
  </w:style>
  <w:style w:type="character" w:styleId="Mention">
    <w:name w:val="Mention"/>
    <w:basedOn w:val="DefaultParagraphFont"/>
    <w:uiPriority w:val="99"/>
    <w:unhideWhenUsed/>
    <w:rsid w:val="005D7A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2024-02-19T14:44:00Z</dcterms:created>
  <dcterms:modified xsi:type="dcterms:W3CDTF">2024-02-19T14:44:00Z</dcterms:modified>
</cp:coreProperties>
</file>