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eastAsia="宋体"/>
          <w:b/>
          <w:sz w:val="28"/>
          <w:szCs w:val="28"/>
          <w:lang w:val="en-US" w:eastAsia="zh-CN"/>
        </w:rPr>
      </w:pPr>
      <w:bookmarkStart w:id="0" w:name="OLE_LINK3"/>
      <w:bookmarkStart w:id="5" w:name="_GoBack"/>
      <w:bookmarkEnd w:id="5"/>
      <w:r>
        <w:rPr>
          <w:rFonts w:eastAsia="MS Mincho"/>
          <w:b/>
          <w:sz w:val="28"/>
          <w:szCs w:val="28"/>
          <w:lang w:val="en-US"/>
        </w:rPr>
        <w:t>3GPP TSG RAN WG1 Meeting #11</w:t>
      </w:r>
      <w:r>
        <w:rPr>
          <w:rFonts w:eastAsia="宋体"/>
          <w:b/>
          <w:sz w:val="28"/>
          <w:szCs w:val="28"/>
          <w:lang w:val="en-US" w:eastAsia="zh-CN"/>
        </w:rPr>
        <w:t>6</w:t>
      </w:r>
      <w:r>
        <w:rPr>
          <w:rFonts w:hint="eastAsia" w:eastAsia="宋体"/>
          <w:b/>
          <w:sz w:val="28"/>
          <w:szCs w:val="28"/>
          <w:lang w:val="en-US" w:eastAsia="zh-CN"/>
        </w:rPr>
        <w:t xml:space="preserve">                             </w:t>
      </w:r>
      <w:r>
        <w:rPr>
          <w:rFonts w:hint="eastAsia" w:eastAsia="MS Mincho"/>
          <w:b/>
          <w:sz w:val="28"/>
          <w:szCs w:val="28"/>
          <w:lang w:val="en-US"/>
        </w:rPr>
        <w:t>R1-2400632</w:t>
      </w:r>
    </w:p>
    <w:p>
      <w:pPr>
        <w:widowControl w:val="0"/>
        <w:tabs>
          <w:tab w:val="right" w:pos="10206"/>
        </w:tabs>
        <w:spacing w:afterAutospacing="0"/>
        <w:rPr>
          <w:rFonts w:eastAsia="宋体"/>
          <w:b/>
          <w:sz w:val="28"/>
          <w:szCs w:val="28"/>
          <w:lang w:val="en-US" w:eastAsia="zh-CN"/>
        </w:rPr>
      </w:pPr>
      <w:r>
        <w:rPr>
          <w:b/>
          <w:bCs/>
          <w:sz w:val="28"/>
          <w:szCs w:val="28"/>
          <w:lang w:val="en-US" w:eastAsia="zh-CN"/>
        </w:rPr>
        <w:t>Athens, Greece, February 26th</w:t>
      </w:r>
      <w:r>
        <w:rPr>
          <w:b/>
          <w:bCs/>
          <w:sz w:val="28"/>
          <w:szCs w:val="28"/>
          <w:vertAlign w:val="superscript"/>
          <w:lang w:val="en-US" w:eastAsia="zh-CN"/>
        </w:rPr>
        <w:t xml:space="preserve"> </w:t>
      </w:r>
      <w:r>
        <w:rPr>
          <w:b/>
          <w:bCs/>
          <w:sz w:val="28"/>
          <w:szCs w:val="28"/>
          <w:lang w:val="en-US" w:eastAsia="zh-CN"/>
        </w:rPr>
        <w:t>– March 1st, 2024</w:t>
      </w:r>
    </w:p>
    <w:p>
      <w:pPr>
        <w:widowControl w:val="0"/>
        <w:tabs>
          <w:tab w:val="right" w:pos="10206"/>
        </w:tabs>
        <w:spacing w:afterAutospacing="0"/>
        <w:rPr>
          <w:rFonts w:eastAsia="宋体"/>
          <w:b/>
          <w:sz w:val="28"/>
          <w:szCs w:val="28"/>
          <w:lang w:val="en-US" w:eastAsia="zh-CN"/>
        </w:rPr>
      </w:pPr>
    </w:p>
    <w:bookmarkEnd w:id="0"/>
    <w:p>
      <w:pPr>
        <w:tabs>
          <w:tab w:val="left" w:pos="1985"/>
        </w:tabs>
        <w:spacing w:after="0" w:afterAutospacing="0"/>
        <w:ind w:left="1985" w:hanging="1985" w:hangingChars="706"/>
        <w:rPr>
          <w:rFonts w:eastAsia="宋体"/>
          <w:b/>
          <w:sz w:val="28"/>
          <w:szCs w:val="28"/>
          <w:lang w:val="en-US" w:eastAsia="zh-CN"/>
        </w:rPr>
      </w:pPr>
      <w:bookmarkStart w:id="1" w:name="_Ref133120545"/>
      <w:r>
        <w:rPr>
          <w:b/>
          <w:sz w:val="28"/>
          <w:szCs w:val="28"/>
          <w:lang w:val="en-US"/>
        </w:rPr>
        <w:t>Source:</w:t>
      </w:r>
      <w:r>
        <w:rPr>
          <w:b/>
          <w:sz w:val="28"/>
          <w:szCs w:val="28"/>
          <w:lang w:val="en-US"/>
        </w:rPr>
        <w:tab/>
      </w:r>
      <w:r>
        <w:rPr>
          <w:b/>
          <w:sz w:val="28"/>
          <w:szCs w:val="28"/>
          <w:lang w:val="en-US"/>
        </w:rPr>
        <w:t>S</w:t>
      </w:r>
      <w:r>
        <w:rPr>
          <w:rFonts w:eastAsia="宋体"/>
          <w:b/>
          <w:sz w:val="28"/>
          <w:szCs w:val="28"/>
          <w:lang w:val="en-US" w:eastAsia="zh-CN"/>
        </w:rPr>
        <w:t>harp</w:t>
      </w:r>
    </w:p>
    <w:p>
      <w:pPr>
        <w:spacing w:after="0" w:afterAutospacing="0"/>
        <w:ind w:left="1985" w:hanging="1985" w:hangingChars="706"/>
        <w:rPr>
          <w:rFonts w:eastAsia="宋体"/>
          <w:b/>
          <w:sz w:val="28"/>
          <w:szCs w:val="28"/>
          <w:lang w:val="en-US" w:eastAsia="zh-CN"/>
        </w:rPr>
      </w:pPr>
      <w:r>
        <w:rPr>
          <w:b/>
          <w:sz w:val="28"/>
          <w:szCs w:val="28"/>
          <w:lang w:val="en-US"/>
        </w:rPr>
        <w:t>Title:</w:t>
      </w:r>
      <w:r>
        <w:rPr>
          <w:b/>
          <w:sz w:val="28"/>
          <w:szCs w:val="28"/>
          <w:lang w:val="en-US"/>
        </w:rPr>
        <w:tab/>
      </w:r>
      <w:r>
        <w:rPr>
          <w:rFonts w:hint="eastAsia" w:eastAsia="宋体"/>
          <w:b/>
          <w:sz w:val="28"/>
          <w:szCs w:val="28"/>
          <w:lang w:val="en-US" w:eastAsia="zh-CN"/>
        </w:rPr>
        <w:t>Discussion on downlink and uplink channel/signal aspects</w:t>
      </w:r>
    </w:p>
    <w:p>
      <w:pPr>
        <w:spacing w:after="0" w:afterAutospacing="0"/>
        <w:ind w:left="1985" w:hanging="1985" w:hangingChars="706"/>
        <w:rPr>
          <w:rFonts w:eastAsia="宋体"/>
          <w:b/>
          <w:sz w:val="28"/>
          <w:szCs w:val="28"/>
          <w:lang w:val="en-US" w:eastAsia="zh-CN"/>
        </w:rPr>
      </w:pPr>
      <w:r>
        <w:rPr>
          <w:b/>
          <w:sz w:val="28"/>
          <w:szCs w:val="28"/>
          <w:lang w:val="en-US"/>
        </w:rPr>
        <w:t>Agenda Item:</w:t>
      </w:r>
      <w:r>
        <w:rPr>
          <w:b/>
          <w:sz w:val="28"/>
          <w:szCs w:val="28"/>
          <w:lang w:val="en-US"/>
        </w:rPr>
        <w:tab/>
      </w:r>
      <w:r>
        <w:rPr>
          <w:rFonts w:hint="eastAsia" w:eastAsia="宋体"/>
          <w:b/>
          <w:sz w:val="28"/>
          <w:szCs w:val="28"/>
          <w:lang w:val="en-US" w:eastAsia="zh-CN"/>
        </w:rPr>
        <w:t>9.4.2.3</w:t>
      </w:r>
    </w:p>
    <w:p>
      <w:pPr>
        <w:pBdr>
          <w:bottom w:val="single" w:color="auto" w:sz="12" w:space="1"/>
        </w:pBdr>
        <w:ind w:left="1985" w:hanging="1985" w:hangingChars="706"/>
        <w:rPr>
          <w:rFonts w:eastAsia="宋体"/>
          <w:b/>
          <w:sz w:val="28"/>
          <w:szCs w:val="28"/>
          <w:lang w:val="en-US" w:eastAsia="zh-CN"/>
        </w:rPr>
      </w:pPr>
      <w:r>
        <w:rPr>
          <w:b/>
          <w:sz w:val="28"/>
          <w:szCs w:val="28"/>
          <w:lang w:val="en-US"/>
        </w:rPr>
        <w:t>Document for:</w:t>
      </w:r>
      <w:r>
        <w:rPr>
          <w:b/>
          <w:sz w:val="28"/>
          <w:szCs w:val="28"/>
          <w:lang w:val="en-US"/>
        </w:rPr>
        <w:tab/>
      </w:r>
      <w:r>
        <w:rPr>
          <w:b/>
          <w:sz w:val="28"/>
          <w:szCs w:val="28"/>
          <w:lang w:val="en-US"/>
        </w:rPr>
        <w:t>Discussion</w:t>
      </w:r>
      <w:bookmarkStart w:id="2" w:name="DocumentFor"/>
      <w:bookmarkEnd w:id="2"/>
      <w:r>
        <w:rPr>
          <w:b/>
          <w:sz w:val="28"/>
          <w:szCs w:val="28"/>
          <w:lang w:val="en-US"/>
        </w:rPr>
        <w:t xml:space="preserve"> and Decision</w:t>
      </w:r>
    </w:p>
    <w:p>
      <w:pPr>
        <w:keepNext/>
        <w:numPr>
          <w:ilvl w:val="0"/>
          <w:numId w:val="1"/>
        </w:numPr>
        <w:tabs>
          <w:tab w:val="left" w:pos="0"/>
        </w:tabs>
        <w:spacing w:before="240" w:after="180" w:afterLines="50" w:afterAutospacing="0"/>
        <w:ind w:left="489" w:hanging="489"/>
        <w:outlineLvl w:val="0"/>
        <w:rPr>
          <w:b/>
          <w:kern w:val="28"/>
          <w:sz w:val="32"/>
          <w:lang w:val="en-US"/>
        </w:rPr>
      </w:pPr>
      <w:r>
        <w:rPr>
          <w:b/>
          <w:kern w:val="28"/>
          <w:sz w:val="32"/>
          <w:lang w:val="en-US"/>
        </w:rPr>
        <w:t>Introduction</w:t>
      </w:r>
      <w:bookmarkEnd w:id="1"/>
    </w:p>
    <w:p>
      <w:pPr>
        <w:spacing w:before="240" w:after="24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numPr>
                <w:ilvl w:val="0"/>
                <w:numId w:val="4"/>
              </w:numPr>
              <w:spacing w:after="60" w:afterAutospacing="0"/>
              <w:ind w:right="-96"/>
              <w:rPr>
                <w:rFonts w:eastAsia="宋体"/>
                <w:sz w:val="22"/>
                <w:szCs w:val="18"/>
                <w:lang w:val="en-US"/>
              </w:rPr>
            </w:pPr>
            <w:r>
              <w:rPr>
                <w:rFonts w:hint="eastAsia" w:eastAsia="宋体"/>
                <w:sz w:val="22"/>
                <w:szCs w:val="18"/>
                <w:lang w:val="en-US"/>
              </w:rPr>
              <w:t>RAN1-led:</w:t>
            </w:r>
          </w:p>
          <w:p>
            <w:pPr>
              <w:spacing w:after="60" w:afterAutospacing="0"/>
              <w:ind w:right="-96" w:firstLine="720"/>
              <w:rPr>
                <w:rFonts w:eastAsia="宋体"/>
                <w:sz w:val="22"/>
                <w:szCs w:val="18"/>
                <w:lang w:val="en-US"/>
              </w:rPr>
            </w:pPr>
            <w:r>
              <w:rPr>
                <w:rFonts w:hint="eastAsia" w:eastAsia="宋体"/>
                <w:sz w:val="22"/>
                <w:szCs w:val="18"/>
                <w:lang w:val="en-US"/>
              </w:rPr>
              <w:t>For the Ambient IoT DL and UL:</w:t>
            </w:r>
          </w:p>
          <w:p>
            <w:pPr>
              <w:numPr>
                <w:ilvl w:val="1"/>
                <w:numId w:val="4"/>
              </w:numPr>
              <w:spacing w:after="60" w:afterAutospacing="0"/>
              <w:ind w:right="-96"/>
              <w:rPr>
                <w:rFonts w:eastAsia="宋体"/>
                <w:sz w:val="22"/>
                <w:szCs w:val="18"/>
                <w:lang w:val="en-US"/>
              </w:rPr>
            </w:pPr>
            <w:r>
              <w:rPr>
                <w:rFonts w:hint="eastAsia" w:eastAsia="宋体"/>
                <w:sz w:val="22"/>
                <w:szCs w:val="18"/>
                <w:lang w:val="en-US" w:eastAsia="zh-CN"/>
              </w:rPr>
              <w:t>[...]</w:t>
            </w:r>
          </w:p>
          <w:p>
            <w:pPr>
              <w:numPr>
                <w:ilvl w:val="1"/>
                <w:numId w:val="4"/>
              </w:numPr>
              <w:spacing w:after="60" w:afterAutospacing="0"/>
              <w:ind w:right="-96"/>
              <w:rPr>
                <w:rFonts w:eastAsia="宋体"/>
                <w:sz w:val="22"/>
                <w:szCs w:val="18"/>
                <w:lang w:val="en-US"/>
              </w:rPr>
            </w:pPr>
            <w:r>
              <w:rPr>
                <w:rFonts w:hint="eastAsia" w:eastAsia="宋体"/>
                <w:sz w:val="22"/>
                <w:szCs w:val="18"/>
                <w:lang w:val="en-US"/>
              </w:rPr>
              <w:t>Downlink channel/signal aspects</w:t>
            </w:r>
          </w:p>
          <w:p>
            <w:pPr>
              <w:numPr>
                <w:ilvl w:val="1"/>
                <w:numId w:val="4"/>
              </w:numPr>
              <w:spacing w:after="60" w:afterAutospacing="0"/>
              <w:ind w:right="-96"/>
              <w:rPr>
                <w:rFonts w:eastAsia="宋体"/>
                <w:sz w:val="22"/>
                <w:szCs w:val="18"/>
                <w:lang w:val="en-US"/>
              </w:rPr>
            </w:pPr>
            <w:r>
              <w:rPr>
                <w:rFonts w:hint="eastAsia" w:eastAsia="宋体"/>
                <w:sz w:val="22"/>
                <w:szCs w:val="18"/>
                <w:lang w:val="en-US"/>
              </w:rPr>
              <w:t>Uplink channel/signal aspects</w:t>
            </w:r>
          </w:p>
          <w:p>
            <w:pPr>
              <w:numPr>
                <w:ilvl w:val="1"/>
                <w:numId w:val="4"/>
              </w:numPr>
              <w:spacing w:after="60" w:afterAutospacing="0"/>
              <w:ind w:right="-96"/>
              <w:rPr>
                <w:rFonts w:eastAsia="MS Mincho"/>
                <w:lang w:val="en-US" w:eastAsia="ko-KR"/>
              </w:rPr>
            </w:pPr>
            <w:r>
              <w:rPr>
                <w:rFonts w:hint="eastAsia" w:eastAsia="宋体"/>
                <w:sz w:val="22"/>
                <w:szCs w:val="18"/>
                <w:lang w:val="en-US" w:eastAsia="zh-CN"/>
              </w:rPr>
              <w:t>[...]</w:t>
            </w:r>
          </w:p>
        </w:tc>
      </w:tr>
    </w:tbl>
    <w:p>
      <w:pPr>
        <w:spacing w:before="240" w:after="24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share our views on some</w:t>
      </w:r>
      <w:r>
        <w:rPr>
          <w:rFonts w:hint="eastAsia" w:eastAsia="宋体"/>
          <w:lang w:val="en-US" w:eastAsia="zh-CN"/>
        </w:rPr>
        <w:t xml:space="preserve"> aspects related to</w:t>
      </w:r>
      <w:r>
        <w:rPr>
          <w:rFonts w:eastAsia="宋体"/>
          <w:lang w:val="en-US" w:eastAsia="zh-CN"/>
        </w:rPr>
        <w:t xml:space="preserve"> downlink and uplink channel</w:t>
      </w:r>
      <w:r>
        <w:rPr>
          <w:rFonts w:hint="eastAsia" w:eastAsia="宋体"/>
          <w:lang w:val="en-US" w:eastAsia="zh-CN"/>
        </w:rPr>
        <w:t>s</w:t>
      </w:r>
      <w:r>
        <w:rPr>
          <w:rFonts w:eastAsia="宋体"/>
          <w:lang w:val="en-US" w:eastAsia="zh-CN"/>
        </w:rPr>
        <w:t>/signal</w:t>
      </w:r>
      <w:r>
        <w:rPr>
          <w:rFonts w:hint="eastAsia" w:eastAsia="宋体"/>
          <w:lang w:val="en-US" w:eastAsia="zh-CN"/>
        </w:rPr>
        <w:t>s</w:t>
      </w:r>
      <w:r>
        <w:rPr>
          <w:rFonts w:eastAsia="宋体"/>
          <w:lang w:val="en-US" w:eastAsia="zh-CN"/>
        </w:rPr>
        <w:t>.</w:t>
      </w:r>
    </w:p>
    <w:p>
      <w:pPr>
        <w:keepNext/>
        <w:numPr>
          <w:ilvl w:val="0"/>
          <w:numId w:val="1"/>
        </w:numPr>
        <w:tabs>
          <w:tab w:val="left" w:pos="0"/>
        </w:tabs>
        <w:spacing w:before="240" w:after="180" w:afterLines="50" w:afterAutospacing="0"/>
        <w:ind w:left="489" w:hanging="489"/>
        <w:outlineLvl w:val="0"/>
        <w:rPr>
          <w:b/>
          <w:kern w:val="28"/>
          <w:sz w:val="32"/>
          <w:lang w:val="en-US"/>
        </w:rPr>
      </w:pPr>
      <w:r>
        <w:rPr>
          <w:b/>
          <w:kern w:val="28"/>
          <w:sz w:val="32"/>
          <w:lang w:val="en-US"/>
        </w:rPr>
        <w:t>Discussion</w:t>
      </w:r>
    </w:p>
    <w:p>
      <w:pPr>
        <w:rPr>
          <w:rFonts w:eastAsia="宋体"/>
          <w:lang w:val="en-US" w:eastAsia="zh-CN"/>
        </w:rPr>
      </w:pPr>
      <w:r>
        <w:rPr>
          <w:rFonts w:hint="eastAsia" w:eastAsia="宋体"/>
          <w:lang w:val="en-US" w:eastAsia="zh-CN"/>
        </w:rPr>
        <w:t xml:space="preserve">It is stated in the WID </w:t>
      </w:r>
      <w:r>
        <w:rPr>
          <w:rFonts w:hint="eastAsia" w:eastAsia="宋体"/>
          <w:lang w:val="en-US" w:eastAsia="zh-CN"/>
        </w:rPr>
        <w:fldChar w:fldCharType="begin"/>
      </w:r>
      <w:r>
        <w:rPr>
          <w:rFonts w:hint="eastAsia" w:eastAsia="宋体"/>
          <w:lang w:val="en-US" w:eastAsia="zh-CN"/>
        </w:rPr>
        <w:instrText xml:space="preserve"> REF _Ref124764504 \n \h </w:instrText>
      </w:r>
      <w:r>
        <w:rPr>
          <w:rFonts w:hint="eastAsia" w:eastAsia="宋体"/>
          <w:lang w:val="en-US" w:eastAsia="zh-CN"/>
        </w:rPr>
        <w:fldChar w:fldCharType="separate"/>
      </w:r>
      <w:r>
        <w:rPr>
          <w:rFonts w:eastAsia="宋体"/>
          <w:lang w:val="en-US" w:eastAsia="zh-CN"/>
        </w:rPr>
        <w:t>[1]</w:t>
      </w:r>
      <w:r>
        <w:rPr>
          <w:rFonts w:hint="eastAsia" w:eastAsia="宋体"/>
          <w:lang w:val="en-US" w:eastAsia="zh-CN"/>
        </w:rPr>
        <w:fldChar w:fldCharType="end"/>
      </w:r>
      <w:r>
        <w:rPr>
          <w:rFonts w:hint="eastAsia" w:eastAsia="宋体"/>
          <w:lang w:val="en-US" w:eastAsia="zh-CN"/>
        </w:rPr>
        <w:t xml:space="preserve"> that </w:t>
      </w:r>
      <w:r>
        <w:rPr>
          <w:rFonts w:eastAsia="宋体"/>
          <w:lang w:val="en-US" w:eastAsia="zh-CN"/>
        </w:rPr>
        <w:t>“</w:t>
      </w:r>
      <w:r>
        <w:rPr>
          <w:rFonts w:hint="eastAsia" w:eastAsia="宋体"/>
          <w:i/>
          <w:iCs/>
          <w:lang w:val="en-US" w:eastAsia="zh-CN"/>
        </w:rPr>
        <w:t>f</w:t>
      </w:r>
      <w:r>
        <w:rPr>
          <w:rFonts w:eastAsia="宋体"/>
          <w:i/>
          <w:iCs/>
          <w:lang w:val="en-US" w:eastAsia="zh-CN"/>
        </w:rPr>
        <w:t>or Topology 2, no difference in physical layer design from Topology 1</w:t>
      </w:r>
      <w:r>
        <w:rPr>
          <w:rFonts w:eastAsia="宋体"/>
          <w:lang w:val="en-US" w:eastAsia="zh-CN"/>
        </w:rPr>
        <w:t>”</w:t>
      </w:r>
      <w:r>
        <w:rPr>
          <w:rFonts w:hint="eastAsia" w:eastAsia="宋体"/>
          <w:lang w:val="en-US" w:eastAsia="zh-CN"/>
        </w:rPr>
        <w:t xml:space="preserve">. In our understanding, this implies that the actual </w:t>
      </w:r>
      <w:r>
        <w:rPr>
          <w:rFonts w:eastAsia="宋体"/>
          <w:lang w:val="en-US" w:eastAsia="zh-CN"/>
        </w:rPr>
        <w:t>“</w:t>
      </w:r>
      <w:r>
        <w:rPr>
          <w:rFonts w:hint="eastAsia" w:eastAsia="宋体"/>
          <w:lang w:val="en-US" w:eastAsia="zh-CN"/>
        </w:rPr>
        <w:t>network</w:t>
      </w:r>
      <w:r>
        <w:rPr>
          <w:rFonts w:eastAsia="宋体"/>
          <w:lang w:val="en-US" w:eastAsia="zh-CN"/>
        </w:rPr>
        <w:t>”</w:t>
      </w:r>
      <w:r>
        <w:rPr>
          <w:rFonts w:hint="eastAsia" w:eastAsia="宋体"/>
          <w:lang w:val="en-US" w:eastAsia="zh-CN"/>
        </w:rPr>
        <w:t xml:space="preserve"> node used for direct communications with an A-IoT UE is fully transparent to the A-IoT UE, at least from physical layer perspective, and this includes the spectrum used for either </w:t>
      </w:r>
      <w:r>
        <w:rPr>
          <w:rFonts w:eastAsia="宋体"/>
          <w:lang w:val="en-US" w:eastAsia="zh-CN"/>
        </w:rPr>
        <w:t>“</w:t>
      </w:r>
      <w:r>
        <w:rPr>
          <w:rFonts w:hint="eastAsia" w:eastAsia="宋体"/>
          <w:lang w:val="en-US" w:eastAsia="zh-CN"/>
        </w:rPr>
        <w:t>downlink</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uplink</w:t>
      </w:r>
      <w:r>
        <w:rPr>
          <w:rFonts w:eastAsia="宋体"/>
          <w:lang w:val="en-US" w:eastAsia="zh-CN"/>
        </w:rPr>
        <w:t>”</w:t>
      </w:r>
      <w:r>
        <w:rPr>
          <w:rFonts w:hint="eastAsia" w:eastAsia="宋体"/>
          <w:lang w:val="en-US" w:eastAsia="zh-CN"/>
        </w:rPr>
        <w:t xml:space="preserve"> (from an A-IoT UE perspective).</w:t>
      </w:r>
    </w:p>
    <w:p>
      <w:pPr>
        <w:rPr>
          <w:lang w:val="en-US" w:eastAsia="zh-CN"/>
        </w:rPr>
      </w:pPr>
      <w:r>
        <w:rPr>
          <w:rFonts w:hint="eastAsia"/>
          <w:lang w:val="en-US" w:eastAsia="zh-CN"/>
        </w:rPr>
        <w:t xml:space="preserve"> </w:t>
      </w:r>
      <w:r>
        <w:rPr>
          <w:lang w:val="en-US" w:eastAsia="zh-CN"/>
        </w:rPr>
        <w:drawing>
          <wp:inline distT="0" distB="0" distL="0" distR="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354580" cy="1623060"/>
                    </a:xfrm>
                    <a:prstGeom prst="rect">
                      <a:avLst/>
                    </a:prstGeom>
                    <a:noFill/>
                    <a:ln>
                      <a:noFill/>
                    </a:ln>
                  </pic:spPr>
                </pic:pic>
              </a:graphicData>
            </a:graphic>
          </wp:inline>
        </w:drawing>
      </w:r>
      <w:r>
        <w:rPr>
          <w:rFonts w:hint="eastAsia"/>
          <w:lang w:val="en-US" w:eastAsia="zh-CN"/>
        </w:rPr>
        <w:t xml:space="preserve">       </w:t>
      </w:r>
      <w:r>
        <w:rPr>
          <w:lang w:val="en-US" w:eastAsia="zh-CN"/>
        </w:rPr>
        <w:drawing>
          <wp:inline distT="0" distB="0" distL="0" distR="0">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291840" cy="1623060"/>
                    </a:xfrm>
                    <a:prstGeom prst="rect">
                      <a:avLst/>
                    </a:prstGeom>
                    <a:noFill/>
                    <a:ln>
                      <a:noFill/>
                    </a:ln>
                  </pic:spPr>
                </pic:pic>
              </a:graphicData>
            </a:graphic>
          </wp:inline>
        </w:drawing>
      </w:r>
    </w:p>
    <w:p>
      <w:pPr>
        <w:ind w:firstLine="221" w:firstLineChars="100"/>
        <w:rPr>
          <w:rFonts w:ascii="Arial" w:hAnsi="Arial" w:cs="Arial"/>
          <w:b/>
          <w:bCs/>
          <w:sz w:val="22"/>
          <w:szCs w:val="18"/>
          <w:lang w:val="en-US" w:eastAsia="zh-CN"/>
        </w:rPr>
      </w:pPr>
      <w:r>
        <w:rPr>
          <w:rFonts w:ascii="Arial" w:hAnsi="Arial" w:cs="Arial"/>
          <w:b/>
          <w:bCs/>
          <w:sz w:val="22"/>
          <w:szCs w:val="18"/>
          <w:lang w:val="en-US" w:eastAsia="zh-CN"/>
        </w:rPr>
        <w:t xml:space="preserve">Figure 4.2.1.1-1 of </w:t>
      </w:r>
      <w:r>
        <w:rPr>
          <w:rFonts w:ascii="Arial" w:hAnsi="Arial" w:cs="Arial"/>
          <w:b/>
          <w:bCs/>
          <w:sz w:val="22"/>
          <w:szCs w:val="18"/>
          <w:lang w:val="en-US" w:eastAsia="zh-CN"/>
        </w:rPr>
        <w:fldChar w:fldCharType="begin"/>
      </w:r>
      <w:r>
        <w:rPr>
          <w:rFonts w:ascii="Arial" w:hAnsi="Arial" w:cs="Arial"/>
          <w:b/>
          <w:bCs/>
          <w:sz w:val="22"/>
          <w:szCs w:val="18"/>
          <w:lang w:val="en-US" w:eastAsia="zh-CN"/>
        </w:rPr>
        <w:instrText xml:space="preserve"> REF _Ref11675 \n \h </w:instrText>
      </w:r>
      <w:r>
        <w:rPr>
          <w:rFonts w:ascii="Arial" w:hAnsi="Arial" w:cs="Arial"/>
          <w:b/>
          <w:bCs/>
          <w:sz w:val="22"/>
          <w:szCs w:val="18"/>
          <w:lang w:val="en-US" w:eastAsia="zh-CN"/>
        </w:rPr>
        <w:fldChar w:fldCharType="separate"/>
      </w:r>
      <w:r>
        <w:rPr>
          <w:rFonts w:ascii="Arial" w:hAnsi="Arial" w:cs="Arial"/>
          <w:b/>
          <w:bCs/>
          <w:sz w:val="22"/>
          <w:szCs w:val="18"/>
          <w:lang w:val="en-US" w:eastAsia="zh-CN"/>
        </w:rPr>
        <w:t>[2]</w:t>
      </w:r>
      <w:r>
        <w:rPr>
          <w:rFonts w:ascii="Arial" w:hAnsi="Arial" w:cs="Arial"/>
          <w:b/>
          <w:bCs/>
          <w:sz w:val="22"/>
          <w:szCs w:val="18"/>
          <w:lang w:val="en-US" w:eastAsia="zh-CN"/>
        </w:rPr>
        <w:fldChar w:fldCharType="end"/>
      </w:r>
      <w:r>
        <w:rPr>
          <w:rFonts w:ascii="Arial" w:hAnsi="Arial" w:cs="Arial"/>
          <w:b/>
          <w:bCs/>
          <w:sz w:val="22"/>
          <w:szCs w:val="18"/>
          <w:lang w:val="en-US" w:eastAsia="zh-CN"/>
        </w:rPr>
        <w:t xml:space="preserve">: Topology 1               Figure 4.2.1.2-1 of </w:t>
      </w:r>
      <w:r>
        <w:rPr>
          <w:rFonts w:ascii="Arial" w:hAnsi="Arial" w:cs="Arial"/>
          <w:b/>
          <w:bCs/>
          <w:sz w:val="22"/>
          <w:szCs w:val="18"/>
          <w:lang w:val="en-US" w:eastAsia="zh-CN"/>
        </w:rPr>
        <w:fldChar w:fldCharType="begin"/>
      </w:r>
      <w:r>
        <w:rPr>
          <w:rFonts w:ascii="Arial" w:hAnsi="Arial" w:cs="Arial"/>
          <w:b/>
          <w:bCs/>
          <w:sz w:val="22"/>
          <w:szCs w:val="18"/>
          <w:lang w:val="en-US" w:eastAsia="zh-CN"/>
        </w:rPr>
        <w:instrText xml:space="preserve"> REF _Ref11675 \n \h </w:instrText>
      </w:r>
      <w:r>
        <w:rPr>
          <w:rFonts w:ascii="Arial" w:hAnsi="Arial" w:cs="Arial"/>
          <w:b/>
          <w:bCs/>
          <w:sz w:val="22"/>
          <w:szCs w:val="18"/>
          <w:lang w:val="en-US" w:eastAsia="zh-CN"/>
        </w:rPr>
        <w:fldChar w:fldCharType="separate"/>
      </w:r>
      <w:r>
        <w:rPr>
          <w:rFonts w:ascii="Arial" w:hAnsi="Arial" w:cs="Arial"/>
          <w:b/>
          <w:bCs/>
          <w:sz w:val="22"/>
          <w:szCs w:val="18"/>
          <w:lang w:val="en-US" w:eastAsia="zh-CN"/>
        </w:rPr>
        <w:t>[2]</w:t>
      </w:r>
      <w:r>
        <w:rPr>
          <w:rFonts w:ascii="Arial" w:hAnsi="Arial" w:cs="Arial"/>
          <w:b/>
          <w:bCs/>
          <w:sz w:val="22"/>
          <w:szCs w:val="18"/>
          <w:lang w:val="en-US" w:eastAsia="zh-CN"/>
        </w:rPr>
        <w:fldChar w:fldCharType="end"/>
      </w:r>
      <w:r>
        <w:rPr>
          <w:rFonts w:ascii="Arial" w:hAnsi="Arial" w:cs="Arial"/>
          <w:b/>
          <w:bCs/>
          <w:sz w:val="22"/>
          <w:szCs w:val="18"/>
          <w:lang w:val="en-US" w:eastAsia="zh-CN"/>
        </w:rPr>
        <w:t>: Topology 2</w:t>
      </w:r>
    </w:p>
    <w:p>
      <w:pPr>
        <w:spacing w:before="100" w:beforeAutospacing="1"/>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From an A-IoT UE perspective, there is no difference in the spectrum used for the downlink (resp. the uplink) between Topology 1 and Topology 2.</w:t>
      </w:r>
    </w:p>
    <w:p>
      <w:pPr>
        <w:spacing w:before="240" w:after="240" w:afterAutospacing="0"/>
        <w:rPr>
          <w:rFonts w:eastAsia="宋体"/>
          <w:lang w:val="en-US" w:eastAsia="zh-CN"/>
        </w:rPr>
      </w:pPr>
      <w:r>
        <w:rPr>
          <w:rFonts w:hint="eastAsia" w:eastAsia="宋体"/>
          <w:lang w:val="en-US" w:eastAsia="zh-CN"/>
        </w:rPr>
        <w:t xml:space="preserve">It is also stated in the WID </w:t>
      </w:r>
      <w:r>
        <w:rPr>
          <w:rFonts w:hint="eastAsia" w:eastAsia="宋体"/>
          <w:lang w:val="en-US" w:eastAsia="zh-CN"/>
        </w:rPr>
        <w:fldChar w:fldCharType="begin"/>
      </w:r>
      <w:r>
        <w:rPr>
          <w:rFonts w:hint="eastAsia" w:eastAsia="宋体"/>
          <w:lang w:val="en-US" w:eastAsia="zh-CN"/>
        </w:rPr>
        <w:instrText xml:space="preserve"> REF _Ref124764504 \n \h </w:instrText>
      </w:r>
      <w:r>
        <w:rPr>
          <w:rFonts w:hint="eastAsia" w:eastAsia="宋体"/>
          <w:lang w:val="en-US" w:eastAsia="zh-CN"/>
        </w:rPr>
        <w:fldChar w:fldCharType="separate"/>
      </w:r>
      <w:r>
        <w:rPr>
          <w:rFonts w:eastAsia="宋体"/>
          <w:lang w:val="en-US" w:eastAsia="zh-CN"/>
        </w:rPr>
        <w:t>[1]</w:t>
      </w:r>
      <w:r>
        <w:rPr>
          <w:rFonts w:hint="eastAsia" w:eastAsia="宋体"/>
          <w:lang w:val="en-US" w:eastAsia="zh-CN"/>
        </w:rPr>
        <w:fldChar w:fldCharType="end"/>
      </w:r>
      <w:r>
        <w:rPr>
          <w:rFonts w:hint="eastAsia" w:eastAsia="宋体"/>
          <w:lang w:val="en-US" w:eastAsia="zh-CN"/>
        </w:rPr>
        <w:t xml:space="preserve"> that </w:t>
      </w:r>
      <w:r>
        <w:rPr>
          <w:rFonts w:eastAsia="宋体"/>
          <w:lang w:val="en-US" w:eastAsia="zh-CN"/>
        </w:rPr>
        <w:t>“</w:t>
      </w:r>
      <w:r>
        <w:rPr>
          <w:rFonts w:hint="eastAsia" w:eastAsia="宋体"/>
          <w:i/>
          <w:iCs/>
          <w:lang w:val="en-US" w:eastAsia="zh-CN"/>
        </w:rPr>
        <w:t>t</w:t>
      </w:r>
      <w:r>
        <w:rPr>
          <w:rFonts w:eastAsia="宋体"/>
          <w:i/>
          <w:iCs/>
          <w:lang w:val="en-US"/>
        </w:rPr>
        <w:t>ransmission from Ambient IoT device (including backscattering when used) can occur at least in UL spectrum</w:t>
      </w:r>
      <w:r>
        <w:rPr>
          <w:rFonts w:eastAsia="宋体"/>
          <w:lang w:val="en-US" w:eastAsia="zh-CN"/>
        </w:rPr>
        <w:t>”</w:t>
      </w:r>
      <w:r>
        <w:rPr>
          <w:rFonts w:hint="eastAsia" w:eastAsia="宋体"/>
          <w:lang w:val="en-US" w:eastAsia="zh-CN"/>
        </w:rPr>
        <w:t xml:space="preserve">. In our view, as a baseline, for a UE with ~1 µW peak power consumption (denoted by </w:t>
      </w:r>
      <w:r>
        <w:rPr>
          <w:rFonts w:eastAsia="宋体"/>
          <w:lang w:val="en-US" w:eastAsia="zh-CN"/>
        </w:rPr>
        <w:t>“</w:t>
      </w:r>
      <w:r>
        <w:rPr>
          <w:rFonts w:hint="eastAsia" w:eastAsia="宋体"/>
          <w:lang w:val="en-US" w:eastAsia="zh-CN"/>
        </w:rPr>
        <w:t>Type-1 UE</w:t>
      </w:r>
      <w:r>
        <w:rPr>
          <w:rFonts w:eastAsia="宋体"/>
          <w:lang w:val="en-US" w:eastAsia="zh-CN"/>
        </w:rPr>
        <w:t>”</w:t>
      </w:r>
      <w:r>
        <w:rPr>
          <w:rFonts w:hint="eastAsia" w:eastAsia="宋体"/>
          <w:lang w:val="en-US" w:eastAsia="zh-CN"/>
        </w:rPr>
        <w:t xml:space="preserve"> in this document), it should be supported that for an uplink transmission (which is backscattered on an externally provided carrier wave) triggered by a downlink transmission, the same RF channel (and correspondingly, the same spectrum, i.e. either UL spectrum of a FDD band, or DL spectrum of a FDD band) is used for the two transmissions. In that sense, we think it is beneficial to study also the case of using DL spectrum for a transmission from an A-IoT UE. For a UE with ≤ a few hundred µW peak power consumption (denoted by </w:t>
      </w:r>
      <w:r>
        <w:rPr>
          <w:rFonts w:eastAsia="宋体"/>
          <w:lang w:val="en-US" w:eastAsia="zh-CN"/>
        </w:rPr>
        <w:t>“</w:t>
      </w:r>
      <w:r>
        <w:rPr>
          <w:rFonts w:hint="eastAsia" w:eastAsia="宋体"/>
          <w:lang w:val="en-US" w:eastAsia="zh-CN"/>
        </w:rPr>
        <w:t>Type-2 UE</w:t>
      </w:r>
      <w:r>
        <w:rPr>
          <w:rFonts w:eastAsia="宋体"/>
          <w:lang w:val="en-US" w:eastAsia="zh-CN"/>
        </w:rPr>
        <w:t>”</w:t>
      </w:r>
      <w:r>
        <w:rPr>
          <w:rFonts w:hint="eastAsia" w:eastAsia="宋体"/>
          <w:lang w:val="en-US" w:eastAsia="zh-CN"/>
        </w:rPr>
        <w:t xml:space="preserve"> in this document), use of different spectra between a transmission from an A-IoT UE and a transmission from a BS (or an intermediate node) can be additionally supported.</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In A-IoT, it is supported that the RF channel for a backscattering-based uplink transmission triggered by a downlink transmission is the same as that for the latter</w:t>
      </w:r>
      <w:r>
        <w:rPr>
          <w:rFonts w:eastAsia="宋体"/>
          <w:lang w:val="en-US" w:eastAsia="zh-CN"/>
        </w:rPr>
        <w:t>.</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RAN1 to study backscattering-based transmissions from an A-IoT UE occurring in DL spectrum, as well as in UL spectrum</w:t>
      </w:r>
      <w:r>
        <w:rPr>
          <w:rFonts w:eastAsia="宋体"/>
          <w:lang w:val="en-US" w:eastAsia="zh-CN"/>
        </w:rPr>
        <w:t>.</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RAN1 to study use of different spectra between a transmission from an A-IoT UE and a transmission from a BS or an intermediate node</w:t>
      </w:r>
      <w:r>
        <w:rPr>
          <w:rFonts w:eastAsia="宋体"/>
          <w:lang w:val="en-US" w:eastAsia="zh-CN"/>
        </w:rPr>
        <w:t>.</w:t>
      </w:r>
    </w:p>
    <w:p>
      <w:pPr>
        <w:spacing w:before="240" w:after="240" w:afterAutospacing="0"/>
        <w:rPr>
          <w:rFonts w:eastAsia="宋体"/>
          <w:lang w:val="en-US" w:eastAsia="zh-CN"/>
        </w:rPr>
      </w:pPr>
      <w:r>
        <w:rPr>
          <w:rFonts w:hint="eastAsia" w:eastAsia="宋体"/>
          <w:lang w:val="en-US" w:eastAsia="zh-CN"/>
        </w:rPr>
        <w:t>In the downlink, control signaling can be intended for a single UE, a group of UEs, or all UEs in coverage. At least for the case where a successful random access procedure has not been performed, a UE with ultra-low power consumption in mind should be able to determine, with minimum effort, whether it is intended for by a particular downlink control channel transmission, and only if so, it needs further processing of that transmission. Therefore, we propose to study a downlink control signaling mechanism to support fast identification of the intended UE(s) by a downlink control channel transmission without full processing of that transmission.</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RAN1 to study a downlink control signaling mechanism to support fast identification of the intended UE(s) by a downlink control channel transmission without full processing of that transmission.</w:t>
      </w:r>
    </w:p>
    <w:p>
      <w:pPr>
        <w:spacing w:before="240" w:after="240" w:afterAutospacing="0"/>
        <w:rPr>
          <w:rFonts w:eastAsia="宋体"/>
          <w:lang w:val="en-US" w:eastAsia="zh-CN"/>
        </w:rPr>
      </w:pPr>
      <w:r>
        <w:rPr>
          <w:rFonts w:hint="eastAsia" w:eastAsia="宋体"/>
          <w:lang w:val="en-US" w:eastAsia="zh-CN"/>
        </w:rPr>
        <w:t xml:space="preserve">As stated in the WID </w:t>
      </w:r>
      <w:r>
        <w:rPr>
          <w:rFonts w:hint="eastAsia" w:eastAsia="宋体"/>
          <w:lang w:val="en-US" w:eastAsia="zh-CN"/>
        </w:rPr>
        <w:fldChar w:fldCharType="begin"/>
      </w:r>
      <w:r>
        <w:rPr>
          <w:rFonts w:hint="eastAsia" w:eastAsia="宋体"/>
          <w:lang w:val="en-US" w:eastAsia="zh-CN"/>
        </w:rPr>
        <w:instrText xml:space="preserve"> REF _Ref124764504 \n \h </w:instrText>
      </w:r>
      <w:r>
        <w:rPr>
          <w:rFonts w:hint="eastAsia" w:eastAsia="宋体"/>
          <w:lang w:val="en-US" w:eastAsia="zh-CN"/>
        </w:rPr>
        <w:fldChar w:fldCharType="separate"/>
      </w:r>
      <w:r>
        <w:rPr>
          <w:rFonts w:eastAsia="宋体"/>
          <w:lang w:val="en-US" w:eastAsia="zh-CN"/>
        </w:rPr>
        <w:t>[1]</w:t>
      </w:r>
      <w:r>
        <w:rPr>
          <w:rFonts w:hint="eastAsia" w:eastAsia="宋体"/>
          <w:lang w:val="en-US" w:eastAsia="zh-CN"/>
        </w:rPr>
        <w:fldChar w:fldCharType="end"/>
      </w:r>
      <w:r>
        <w:rPr>
          <w:rFonts w:hint="eastAsia" w:eastAsia="宋体"/>
          <w:lang w:val="en-US" w:eastAsia="zh-CN"/>
        </w:rPr>
        <w:t xml:space="preserve">, RRC states are not expected to be supported by an A-IoT UE. Consequently, a successful random access procedure does not make a UE </w:t>
      </w:r>
      <w:r>
        <w:rPr>
          <w:rFonts w:eastAsia="宋体"/>
          <w:lang w:val="en-US" w:eastAsia="zh-CN"/>
        </w:rPr>
        <w:t>“</w:t>
      </w:r>
      <w:r>
        <w:rPr>
          <w:rFonts w:hint="eastAsia" w:eastAsia="宋体"/>
          <w:lang w:val="en-US" w:eastAsia="zh-CN"/>
        </w:rPr>
        <w:t>RRC connected</w:t>
      </w:r>
      <w:r>
        <w:rPr>
          <w:rFonts w:eastAsia="宋体"/>
          <w:lang w:val="en-US" w:eastAsia="zh-CN"/>
        </w:rPr>
        <w:t>”</w:t>
      </w:r>
      <w:r>
        <w:rPr>
          <w:rFonts w:hint="eastAsia" w:eastAsia="宋体"/>
          <w:lang w:val="en-US" w:eastAsia="zh-CN"/>
        </w:rPr>
        <w:t>. Instead, in our understanding, it just allows a UE to be allocated downlink/uplink resources with a short identifier (e.g. similar to an RNTI in legacy NR Uu). The downlink control channel design should be able to accommodate downlink control signaling prior to random access, during random access, and after random access, and to accommodate scheduling of both backscattering-based transmissions and self-generated transmissions.</w:t>
      </w:r>
    </w:p>
    <w:p>
      <w:pPr>
        <w:spacing w:after="12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 xml:space="preserve">RAN1 to study a </w:t>
      </w:r>
      <w:r>
        <w:rPr>
          <w:rFonts w:eastAsia="宋体"/>
          <w:lang w:val="en-US" w:eastAsia="zh-CN"/>
        </w:rPr>
        <w:t xml:space="preserve">common </w:t>
      </w:r>
      <w:r>
        <w:rPr>
          <w:rFonts w:hint="eastAsia" w:eastAsia="宋体"/>
          <w:lang w:val="en-US" w:eastAsia="zh-CN"/>
        </w:rPr>
        <w:t xml:space="preserve">downlink control channel </w:t>
      </w:r>
      <w:r>
        <w:rPr>
          <w:rFonts w:eastAsia="宋体"/>
          <w:lang w:val="en-US" w:eastAsia="zh-CN"/>
        </w:rPr>
        <w:t>framework</w:t>
      </w:r>
      <w:r>
        <w:rPr>
          <w:rFonts w:hint="eastAsia" w:eastAsia="宋体"/>
          <w:lang w:val="en-US" w:eastAsia="zh-CN"/>
        </w:rPr>
        <w:t xml:space="preserve"> to accommodate</w:t>
      </w:r>
    </w:p>
    <w:p>
      <w:pPr>
        <w:numPr>
          <w:ilvl w:val="0"/>
          <w:numId w:val="5"/>
        </w:numPr>
        <w:spacing w:after="120" w:afterAutospacing="0"/>
        <w:ind w:left="476" w:hanging="238"/>
        <w:rPr>
          <w:rFonts w:eastAsia="宋体"/>
          <w:lang w:val="en-US" w:eastAsia="zh-CN"/>
        </w:rPr>
      </w:pPr>
      <w:r>
        <w:rPr>
          <w:rFonts w:hint="eastAsia" w:eastAsia="宋体"/>
          <w:lang w:val="en-US" w:eastAsia="zh-CN"/>
        </w:rPr>
        <w:t>Downlink control signaling prior to random access, during random access, and after random access; and</w:t>
      </w:r>
    </w:p>
    <w:p>
      <w:pPr>
        <w:numPr>
          <w:ilvl w:val="0"/>
          <w:numId w:val="5"/>
        </w:numPr>
        <w:spacing w:after="240" w:afterAutospacing="0"/>
        <w:ind w:left="476" w:hanging="238"/>
        <w:rPr>
          <w:rFonts w:eastAsia="宋体"/>
          <w:lang w:val="en-US" w:eastAsia="zh-CN"/>
        </w:rPr>
      </w:pPr>
      <w:r>
        <w:rPr>
          <w:rFonts w:hint="eastAsia" w:eastAsia="宋体"/>
          <w:lang w:val="en-US" w:eastAsia="zh-CN"/>
        </w:rPr>
        <w:t>Scheduling of both backscattering-based transmissions and self-generated transmissions.</w:t>
      </w:r>
    </w:p>
    <w:p>
      <w:pPr>
        <w:keepNext/>
        <w:numPr>
          <w:ilvl w:val="0"/>
          <w:numId w:val="1"/>
        </w:numPr>
        <w:tabs>
          <w:tab w:val="left" w:pos="0"/>
        </w:tabs>
        <w:spacing w:before="240" w:after="180" w:afterLines="50" w:afterAutospacing="0"/>
        <w:ind w:left="489" w:hanging="489"/>
        <w:outlineLvl w:val="0"/>
        <w:rPr>
          <w:b/>
          <w:kern w:val="28"/>
          <w:sz w:val="32"/>
          <w:lang w:val="en-US"/>
        </w:rPr>
      </w:pPr>
      <w:r>
        <w:rPr>
          <w:b/>
          <w:kern w:val="28"/>
          <w:sz w:val="32"/>
          <w:lang w:val="en-US"/>
        </w:rPr>
        <w:t>Conclusion</w:t>
      </w:r>
    </w:p>
    <w:p>
      <w:pPr>
        <w:spacing w:after="180" w:afterLines="50" w:afterAutospacing="0"/>
        <w:rPr>
          <w:rFonts w:eastAsia="宋体"/>
          <w:lang w:val="en-US" w:eastAsia="zh-CN"/>
        </w:rPr>
      </w:pPr>
      <w:r>
        <w:rPr>
          <w:lang w:val="en-US"/>
        </w:rPr>
        <w:t xml:space="preserve">In this contribution, we </w:t>
      </w:r>
      <w:r>
        <w:rPr>
          <w:rFonts w:eastAsia="宋体"/>
          <w:lang w:val="en-US" w:eastAsia="zh-CN"/>
        </w:rPr>
        <w:t xml:space="preserve">discuss some </w:t>
      </w:r>
      <w:r>
        <w:rPr>
          <w:rFonts w:hint="eastAsia" w:eastAsia="宋体"/>
          <w:lang w:val="en-US" w:eastAsia="zh-CN"/>
        </w:rPr>
        <w:t xml:space="preserve">aspects related to </w:t>
      </w:r>
      <w:r>
        <w:rPr>
          <w:rFonts w:eastAsia="宋体"/>
          <w:lang w:val="en-US" w:eastAsia="zh-CN"/>
        </w:rPr>
        <w:t>downlink and uplink channel</w:t>
      </w:r>
      <w:r>
        <w:rPr>
          <w:rFonts w:hint="eastAsia" w:eastAsia="宋体"/>
          <w:lang w:val="en-US" w:eastAsia="zh-CN"/>
        </w:rPr>
        <w:t>s</w:t>
      </w:r>
      <w:r>
        <w:rPr>
          <w:rFonts w:eastAsia="宋体"/>
          <w:lang w:val="en-US" w:eastAsia="zh-CN"/>
        </w:rPr>
        <w:t>/signal</w:t>
      </w:r>
      <w:r>
        <w:rPr>
          <w:rFonts w:hint="eastAsia" w:eastAsia="宋体"/>
          <w:lang w:val="en-US" w:eastAsia="zh-CN"/>
        </w:rPr>
        <w:t>s</w:t>
      </w:r>
      <w:r>
        <w:rPr>
          <w:rFonts w:eastAsia="宋体"/>
          <w:lang w:val="en-US" w:eastAsia="zh-CN"/>
        </w:rPr>
        <w:t xml:space="preserve">, and make </w:t>
      </w:r>
      <w:r>
        <w:rPr>
          <w:lang w:val="en-US"/>
        </w:rPr>
        <w:t>the following proposals</w:t>
      </w:r>
      <w:r>
        <w:rPr>
          <w:rFonts w:eastAsia="宋体"/>
          <w:lang w:val="en-US" w:eastAsia="zh-CN"/>
        </w:rPr>
        <w:t>.</w:t>
      </w:r>
    </w:p>
    <w:p>
      <w:pPr>
        <w:spacing w:before="100" w:beforeAutospacing="1"/>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From an A-IoT UE perspective, there is no difference in the spectrum used for the downlink (resp. the uplink) between Topology 1 and Topology 2.</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In A-IoT, it is supported that the RF channel for a backscattering-based uplink transmission triggered by a downlink transmission is the same as that for the latter</w:t>
      </w:r>
      <w:r>
        <w:rPr>
          <w:rFonts w:eastAsia="宋体"/>
          <w:lang w:val="en-US" w:eastAsia="zh-CN"/>
        </w:rPr>
        <w:t>.</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RAN1 to study backscattering-based transmissions from an A-IoT UE occurring in DL spectrum, as well as in UL spectrum</w:t>
      </w:r>
      <w:r>
        <w:rPr>
          <w:rFonts w:eastAsia="宋体"/>
          <w:lang w:val="en-US" w:eastAsia="zh-CN"/>
        </w:rPr>
        <w:t>.</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RAN1 to study use of different spectra between a transmission from an A-IoT UE and a transmission from a BS or an intermediate node</w:t>
      </w:r>
      <w:r>
        <w:rPr>
          <w:rFonts w:eastAsia="宋体"/>
          <w:lang w:val="en-US" w:eastAsia="zh-CN"/>
        </w:rPr>
        <w:t>.</w:t>
      </w:r>
    </w:p>
    <w:p>
      <w:pPr>
        <w:spacing w:before="240" w:after="24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RAN1 to study a downlink control signaling mechanism to support fast identification of the intended UE(s) by a downlink control channel transmission without full processing of that transmission.</w:t>
      </w:r>
    </w:p>
    <w:p>
      <w:pPr>
        <w:spacing w:after="120" w:afterAutospacing="0"/>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 xml:space="preserve">RAN1 to study a </w:t>
      </w:r>
      <w:r>
        <w:rPr>
          <w:rFonts w:eastAsia="宋体"/>
          <w:lang w:val="en-US" w:eastAsia="zh-CN"/>
        </w:rPr>
        <w:t xml:space="preserve">common </w:t>
      </w:r>
      <w:r>
        <w:rPr>
          <w:rFonts w:hint="eastAsia" w:eastAsia="宋体"/>
          <w:lang w:val="en-US" w:eastAsia="zh-CN"/>
        </w:rPr>
        <w:t xml:space="preserve">downlink control channel </w:t>
      </w:r>
      <w:r>
        <w:rPr>
          <w:rFonts w:eastAsia="宋体"/>
          <w:lang w:val="en-US" w:eastAsia="zh-CN"/>
        </w:rPr>
        <w:t>framework</w:t>
      </w:r>
      <w:r>
        <w:rPr>
          <w:rFonts w:hint="eastAsia" w:eastAsia="宋体"/>
          <w:lang w:val="en-US" w:eastAsia="zh-CN"/>
        </w:rPr>
        <w:t xml:space="preserve"> to accommodate</w:t>
      </w:r>
    </w:p>
    <w:p>
      <w:pPr>
        <w:numPr>
          <w:ilvl w:val="0"/>
          <w:numId w:val="5"/>
        </w:numPr>
        <w:spacing w:after="120" w:afterAutospacing="0"/>
        <w:ind w:left="476" w:hanging="238"/>
        <w:rPr>
          <w:rFonts w:eastAsia="宋体"/>
          <w:lang w:val="en-US" w:eastAsia="zh-CN"/>
        </w:rPr>
      </w:pPr>
      <w:r>
        <w:rPr>
          <w:rFonts w:hint="eastAsia" w:eastAsia="宋体"/>
          <w:lang w:val="en-US" w:eastAsia="zh-CN"/>
        </w:rPr>
        <w:t>Downlink control signaling prior to random access, during random access, and after random access; and</w:t>
      </w:r>
    </w:p>
    <w:p>
      <w:pPr>
        <w:numPr>
          <w:ilvl w:val="0"/>
          <w:numId w:val="5"/>
        </w:numPr>
        <w:spacing w:after="240" w:afterAutospacing="0"/>
        <w:ind w:left="476" w:hanging="238"/>
        <w:rPr>
          <w:rFonts w:eastAsia="宋体"/>
          <w:lang w:val="en-US" w:eastAsia="zh-CN"/>
        </w:rPr>
      </w:pPr>
      <w:r>
        <w:rPr>
          <w:rFonts w:hint="eastAsia" w:eastAsia="宋体"/>
          <w:lang w:val="en-US" w:eastAsia="zh-CN"/>
        </w:rPr>
        <w:t>Scheduling of both backscattering-based transmissions and self-generated transmissions.</w:t>
      </w:r>
    </w:p>
    <w:p>
      <w:pPr>
        <w:keepNext/>
        <w:numPr>
          <w:ilvl w:val="0"/>
          <w:numId w:val="1"/>
        </w:numPr>
        <w:tabs>
          <w:tab w:val="left" w:pos="0"/>
        </w:tabs>
        <w:spacing w:before="240" w:after="180" w:afterLines="50" w:afterAutospacing="0"/>
        <w:ind w:left="489" w:hanging="489"/>
        <w:outlineLvl w:val="0"/>
        <w:rPr>
          <w:kern w:val="28"/>
          <w:sz w:val="32"/>
          <w:lang w:val="en-US"/>
        </w:rPr>
      </w:pPr>
      <w:r>
        <w:rPr>
          <w:b/>
          <w:kern w:val="28"/>
          <w:sz w:val="32"/>
          <w:lang w:val="en-US"/>
        </w:rPr>
        <w:t>References</w:t>
      </w:r>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Pr>
          <w:rFonts w:eastAsia="MS Mincho"/>
          <w:lang w:val="en-US" w:eastAsia="en-GB"/>
        </w:rPr>
        <w:t>RP- 234058, “New SID: Study on solutions for Ambient IoT (Internet of Things) in NR”, Huawei (moderator, RAN1 Vice-Chair), RAN#102.</w:t>
      </w:r>
      <w:bookmarkEnd w:id="3"/>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11675"/>
      <w:r>
        <w:rPr>
          <w:rFonts w:hint="eastAsia" w:eastAsia="宋体"/>
          <w:lang w:val="en-US" w:eastAsia="zh-CN"/>
        </w:rPr>
        <w:t xml:space="preserve">TR 38.848, </w:t>
      </w:r>
      <w:r>
        <w:rPr>
          <w:rFonts w:eastAsia="宋体"/>
          <w:lang w:val="en-US" w:eastAsia="zh-CN"/>
        </w:rPr>
        <w:t>“Study on Ambient IoT (Internet of Things) in RAN”</w:t>
      </w:r>
      <w:r>
        <w:rPr>
          <w:rFonts w:hint="eastAsia" w:eastAsia="宋体"/>
          <w:lang w:val="en-US" w:eastAsia="zh-CN"/>
        </w:rPr>
        <w:t>.</w:t>
      </w:r>
      <w:bookmarkEnd w:id="4"/>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rPr>
      <w:fldChar w:fldCharType="begin"/>
    </w:r>
    <w:r>
      <w:rPr>
        <w:b/>
      </w:rPr>
      <w:instrText xml:space="preserve">PAGE</w:instrText>
    </w:r>
    <w:r>
      <w:rPr>
        <w:b/>
      </w:rPr>
      <w:fldChar w:fldCharType="separate"/>
    </w:r>
    <w:r>
      <w:rPr>
        <w:b/>
      </w:rPr>
      <w:t>3</w:t>
    </w:r>
    <w:r>
      <w:rPr>
        <w:b/>
      </w:rP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4EEED"/>
    <w:multiLevelType w:val="multilevel"/>
    <w:tmpl w:val="8F74EEED"/>
    <w:lvl w:ilvl="0" w:tentative="0">
      <w:start w:val="1"/>
      <w:numFmt w:val="bullet"/>
      <w:lvlText w:val=""/>
      <w:lvlJc w:val="left"/>
      <w:pPr>
        <w:ind w:left="420" w:hanging="420"/>
      </w:pPr>
      <w:rPr>
        <w:rFonts w:hint="default" w:ascii="Wingdings" w:hAnsi="Wingdings"/>
        <w:sz w:val="15"/>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1F250011"/>
    <w:multiLevelType w:val="multilevel"/>
    <w:tmpl w:val="1F250011"/>
    <w:lvl w:ilvl="0" w:tentative="0">
      <w:start w:val="1"/>
      <w:numFmt w:val="decimal"/>
      <w:pStyle w:val="1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4A55685D"/>
    <w:multiLevelType w:val="singleLevel"/>
    <w:tmpl w:val="4A55685D"/>
    <w:lvl w:ilvl="0" w:tentative="0">
      <w:start w:val="1"/>
      <w:numFmt w:val="bullet"/>
      <w:pStyle w:val="12"/>
      <w:lvlText w:val=""/>
      <w:lvlJc w:val="left"/>
      <w:pPr>
        <w:tabs>
          <w:tab w:val="left" w:pos="992"/>
        </w:tabs>
        <w:ind w:left="992" w:hanging="425"/>
      </w:pPr>
      <w:rPr>
        <w:rFonts w:hint="default" w:ascii="Symbol" w:hAnsi="Symbol"/>
      </w:rPr>
    </w:lvl>
  </w:abstractNum>
  <w:abstractNum w:abstractNumId="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156C9"/>
    <w:rsid w:val="00393A6F"/>
    <w:rsid w:val="003B0D0A"/>
    <w:rsid w:val="005079B6"/>
    <w:rsid w:val="005B503D"/>
    <w:rsid w:val="00675D6B"/>
    <w:rsid w:val="006B2BAA"/>
    <w:rsid w:val="006C3324"/>
    <w:rsid w:val="007D12AA"/>
    <w:rsid w:val="009150CA"/>
    <w:rsid w:val="00991A96"/>
    <w:rsid w:val="009C4C82"/>
    <w:rsid w:val="00A97557"/>
    <w:rsid w:val="00CB773B"/>
    <w:rsid w:val="00CC46AF"/>
    <w:rsid w:val="00E16110"/>
    <w:rsid w:val="00EC02F8"/>
    <w:rsid w:val="032A0AC5"/>
    <w:rsid w:val="04496FBA"/>
    <w:rsid w:val="04BB6F8D"/>
    <w:rsid w:val="0842762A"/>
    <w:rsid w:val="087026A6"/>
    <w:rsid w:val="0AB55D38"/>
    <w:rsid w:val="0B2644E5"/>
    <w:rsid w:val="0CB90E13"/>
    <w:rsid w:val="0DBA12E6"/>
    <w:rsid w:val="12B93667"/>
    <w:rsid w:val="1B4268F4"/>
    <w:rsid w:val="1D792624"/>
    <w:rsid w:val="1E676920"/>
    <w:rsid w:val="1EDB62EF"/>
    <w:rsid w:val="20D963DA"/>
    <w:rsid w:val="210259D9"/>
    <w:rsid w:val="2343105D"/>
    <w:rsid w:val="26846DC9"/>
    <w:rsid w:val="276E0D20"/>
    <w:rsid w:val="2818017E"/>
    <w:rsid w:val="292834C8"/>
    <w:rsid w:val="2A634FCD"/>
    <w:rsid w:val="2A7F3DC1"/>
    <w:rsid w:val="2BC472C3"/>
    <w:rsid w:val="2D7A6E07"/>
    <w:rsid w:val="2E7B1E26"/>
    <w:rsid w:val="2F1C5505"/>
    <w:rsid w:val="321A5A5E"/>
    <w:rsid w:val="32456B21"/>
    <w:rsid w:val="33755E91"/>
    <w:rsid w:val="34F8431E"/>
    <w:rsid w:val="3C44609B"/>
    <w:rsid w:val="3D9E6801"/>
    <w:rsid w:val="3DFF3B2E"/>
    <w:rsid w:val="400511F4"/>
    <w:rsid w:val="433C187A"/>
    <w:rsid w:val="43875273"/>
    <w:rsid w:val="45246A6A"/>
    <w:rsid w:val="455B0EFD"/>
    <w:rsid w:val="46F10A60"/>
    <w:rsid w:val="48194880"/>
    <w:rsid w:val="4B0C0AAD"/>
    <w:rsid w:val="4CFD470E"/>
    <w:rsid w:val="50C335DB"/>
    <w:rsid w:val="52C04C99"/>
    <w:rsid w:val="571B35CB"/>
    <w:rsid w:val="586E1F24"/>
    <w:rsid w:val="59973856"/>
    <w:rsid w:val="5A92474A"/>
    <w:rsid w:val="5CA87726"/>
    <w:rsid w:val="5F520B3B"/>
    <w:rsid w:val="611D6152"/>
    <w:rsid w:val="612260F0"/>
    <w:rsid w:val="61B13217"/>
    <w:rsid w:val="61B444E2"/>
    <w:rsid w:val="640F6E0B"/>
    <w:rsid w:val="6454227B"/>
    <w:rsid w:val="65995949"/>
    <w:rsid w:val="66552ACF"/>
    <w:rsid w:val="669E76DF"/>
    <w:rsid w:val="693370F8"/>
    <w:rsid w:val="699A7DF9"/>
    <w:rsid w:val="69FA7C16"/>
    <w:rsid w:val="6A2E40F1"/>
    <w:rsid w:val="6B723F6F"/>
    <w:rsid w:val="6B851761"/>
    <w:rsid w:val="6C8E6023"/>
    <w:rsid w:val="6CDA03F3"/>
    <w:rsid w:val="6DD95D94"/>
    <w:rsid w:val="6DE22E9A"/>
    <w:rsid w:val="6EDE4456"/>
    <w:rsid w:val="6FC30AAA"/>
    <w:rsid w:val="717C5721"/>
    <w:rsid w:val="74453B2C"/>
    <w:rsid w:val="758B5F34"/>
    <w:rsid w:val="761A276A"/>
    <w:rsid w:val="78F65E09"/>
    <w:rsid w:val="7AC6251B"/>
    <w:rsid w:val="7CD07583"/>
    <w:rsid w:val="7D272FE3"/>
    <w:rsid w:val="7EC7606C"/>
    <w:rsid w:val="7FFB1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footer"/>
    <w:basedOn w:val="1"/>
    <w:autoRedefine/>
    <w:qFormat/>
    <w:uiPriority w:val="99"/>
    <w:pPr>
      <w:tabs>
        <w:tab w:val="center" w:pos="4252"/>
        <w:tab w:val="right" w:pos="8504"/>
      </w:tabs>
    </w:pPr>
  </w:style>
  <w:style w:type="paragraph" w:styleId="6">
    <w:name w:val="header"/>
    <w:basedOn w:val="1"/>
    <w:autoRedefine/>
    <w:qFormat/>
    <w:uiPriority w:val="99"/>
    <w:pPr>
      <w:widowControl w:val="0"/>
    </w:pPr>
    <w:rPr>
      <w:rFonts w:ascii="Arial" w:hAnsi="Arial" w:eastAsia="MS Mincho"/>
      <w:b/>
      <w:sz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rFonts w:cs="Times New Roman"/>
      <w:b/>
    </w:rPr>
  </w:style>
  <w:style w:type="paragraph" w:customStyle="1" w:styleId="11">
    <w:name w:val="text intend 2"/>
    <w:basedOn w:val="12"/>
    <w:autoRedefine/>
    <w:qFormat/>
    <w:uiPriority w:val="0"/>
    <w:pPr>
      <w:widowControl/>
      <w:numPr>
        <w:numId w:val="2"/>
      </w:numPr>
      <w:tabs>
        <w:tab w:val="left" w:pos="420"/>
      </w:tabs>
      <w:spacing w:after="120"/>
    </w:pPr>
    <w:rPr>
      <w:lang w:val="en-US"/>
    </w:rPr>
  </w:style>
  <w:style w:type="paragraph" w:customStyle="1" w:styleId="12">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946</Words>
  <Characters>5397</Characters>
  <Lines>44</Lines>
  <Paragraphs>12</Paragraphs>
  <TotalTime>10</TotalTime>
  <ScaleCrop>false</ScaleCrop>
  <LinksUpToDate>false</LinksUpToDate>
  <CharactersWithSpaces>6331</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LC0219O1</cp:lastModifiedBy>
  <dcterms:modified xsi:type="dcterms:W3CDTF">2024-02-19T03:05:54Z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8DD191C8755046C6B23D6725C79629C7_13</vt:lpwstr>
  </property>
</Properties>
</file>