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10206"/>
        </w:tabs>
        <w:spacing w:after="0" w:afterAutospacing="0"/>
        <w:rPr>
          <w:rFonts w:eastAsia="宋体"/>
          <w:b/>
          <w:sz w:val="28"/>
          <w:szCs w:val="28"/>
          <w:lang w:val="en-US" w:eastAsia="zh-CN"/>
        </w:rPr>
      </w:pPr>
      <w:bookmarkStart w:id="0" w:name="OLE_LINK3"/>
      <w:r>
        <w:rPr>
          <w:rFonts w:eastAsia="MS Mincho"/>
          <w:b/>
          <w:sz w:val="28"/>
          <w:szCs w:val="28"/>
          <w:lang w:val="en-US"/>
        </w:rPr>
        <w:t>3GPP TSG RAN WG1 Meeting #11</w:t>
      </w:r>
      <w:r>
        <w:rPr>
          <w:rFonts w:eastAsia="宋体"/>
          <w:b/>
          <w:sz w:val="28"/>
          <w:szCs w:val="28"/>
          <w:lang w:val="en-US" w:eastAsia="zh-CN"/>
        </w:rPr>
        <w:t>6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           </w:t>
      </w:r>
      <w:r>
        <w:rPr>
          <w:rFonts w:hint="eastAsia" w:eastAsia="MS Mincho"/>
          <w:b/>
          <w:sz w:val="28"/>
          <w:szCs w:val="28"/>
          <w:lang w:val="en-US"/>
        </w:rPr>
        <w:t>R1-2400630</w:t>
      </w:r>
    </w:p>
    <w:p>
      <w:pPr>
        <w:widowControl w:val="0"/>
        <w:tabs>
          <w:tab w:val="right" w:pos="10206"/>
        </w:tabs>
        <w:spacing w:afterAutospacing="0"/>
        <w:rPr>
          <w:rFonts w:eastAsia="宋体"/>
          <w:b/>
          <w:sz w:val="28"/>
          <w:szCs w:val="28"/>
          <w:lang w:val="en-US" w:eastAsia="zh-CN"/>
        </w:rPr>
      </w:pPr>
      <w:r>
        <w:rPr>
          <w:b/>
          <w:bCs/>
          <w:sz w:val="28"/>
          <w:szCs w:val="28"/>
          <w:lang w:val="en-US" w:eastAsia="zh-CN"/>
        </w:rPr>
        <w:t>Athens, Greece, February 26th</w:t>
      </w:r>
      <w:r>
        <w:rPr>
          <w:b/>
          <w:bCs/>
          <w:sz w:val="28"/>
          <w:szCs w:val="28"/>
          <w:vertAlign w:val="superscript"/>
          <w:lang w:val="en-US" w:eastAsia="zh-CN"/>
        </w:rPr>
        <w:t xml:space="preserve"> </w:t>
      </w:r>
      <w:r>
        <w:rPr>
          <w:b/>
          <w:bCs/>
          <w:sz w:val="28"/>
          <w:szCs w:val="28"/>
          <w:lang w:val="en-US" w:eastAsia="zh-CN"/>
        </w:rPr>
        <w:t>– March 1st, 2024</w:t>
      </w:r>
      <w:bookmarkStart w:id="4" w:name="_GoBack"/>
      <w:bookmarkEnd w:id="4"/>
    </w:p>
    <w:p>
      <w:pPr>
        <w:widowControl w:val="0"/>
        <w:tabs>
          <w:tab w:val="right" w:pos="10206"/>
        </w:tabs>
        <w:spacing w:afterAutospacing="0"/>
        <w:rPr>
          <w:rFonts w:eastAsia="宋体"/>
          <w:b/>
          <w:sz w:val="28"/>
          <w:szCs w:val="28"/>
          <w:lang w:val="en-US" w:eastAsia="zh-CN"/>
        </w:rPr>
      </w:pPr>
    </w:p>
    <w:bookmarkEnd w:id="0"/>
    <w:p>
      <w:pPr>
        <w:tabs>
          <w:tab w:val="left" w:pos="1985"/>
        </w:tabs>
        <w:spacing w:after="0" w:afterAutospacing="0"/>
        <w:ind w:left="1985" w:hanging="1985" w:hangingChars="706"/>
        <w:rPr>
          <w:rFonts w:eastAsia="宋体"/>
          <w:b/>
          <w:sz w:val="28"/>
          <w:szCs w:val="28"/>
          <w:lang w:val="en-US" w:eastAsia="zh-CN"/>
        </w:rPr>
      </w:pPr>
      <w:bookmarkStart w:id="1" w:name="_Ref133120545"/>
      <w:r>
        <w:rPr>
          <w:b/>
          <w:sz w:val="28"/>
          <w:szCs w:val="28"/>
          <w:lang w:val="en-US"/>
        </w:rPr>
        <w:t>Source:</w:t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S</w:t>
      </w:r>
      <w:r>
        <w:rPr>
          <w:rFonts w:eastAsia="宋体"/>
          <w:b/>
          <w:sz w:val="28"/>
          <w:szCs w:val="28"/>
          <w:lang w:val="en-US" w:eastAsia="zh-CN"/>
        </w:rPr>
        <w:t>harp</w:t>
      </w:r>
    </w:p>
    <w:p>
      <w:pPr>
        <w:spacing w:after="0" w:afterAutospacing="0"/>
        <w:ind w:left="1985" w:hanging="1985" w:hangingChars="706"/>
        <w:rPr>
          <w:rFonts w:eastAsia="宋体"/>
          <w:b/>
          <w:sz w:val="28"/>
          <w:szCs w:val="28"/>
          <w:lang w:val="en-US" w:eastAsia="zh-CN"/>
        </w:rPr>
      </w:pPr>
      <w:r>
        <w:rPr>
          <w:b/>
          <w:sz w:val="28"/>
          <w:szCs w:val="28"/>
          <w:lang w:val="en-US"/>
        </w:rPr>
        <w:t>Title:</w:t>
      </w:r>
      <w:r>
        <w:rPr>
          <w:b/>
          <w:sz w:val="28"/>
          <w:szCs w:val="28"/>
          <w:lang w:val="en-US"/>
        </w:rPr>
        <w:tab/>
      </w:r>
      <w:r>
        <w:rPr>
          <w:rFonts w:hint="eastAsia" w:eastAsia="宋体"/>
          <w:b/>
          <w:sz w:val="28"/>
          <w:szCs w:val="28"/>
          <w:lang w:val="en-US" w:eastAsia="zh-CN"/>
        </w:rPr>
        <w:t>Discussion on general aspects of physical layer design</w:t>
      </w:r>
    </w:p>
    <w:p>
      <w:pPr>
        <w:spacing w:after="0" w:afterAutospacing="0"/>
        <w:ind w:left="1985" w:hanging="1985" w:hangingChars="706"/>
        <w:rPr>
          <w:rFonts w:eastAsia="宋体"/>
          <w:b/>
          <w:sz w:val="28"/>
          <w:szCs w:val="28"/>
          <w:lang w:val="en-US" w:eastAsia="zh-CN"/>
        </w:rPr>
      </w:pPr>
      <w:r>
        <w:rPr>
          <w:b/>
          <w:sz w:val="28"/>
          <w:szCs w:val="28"/>
          <w:lang w:val="en-US"/>
        </w:rPr>
        <w:t>Agenda Item:</w:t>
      </w:r>
      <w:r>
        <w:rPr>
          <w:b/>
          <w:sz w:val="28"/>
          <w:szCs w:val="28"/>
          <w:lang w:val="en-US"/>
        </w:rPr>
        <w:tab/>
      </w:r>
      <w:r>
        <w:rPr>
          <w:rFonts w:hint="eastAsia" w:eastAsia="宋体"/>
          <w:b/>
          <w:sz w:val="28"/>
          <w:szCs w:val="28"/>
          <w:lang w:val="en-US" w:eastAsia="zh-CN"/>
        </w:rPr>
        <w:t>9.4.2.1</w:t>
      </w:r>
    </w:p>
    <w:p>
      <w:pPr>
        <w:pBdr>
          <w:bottom w:val="single" w:color="auto" w:sz="12" w:space="1"/>
        </w:pBdr>
        <w:ind w:left="1985" w:hanging="1985" w:hangingChars="706"/>
        <w:rPr>
          <w:rFonts w:eastAsia="宋体"/>
          <w:b/>
          <w:sz w:val="28"/>
          <w:szCs w:val="28"/>
          <w:lang w:val="en-US" w:eastAsia="zh-CN"/>
        </w:rPr>
      </w:pPr>
      <w:r>
        <w:rPr>
          <w:b/>
          <w:sz w:val="28"/>
          <w:szCs w:val="28"/>
          <w:lang w:val="en-US"/>
        </w:rPr>
        <w:t>Document for:</w:t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Discussion</w:t>
      </w:r>
      <w:bookmarkStart w:id="2" w:name="DocumentFor"/>
      <w:bookmarkEnd w:id="2"/>
      <w:r>
        <w:rPr>
          <w:b/>
          <w:sz w:val="28"/>
          <w:szCs w:val="28"/>
          <w:lang w:val="en-US"/>
        </w:rPr>
        <w:t xml:space="preserve"> and Decision</w:t>
      </w:r>
    </w:p>
    <w:p>
      <w:pPr>
        <w:keepNext/>
        <w:numPr>
          <w:ilvl w:val="0"/>
          <w:numId w:val="1"/>
        </w:numPr>
        <w:tabs>
          <w:tab w:val="left" w:pos="0"/>
        </w:tabs>
        <w:spacing w:before="240" w:after="180" w:afterLines="50" w:afterAutospacing="0"/>
        <w:ind w:left="489" w:hanging="489"/>
        <w:outlineLvl w:val="0"/>
        <w:rPr>
          <w:b/>
          <w:kern w:val="28"/>
          <w:sz w:val="32"/>
          <w:lang w:val="en-US"/>
        </w:rPr>
      </w:pPr>
      <w:r>
        <w:rPr>
          <w:b/>
          <w:kern w:val="28"/>
          <w:sz w:val="32"/>
          <w:lang w:val="en-US"/>
        </w:rPr>
        <w:t>Introduction</w:t>
      </w:r>
      <w:bookmarkEnd w:id="1"/>
    </w:p>
    <w:p>
      <w:pPr>
        <w:spacing w:before="240" w:after="24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new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study</w:t>
      </w:r>
      <w:r>
        <w:rPr>
          <w:rFonts w:eastAsia="宋体"/>
          <w:lang w:eastAsia="zh-CN"/>
        </w:rPr>
        <w:t xml:space="preserve"> item on</w:t>
      </w:r>
      <w:r>
        <w:rPr>
          <w:rFonts w:hint="eastAsia" w:eastAsia="宋体"/>
          <w:lang w:val="en-US" w:eastAsia="zh-CN"/>
        </w:rPr>
        <w:t xml:space="preserve"> solutions for</w:t>
      </w:r>
      <w:r>
        <w:rPr>
          <w:rFonts w:eastAsia="宋体"/>
          <w:lang w:eastAsia="zh-CN"/>
        </w:rPr>
        <w:t xml:space="preserve"> Ambient IoT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_Ref124764504 \n \h </w:instrText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 for Rel-19 was approved </w:t>
      </w:r>
      <w:r>
        <w:rPr>
          <w:rFonts w:eastAsia="宋体"/>
          <w:lang w:val="en-US" w:eastAsia="zh-CN"/>
        </w:rPr>
        <w:t xml:space="preserve">in </w:t>
      </w:r>
      <w:r>
        <w:rPr>
          <w:rFonts w:hint="eastAsia" w:eastAsia="宋体"/>
          <w:lang w:val="en-US" w:eastAsia="zh-CN"/>
        </w:rPr>
        <w:t>RAN#102, with objectives including the following</w:t>
      </w:r>
      <w:r>
        <w:rPr>
          <w:rFonts w:eastAsia="宋体"/>
          <w:lang w:val="en-US" w:eastAsia="zh-CN"/>
        </w:rPr>
        <w:t>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宋体"/>
                <w:sz w:val="22"/>
                <w:szCs w:val="22"/>
                <w:lang w:val="en-US"/>
              </w:rPr>
            </w:pPr>
            <w:r>
              <w:rPr>
                <w:rFonts w:hint="eastAsia" w:eastAsia="宋体"/>
                <w:sz w:val="22"/>
                <w:szCs w:val="22"/>
                <w:lang w:val="en-US"/>
              </w:rPr>
              <w:t>RAN1-led: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60" w:afterAutospacing="0"/>
              <w:ind w:left="0" w:right="-96" w:firstLine="720"/>
              <w:rPr>
                <w:rFonts w:hint="eastAsia" w:eastAsia="宋体"/>
                <w:sz w:val="22"/>
                <w:szCs w:val="22"/>
                <w:lang w:val="en-US"/>
              </w:rPr>
            </w:pPr>
            <w:r>
              <w:rPr>
                <w:rFonts w:hint="eastAsia" w:eastAsia="宋体"/>
                <w:sz w:val="22"/>
                <w:szCs w:val="22"/>
                <w:lang w:val="en-US"/>
              </w:rPr>
              <w:t>For the Ambient IoT DL and UL: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宋体"/>
                <w:sz w:val="22"/>
                <w:szCs w:val="22"/>
                <w:lang w:val="en-US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[...]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宋体"/>
                <w:sz w:val="22"/>
                <w:szCs w:val="22"/>
                <w:lang w:val="en-US"/>
              </w:rPr>
            </w:pPr>
            <w:r>
              <w:rPr>
                <w:rFonts w:hint="eastAsia" w:eastAsia="宋体"/>
                <w:sz w:val="22"/>
                <w:szCs w:val="22"/>
                <w:lang w:val="en-US"/>
              </w:rPr>
              <w:t>Numerologies, bandwidths, and multiple access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宋体"/>
                <w:sz w:val="22"/>
                <w:szCs w:val="22"/>
                <w:lang w:val="en-US"/>
              </w:rPr>
            </w:pPr>
            <w:r>
              <w:rPr>
                <w:rFonts w:hint="eastAsia" w:eastAsia="宋体"/>
                <w:sz w:val="22"/>
                <w:szCs w:val="22"/>
                <w:lang w:val="en-US"/>
              </w:rPr>
              <w:t>Waveforms and modulations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MS Mincho"/>
                <w:szCs w:val="20"/>
                <w:lang w:val="en-US" w:eastAsia="ko-KR"/>
              </w:rPr>
            </w:pPr>
            <w:r>
              <w:rPr>
                <w:rFonts w:hint="eastAsia" w:eastAsia="宋体"/>
                <w:sz w:val="22"/>
                <w:szCs w:val="22"/>
                <w:lang w:val="en-US"/>
              </w:rPr>
              <w:t>Channel coding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MS Mincho"/>
                <w:szCs w:val="20"/>
                <w:lang w:val="en-US" w:eastAsia="ko-KR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[...]</w:t>
            </w:r>
          </w:p>
        </w:tc>
      </w:tr>
    </w:tbl>
    <w:p>
      <w:pPr>
        <w:spacing w:before="240" w:after="240" w:afterAutospacing="0"/>
        <w:rPr>
          <w:rFonts w:eastAsia="宋体"/>
          <w:lang w:val="en-US" w:eastAsia="zh-CN"/>
        </w:rPr>
      </w:pP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宋体"/>
          <w:lang w:val="en-US" w:eastAsia="zh-CN"/>
        </w:rPr>
        <w:t>share our views on some general aspects of physical layer design</w:t>
      </w:r>
      <w:r>
        <w:rPr>
          <w:rFonts w:hint="eastAsia" w:eastAsia="宋体"/>
          <w:lang w:val="en-US" w:eastAsia="zh-CN"/>
        </w:rPr>
        <w:t>.</w:t>
      </w:r>
    </w:p>
    <w:p>
      <w:pPr>
        <w:keepNext/>
        <w:numPr>
          <w:ilvl w:val="0"/>
          <w:numId w:val="1"/>
        </w:numPr>
        <w:tabs>
          <w:tab w:val="left" w:pos="0"/>
        </w:tabs>
        <w:spacing w:before="240" w:after="180" w:afterLines="50" w:afterAutospacing="0"/>
        <w:ind w:left="489" w:hanging="489"/>
        <w:outlineLvl w:val="0"/>
        <w:rPr>
          <w:b/>
          <w:kern w:val="28"/>
          <w:sz w:val="32"/>
          <w:lang w:val="en-US"/>
        </w:rPr>
      </w:pPr>
      <w:r>
        <w:rPr>
          <w:b/>
          <w:kern w:val="28"/>
          <w:sz w:val="32"/>
          <w:lang w:val="en-US"/>
        </w:rPr>
        <w:t>Discussion</w:t>
      </w:r>
    </w:p>
    <w:p>
      <w:pPr>
        <w:keepNext/>
        <w:numPr>
          <w:ilvl w:val="1"/>
          <w:numId w:val="1"/>
        </w:numPr>
        <w:tabs>
          <w:tab w:val="left" w:pos="0"/>
          <w:tab w:val="left" w:pos="709"/>
          <w:tab w:val="clear" w:pos="567"/>
        </w:tabs>
        <w:spacing w:before="100" w:beforeAutospacing="1" w:after="180" w:afterLines="50" w:afterAutospacing="0"/>
        <w:outlineLvl w:val="1"/>
        <w:rPr>
          <w:rFonts w:eastAsia="宋体"/>
          <w:b/>
          <w:kern w:val="28"/>
          <w:sz w:val="28"/>
          <w:szCs w:val="28"/>
          <w:lang w:val="en-US" w:eastAsia="zh-CN"/>
        </w:rPr>
      </w:pPr>
      <w:r>
        <w:rPr>
          <w:rFonts w:hint="eastAsia" w:eastAsia="宋体"/>
          <w:b/>
          <w:kern w:val="28"/>
          <w:sz w:val="28"/>
          <w:szCs w:val="28"/>
          <w:lang w:val="en-US" w:eastAsia="zh-CN"/>
        </w:rPr>
        <w:t>Functional split</w:t>
      </w:r>
    </w:p>
    <w:p>
      <w:pPr>
        <w:spacing w:before="180" w:beforeLines="50" w:after="180"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From system perspective it is obvious that UEs with ~1 µW peak power consumption (denoted by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Type-1 UEs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in this document) can only support a basic set of functionalities, and UEs with ≤ a few hundred µW peak power consumption (denoted by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Type-2 UEs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in this document) should be capable of supporting both the basic set of functionalities and an advanced set of functionalities.</w:t>
      </w:r>
    </w:p>
    <w:p>
      <w:pPr>
        <w:spacing w:before="180" w:beforeLines="50" w:after="180"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We envision the basic set of functionalities to </w:t>
      </w:r>
      <w:r>
        <w:rPr>
          <w:rFonts w:eastAsia="宋体"/>
          <w:lang w:val="en-US" w:eastAsia="zh-CN"/>
        </w:rPr>
        <w:t>require</w:t>
      </w:r>
      <w:r>
        <w:rPr>
          <w:rFonts w:hint="eastAsia" w:eastAsia="宋体"/>
          <w:lang w:val="en-US" w:eastAsia="zh-CN"/>
        </w:rPr>
        <w:t xml:space="preserve"> a UE complexity level down to that of an RFID tag, and a BS (or an intermediate node) complexity level down to that of an RFID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reader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, and a total deployment cost comparable with a corresponding RFID system (e.g. ISO18000-6C). This at least implies that 1)</w:t>
      </w:r>
      <w:r>
        <w:rPr>
          <w:rFonts w:eastAsia="宋体"/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design of both receiver and transmitter of a Type-1 UE should target the complexity of an RFID tag; 2)</w:t>
      </w:r>
      <w:r>
        <w:rPr>
          <w:rFonts w:eastAsia="宋体"/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a network node (i.e. a BS, or an intermediate node), as well as a UE, should be allowed to only support the basic set of functionalities.</w:t>
      </w:r>
    </w:p>
    <w:p>
      <w:pPr>
        <w:spacing w:before="180" w:beforeLines="50" w:after="180" w:afterLines="5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\r 1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1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A basic set of functionalities is defined to be supported by both Type-1 UEs (i.e. UEs with ~1 µW peak power consumption) and Type-2 UEs (UEs with ≤ a few hundred µW peak power consumption), and an advanced set of functionalities is defined to be supported only by Type-2 UEs.</w:t>
      </w:r>
    </w:p>
    <w:p>
      <w:pPr>
        <w:spacing w:after="120" w:afterAutospacing="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2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Both the following network deployment options are supported: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Option 1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only the basic set of functionalities is enabled</w:t>
      </w:r>
      <w:r>
        <w:rPr>
          <w:rFonts w:eastAsia="宋体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240" w:afterAutospacing="0"/>
        <w:ind w:left="476" w:hanging="238"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Option 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both the basic set of functionalities and the advanced set of functionalities are enabled</w:t>
      </w:r>
      <w:r>
        <w:rPr>
          <w:rFonts w:eastAsia="宋体"/>
          <w:lang w:val="en-US" w:eastAsia="zh-CN"/>
        </w:rPr>
        <w:t>.</w:t>
      </w:r>
    </w:p>
    <w:p>
      <w:pPr>
        <w:keepNext/>
        <w:numPr>
          <w:ilvl w:val="1"/>
          <w:numId w:val="1"/>
        </w:numPr>
        <w:tabs>
          <w:tab w:val="left" w:pos="0"/>
          <w:tab w:val="left" w:pos="709"/>
          <w:tab w:val="clear" w:pos="567"/>
        </w:tabs>
        <w:spacing w:before="100" w:beforeAutospacing="1" w:after="180" w:afterLines="50" w:afterAutospacing="0"/>
        <w:outlineLvl w:val="1"/>
        <w:rPr>
          <w:rFonts w:eastAsia="宋体"/>
          <w:b/>
          <w:kern w:val="28"/>
          <w:sz w:val="28"/>
          <w:szCs w:val="28"/>
          <w:lang w:val="en-US" w:eastAsia="zh-CN"/>
        </w:rPr>
      </w:pPr>
      <w:r>
        <w:rPr>
          <w:rFonts w:hint="eastAsia" w:eastAsia="宋体"/>
          <w:b/>
          <w:kern w:val="28"/>
          <w:sz w:val="28"/>
          <w:szCs w:val="28"/>
          <w:lang w:val="en-US" w:eastAsia="zh-CN"/>
        </w:rPr>
        <w:t>Mode of deployment</w:t>
      </w:r>
    </w:p>
    <w:p>
      <w:pPr>
        <w:spacing w:before="180" w:beforeLines="50" w:after="180"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order not to increase UE complexity, it is crucial that a same physical layer design should be strived for the three modes of deployment, i.e.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in-band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guard-band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standalone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. Moreover, it is desirable to study whether the actual mode of deployment in use can be transparent to the UE at least in some deployment scenarios (e.g. for some application layer </w:t>
      </w:r>
      <w:r>
        <w:rPr>
          <w:rFonts w:eastAsia="宋体"/>
          <w:lang w:val="en-US" w:eastAsia="zh-CN"/>
        </w:rPr>
        <w:t xml:space="preserve">data </w:t>
      </w:r>
      <w:r>
        <w:rPr>
          <w:rFonts w:hint="eastAsia" w:eastAsia="宋体"/>
          <w:lang w:val="en-US" w:eastAsia="zh-CN"/>
        </w:rPr>
        <w:t>traffic types, and/or for the basic set of functionalities).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3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A same physical layer design is strived for the three modes of deployments, i.e.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in-band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guard-band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standalone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4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RAN1 to study whether the actual mode of deployment in use can be transparent to the UE in some deployment scenarios.</w:t>
      </w:r>
    </w:p>
    <w:p>
      <w:pPr>
        <w:keepNext/>
        <w:numPr>
          <w:ilvl w:val="1"/>
          <w:numId w:val="1"/>
        </w:numPr>
        <w:tabs>
          <w:tab w:val="left" w:pos="0"/>
          <w:tab w:val="left" w:pos="709"/>
          <w:tab w:val="clear" w:pos="567"/>
        </w:tabs>
        <w:spacing w:before="100" w:beforeAutospacing="1" w:after="180" w:afterLines="50" w:afterAutospacing="0"/>
        <w:outlineLvl w:val="1"/>
        <w:rPr>
          <w:rFonts w:eastAsia="宋体"/>
          <w:b/>
          <w:kern w:val="28"/>
          <w:sz w:val="28"/>
          <w:szCs w:val="28"/>
          <w:lang w:val="en-US" w:eastAsia="zh-CN"/>
        </w:rPr>
      </w:pPr>
      <w:r>
        <w:rPr>
          <w:rFonts w:hint="eastAsia" w:eastAsia="宋体"/>
          <w:b/>
          <w:kern w:val="28"/>
          <w:sz w:val="28"/>
          <w:szCs w:val="28"/>
          <w:lang w:val="en-US" w:eastAsia="zh-CN"/>
        </w:rPr>
        <w:t>System information</w:t>
      </w:r>
    </w:p>
    <w:p>
      <w:pPr>
        <w:spacing w:before="180" w:beforeLines="50" w:after="180"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our view, in order to minimize the per-message over-the-air signaling overhead, SI (system information) should be supported. The SI should be valid over the duration of an application layer data session.</w:t>
      </w:r>
    </w:p>
    <w:p>
      <w:pPr>
        <w:spacing w:before="180" w:beforeLines="50" w:after="180"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Since this is an aspect that may have a RAN2 impact, we think RAN1 should carry out a study and conclude the feasibility (e.g. including the maximum payload size, the persistence time, etc.) as early as possible.</w:t>
      </w:r>
    </w:p>
    <w:p>
      <w:pPr>
        <w:spacing w:before="180" w:beforeLines="50" w:after="180" w:afterLines="5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5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RAN1 to study and conclude the feasibility of supporting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system information</w:t>
      </w:r>
      <w:r>
        <w:rPr>
          <w:rFonts w:eastAsia="宋体"/>
          <w:lang w:val="en-US" w:eastAsia="zh-CN"/>
        </w:rPr>
        <w:t>” (including the level of support by Type-1 UEs and Type-2 UEs)</w:t>
      </w:r>
      <w:r>
        <w:rPr>
          <w:rFonts w:hint="eastAsia" w:eastAsia="宋体"/>
          <w:lang w:val="en-US" w:eastAsia="zh-CN"/>
        </w:rPr>
        <w:t xml:space="preserve"> transmission at physical layer.</w:t>
      </w:r>
    </w:p>
    <w:p>
      <w:pPr>
        <w:spacing w:before="180" w:beforeLines="50" w:after="180" w:afterLines="5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Regardless of the decision on support for SI (and the level of support for Type-1 UEs and Type-2 UEs), we think the basic set of functionalities should come with minimum over-the-air configurability. Instead,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pre-configuration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should be supported. RAN1 should evaluate the maximum payload size of the pre-configuration, for both Type-1 UEs and Type-2 UEs, taking the target costs of these UEs into account.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6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RAN1 to study and conclude the feasibility of supporting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pre-configuration</w:t>
      </w:r>
      <w:r>
        <w:rPr>
          <w:rFonts w:eastAsia="宋体"/>
          <w:lang w:val="en-US" w:eastAsia="zh-CN"/>
        </w:rPr>
        <w:t>” (including the level of support by Type-1 UEs and Type-2 UEs)</w:t>
      </w:r>
      <w:r>
        <w:rPr>
          <w:rFonts w:hint="eastAsia" w:eastAsia="宋体"/>
          <w:lang w:val="en-US" w:eastAsia="zh-CN"/>
        </w:rPr>
        <w:t xml:space="preserve"> in A-IoT.</w:t>
      </w:r>
    </w:p>
    <w:p>
      <w:pPr>
        <w:keepNext/>
        <w:numPr>
          <w:ilvl w:val="1"/>
          <w:numId w:val="1"/>
        </w:numPr>
        <w:tabs>
          <w:tab w:val="left" w:pos="0"/>
          <w:tab w:val="left" w:pos="709"/>
          <w:tab w:val="clear" w:pos="567"/>
        </w:tabs>
        <w:spacing w:before="100" w:beforeAutospacing="1" w:after="180" w:afterLines="50" w:afterAutospacing="0"/>
        <w:outlineLvl w:val="1"/>
        <w:rPr>
          <w:rFonts w:eastAsia="宋体"/>
          <w:b/>
          <w:kern w:val="28"/>
          <w:sz w:val="28"/>
          <w:szCs w:val="28"/>
          <w:lang w:val="en-US" w:eastAsia="zh-CN"/>
        </w:rPr>
      </w:pPr>
      <w:r>
        <w:rPr>
          <w:rFonts w:eastAsia="宋体"/>
          <w:b/>
          <w:kern w:val="28"/>
          <w:sz w:val="28"/>
          <w:szCs w:val="28"/>
          <w:lang w:val="en-US" w:eastAsia="zh-CN"/>
        </w:rPr>
        <w:t>RF c</w:t>
      </w:r>
      <w:r>
        <w:rPr>
          <w:rFonts w:hint="eastAsia" w:eastAsia="宋体"/>
          <w:b/>
          <w:kern w:val="28"/>
          <w:sz w:val="28"/>
          <w:szCs w:val="28"/>
          <w:lang w:val="en-US" w:eastAsia="zh-CN"/>
        </w:rPr>
        <w:t>hannel bandwidth</w:t>
      </w:r>
    </w:p>
    <w:p>
      <w:p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Regarding RF channel(s) used for A-IoT, it should be possible that for a BS or an intermediate node, multiple RF channels can be used simultaneously, e.g. each serving a </w:t>
      </w:r>
      <w:r>
        <w:rPr>
          <w:rFonts w:eastAsia="宋体"/>
          <w:lang w:val="en-US" w:eastAsia="zh-CN"/>
        </w:rPr>
        <w:t xml:space="preserve">different </w:t>
      </w:r>
      <w:r>
        <w:rPr>
          <w:rFonts w:hint="eastAsia" w:eastAsia="宋体"/>
          <w:lang w:val="en-US" w:eastAsia="zh-CN"/>
        </w:rPr>
        <w:t>group of UEs.</w:t>
      </w:r>
    </w:p>
    <w:p>
      <w:p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Type-1 UEs, it is sufficient to support </w:t>
      </w:r>
      <w:r>
        <w:rPr>
          <w:rFonts w:eastAsia="宋体"/>
          <w:lang w:val="en-US" w:eastAsia="zh-CN"/>
        </w:rPr>
        <w:t>one</w:t>
      </w:r>
      <w:r>
        <w:rPr>
          <w:rFonts w:hint="eastAsia" w:eastAsia="宋体"/>
          <w:lang w:val="en-US" w:eastAsia="zh-CN"/>
        </w:rPr>
        <w:t xml:space="preserve"> RF channel bandwidth in each frequency band. Support for more RF channel bandwidth values can be part of the advanced set of functionalities and can be studied with lower priority.</w:t>
      </w:r>
    </w:p>
    <w:p>
      <w:p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7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For the </w:t>
      </w:r>
      <w:r>
        <w:rPr>
          <w:lang w:val="en-US" w:eastAsia="zh-CN"/>
        </w:rPr>
        <w:t xml:space="preserve">basic </w:t>
      </w:r>
      <w:r>
        <w:rPr>
          <w:rFonts w:hint="eastAsia" w:eastAsia="宋体"/>
          <w:lang w:val="en-US" w:eastAsia="zh-CN"/>
        </w:rPr>
        <w:t xml:space="preserve">set of functionalities, one and only one RF channel bandwidth </w:t>
      </w:r>
      <w:r>
        <w:rPr>
          <w:rFonts w:eastAsia="宋体"/>
          <w:lang w:val="en-US" w:eastAsia="zh-CN"/>
        </w:rPr>
        <w:t xml:space="preserve">is supported in </w:t>
      </w:r>
      <w:r>
        <w:rPr>
          <w:rFonts w:hint="eastAsia" w:eastAsia="宋体"/>
          <w:lang w:val="en-US" w:eastAsia="zh-CN"/>
        </w:rPr>
        <w:t>each frequency band.</w:t>
      </w:r>
    </w:p>
    <w:p>
      <w:p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order to facilitate support for in-band deployment, it should be possible that RF channel configuration is compatible with legacy NR Uu.</w:t>
      </w:r>
    </w:p>
    <w:p>
      <w:pPr>
        <w:numPr>
          <w:ilvl w:val="255"/>
          <w:numId w:val="0"/>
        </w:num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8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The bandwidth of an RF channel in A-IoT is compatible with legacy NR Uu.</w:t>
      </w:r>
    </w:p>
    <w:p>
      <w:pPr>
        <w:keepNext/>
        <w:numPr>
          <w:ilvl w:val="1"/>
          <w:numId w:val="1"/>
        </w:numPr>
        <w:tabs>
          <w:tab w:val="left" w:pos="0"/>
          <w:tab w:val="left" w:pos="709"/>
          <w:tab w:val="clear" w:pos="567"/>
        </w:tabs>
        <w:spacing w:before="100" w:beforeAutospacing="1" w:after="180" w:afterLines="50" w:afterAutospacing="0"/>
        <w:outlineLvl w:val="1"/>
        <w:rPr>
          <w:rFonts w:eastAsia="宋体"/>
          <w:b/>
          <w:kern w:val="28"/>
          <w:sz w:val="28"/>
          <w:szCs w:val="28"/>
          <w:lang w:val="en-US" w:eastAsia="zh-CN"/>
        </w:rPr>
      </w:pPr>
      <w:r>
        <w:rPr>
          <w:rFonts w:hint="eastAsia" w:eastAsia="宋体"/>
          <w:b/>
          <w:kern w:val="28"/>
          <w:sz w:val="28"/>
          <w:szCs w:val="28"/>
          <w:lang w:val="en-US" w:eastAsia="zh-CN"/>
        </w:rPr>
        <w:t>Waveforms, modulations and coding</w:t>
      </w:r>
    </w:p>
    <w:p>
      <w:p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Regarding waveforms and modulations, there had been proposals from some companies during the RAN level study that in order to achieve ultra-low power consumption in a Type-1 UE receiver (e.g. with envelope detection), modulation schemes like OOK (On-Off Keying) should be used. We think this is a reasonable direction at least for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downlink and for the basic set of functionalities. For any discussion on OOK-based waveforms, RAN1 should exploit the outcome of the study on LP-WUS as much as possible.</w:t>
      </w:r>
    </w:p>
    <w:p>
      <w:p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9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the basic set of functionalities, OOK is evaluated for downlink data and signaling transmissions.</w:t>
      </w:r>
    </w:p>
    <w:p>
      <w:p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Regarding coding, </w:t>
      </w:r>
      <w:r>
        <w:rPr>
          <w:rFonts w:eastAsia="宋体"/>
          <w:lang w:val="en-US" w:eastAsia="zh-CN"/>
        </w:rPr>
        <w:t xml:space="preserve">in our view, </w:t>
      </w:r>
      <w:r>
        <w:rPr>
          <w:rFonts w:hint="eastAsia" w:eastAsia="宋体"/>
          <w:lang w:val="en-US" w:eastAsia="zh-CN"/>
        </w:rPr>
        <w:t>at least for the basic set of functionalities, an</w:t>
      </w:r>
      <w:r>
        <w:rPr>
          <w:rFonts w:eastAsia="宋体"/>
          <w:lang w:val="en-US" w:eastAsia="zh-CN"/>
        </w:rPr>
        <w:t>y</w:t>
      </w:r>
      <w:r>
        <w:rPr>
          <w:rFonts w:hint="eastAsia" w:eastAsia="宋体"/>
          <w:lang w:val="en-US" w:eastAsia="zh-CN"/>
        </w:rPr>
        <w:t xml:space="preserve"> coding technique adopted for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downlink should come with 1), </w:t>
      </w:r>
      <w:r>
        <w:rPr>
          <w:rFonts w:eastAsia="宋体"/>
          <w:lang w:val="en-US" w:eastAsia="zh-CN"/>
        </w:rPr>
        <w:t>ultra-</w:t>
      </w:r>
      <w:r>
        <w:rPr>
          <w:rFonts w:hint="eastAsia" w:eastAsia="宋体"/>
          <w:lang w:val="en-US" w:eastAsia="zh-CN"/>
        </w:rPr>
        <w:t xml:space="preserve">low complexity; and 2), robustness against errors; and 3), synchronous clock; and 4), facilitation of energy harvesting (regardless of the contents of the transmitted </w:t>
      </w:r>
      <w:r>
        <w:rPr>
          <w:rFonts w:eastAsia="宋体"/>
          <w:lang w:val="en-US" w:eastAsia="zh-CN"/>
        </w:rPr>
        <w:t>data or signaling</w:t>
      </w:r>
      <w:r>
        <w:rPr>
          <w:rFonts w:hint="eastAsia" w:eastAsia="宋体"/>
          <w:lang w:val="en-US" w:eastAsia="zh-CN"/>
        </w:rPr>
        <w:t>). We propose to at least consider Manchester coding.</w:t>
      </w:r>
    </w:p>
    <w:p>
      <w:p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10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the basic set of functionalities, Manchester coding is evaluated for downlink data and signaling transmissions.</w:t>
      </w:r>
    </w:p>
    <w:p>
      <w:pPr>
        <w:keepNext/>
        <w:numPr>
          <w:ilvl w:val="0"/>
          <w:numId w:val="1"/>
        </w:numPr>
        <w:tabs>
          <w:tab w:val="left" w:pos="0"/>
        </w:tabs>
        <w:spacing w:before="240" w:after="180" w:afterLines="50" w:afterAutospacing="0"/>
        <w:ind w:left="489" w:hanging="489"/>
        <w:outlineLvl w:val="0"/>
        <w:rPr>
          <w:b/>
          <w:kern w:val="28"/>
          <w:sz w:val="32"/>
          <w:lang w:val="en-US"/>
        </w:rPr>
      </w:pPr>
      <w:r>
        <w:rPr>
          <w:b/>
          <w:kern w:val="28"/>
          <w:sz w:val="32"/>
          <w:lang w:val="en-US"/>
        </w:rPr>
        <w:t>Conclusion</w:t>
      </w:r>
    </w:p>
    <w:p>
      <w:pPr>
        <w:spacing w:after="180" w:afterLines="50" w:afterAutospacing="0"/>
        <w:rPr>
          <w:rFonts w:eastAsia="宋体"/>
          <w:lang w:val="en-US" w:eastAsia="zh-CN"/>
        </w:rPr>
      </w:pPr>
      <w:r>
        <w:rPr>
          <w:lang w:val="en-US"/>
        </w:rPr>
        <w:t xml:space="preserve">In this contribution, we </w:t>
      </w:r>
      <w:r>
        <w:rPr>
          <w:rFonts w:eastAsia="宋体"/>
          <w:lang w:val="en-US" w:eastAsia="zh-CN"/>
        </w:rPr>
        <w:t xml:space="preserve">discuss some general aspects of physical layer design, and make </w:t>
      </w:r>
      <w:r>
        <w:rPr>
          <w:lang w:val="en-US"/>
        </w:rPr>
        <w:t>the following proposals</w:t>
      </w:r>
      <w:r>
        <w:rPr>
          <w:rFonts w:eastAsia="宋体"/>
          <w:lang w:val="en-US" w:eastAsia="zh-CN"/>
        </w:rPr>
        <w:t>.</w:t>
      </w:r>
    </w:p>
    <w:p>
      <w:pPr>
        <w:spacing w:before="180" w:beforeLines="50" w:after="180" w:afterLines="5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\r 1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1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A basic set of functionalities is defined to be supported by both Type-1 UEs (i.e. UEs with ~1 µW peak power consumption) and Type-2 UEs (UEs with ≤ a few hundred µW peak power consumption), and an advanced set of functionalities is defined to be supported only by Type-2 UEs.</w:t>
      </w:r>
    </w:p>
    <w:p>
      <w:pPr>
        <w:spacing w:after="120" w:afterAutospacing="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2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Both the following network deployment options are supported: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Option 1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only the basic set of functionalities is enabled</w:t>
      </w:r>
      <w:r>
        <w:rPr>
          <w:rFonts w:eastAsia="宋体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240" w:afterAutospacing="0"/>
        <w:ind w:left="476" w:hanging="238"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Option 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both the basic set of functionalities and the advanced set of functionalities are enabled</w:t>
      </w:r>
      <w:r>
        <w:rPr>
          <w:rFonts w:eastAsia="宋体"/>
          <w:lang w:val="en-US" w:eastAsia="zh-CN"/>
        </w:rPr>
        <w:t>.</w:t>
      </w:r>
    </w:p>
    <w:p>
      <w:pPr>
        <w:spacing w:before="180" w:beforeLines="50" w:after="180" w:afterLines="5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3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A same physical layer design is strived for the three modes of deployments, i.e.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in-band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guard-band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standalone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4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RAN1 to study whether the actual mode of deployment in use can be transparent to the UE in some deployment scenarios.</w:t>
      </w:r>
    </w:p>
    <w:p>
      <w:pPr>
        <w:spacing w:before="180" w:beforeLines="50" w:after="180" w:afterLines="5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5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RAN1 to study and conclude the feasibility of supporting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system information</w:t>
      </w:r>
      <w:r>
        <w:rPr>
          <w:rFonts w:eastAsia="宋体"/>
          <w:lang w:val="en-US" w:eastAsia="zh-CN"/>
        </w:rPr>
        <w:t>” (including the level of support by Type-1 UEs and Type-2 UEs)</w:t>
      </w:r>
      <w:r>
        <w:rPr>
          <w:rFonts w:hint="eastAsia" w:eastAsia="宋体"/>
          <w:lang w:val="en-US" w:eastAsia="zh-CN"/>
        </w:rPr>
        <w:t xml:space="preserve"> transmission at physical layer.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6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RAN1 to study and conclude the feasibility of supporting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pre-configuration</w:t>
      </w:r>
      <w:r>
        <w:rPr>
          <w:rFonts w:eastAsia="宋体"/>
          <w:lang w:val="en-US" w:eastAsia="zh-CN"/>
        </w:rPr>
        <w:t>” (including the level of support by Type-1 UEs and Type-2 UEs)</w:t>
      </w:r>
      <w:r>
        <w:rPr>
          <w:rFonts w:hint="eastAsia" w:eastAsia="宋体"/>
          <w:lang w:val="en-US" w:eastAsia="zh-CN"/>
        </w:rPr>
        <w:t xml:space="preserve"> in A-IoT.</w:t>
      </w:r>
    </w:p>
    <w:p>
      <w:p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7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For the </w:t>
      </w:r>
      <w:r>
        <w:rPr>
          <w:lang w:val="en-US" w:eastAsia="zh-CN"/>
        </w:rPr>
        <w:t xml:space="preserve">basic </w:t>
      </w:r>
      <w:r>
        <w:rPr>
          <w:rFonts w:hint="eastAsia" w:eastAsia="宋体"/>
          <w:lang w:val="en-US" w:eastAsia="zh-CN"/>
        </w:rPr>
        <w:t xml:space="preserve">set of functionalities, one and only one RF channel bandwidth </w:t>
      </w:r>
      <w:r>
        <w:rPr>
          <w:rFonts w:eastAsia="宋体"/>
          <w:lang w:val="en-US" w:eastAsia="zh-CN"/>
        </w:rPr>
        <w:t xml:space="preserve">is supported in </w:t>
      </w:r>
      <w:r>
        <w:rPr>
          <w:rFonts w:hint="eastAsia" w:eastAsia="宋体"/>
          <w:lang w:val="en-US" w:eastAsia="zh-CN"/>
        </w:rPr>
        <w:t>each frequency band.</w:t>
      </w:r>
    </w:p>
    <w:p>
      <w:pPr>
        <w:numPr>
          <w:ilvl w:val="255"/>
          <w:numId w:val="0"/>
        </w:num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8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The bandwidth of an RF channel in A-IoT is compatible with legacy NR Uu.</w:t>
      </w:r>
    </w:p>
    <w:p>
      <w:pPr>
        <w:spacing w:after="180" w:afterLines="50" w:afterAutospacing="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9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the basic set of functionalities, OOK is evaluated for downlink data and signaling transmissions.</w:t>
      </w:r>
    </w:p>
    <w:p>
      <w:pPr>
        <w:spacing w:before="180" w:beforeLines="50" w:after="180" w:afterLines="50" w:afterAutospacing="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10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the basic set of functionalities, Manchester coding is evaluated for downlink data and signaling transmissions.</w:t>
      </w:r>
    </w:p>
    <w:p>
      <w:pPr>
        <w:keepNext/>
        <w:numPr>
          <w:ilvl w:val="0"/>
          <w:numId w:val="1"/>
        </w:numPr>
        <w:tabs>
          <w:tab w:val="left" w:pos="0"/>
        </w:tabs>
        <w:spacing w:before="240" w:after="180" w:afterLines="50" w:afterAutospacing="0"/>
        <w:ind w:left="489" w:hanging="489"/>
        <w:outlineLvl w:val="0"/>
        <w:rPr>
          <w:kern w:val="28"/>
          <w:sz w:val="32"/>
          <w:lang w:val="en-US"/>
        </w:rPr>
      </w:pPr>
      <w:r>
        <w:rPr>
          <w:b/>
          <w:kern w:val="28"/>
          <w:sz w:val="32"/>
          <w:lang w:val="en-US"/>
        </w:rPr>
        <w:t>References</w:t>
      </w:r>
    </w:p>
    <w:p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3" w:name="_Ref124764504"/>
      <w:r>
        <w:rPr>
          <w:rFonts w:eastAsia="MS Mincho"/>
          <w:lang w:val="en-US" w:eastAsia="en-GB"/>
        </w:rPr>
        <w:t>RP-234058, “New SID: Study on solutions for Ambient IoT (Internet of Things) in NR”, Huawei (moderator, RAN1 Vice-Chair), RAN#102.</w:t>
      </w:r>
      <w:bookmarkEnd w:id="3"/>
    </w:p>
    <w:p/>
    <w:sectPr>
      <w:footerReference r:id="rId4" w:type="default"/>
      <w:pgSz w:w="12240" w:h="15840"/>
      <w:pgMar w:top="1411" w:right="1138" w:bottom="1138" w:left="1138" w:header="850" w:footer="0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</w:p>
  <w:p>
    <w:pPr>
      <w:pStyle w:val="6"/>
    </w:pP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74EEED"/>
    <w:multiLevelType w:val="multilevel"/>
    <w:tmpl w:val="8F74EEE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5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  <w:sz w:val="13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1F250011"/>
    <w:multiLevelType w:val="multilevel"/>
    <w:tmpl w:val="1F250011"/>
    <w:lvl w:ilvl="0" w:tentative="0">
      <w:start w:val="1"/>
      <w:numFmt w:val="decimal"/>
      <w:pStyle w:val="12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4A55685D"/>
    <w:multiLevelType w:val="singleLevel"/>
    <w:tmpl w:val="4A55685D"/>
    <w:lvl w:ilvl="0" w:tentative="0">
      <w:start w:val="1"/>
      <w:numFmt w:val="bullet"/>
      <w:pStyle w:val="13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3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03157D4"/>
    <w:multiLevelType w:val="multilevel"/>
    <w:tmpl w:val="703157D4"/>
    <w:lvl w:ilvl="0" w:tentative="0">
      <w:start w:val="1"/>
      <w:numFmt w:val="decimal"/>
      <w:pStyle w:val="2"/>
      <w:lvlText w:val="%1."/>
      <w:lvlJc w:val="left"/>
      <w:pPr>
        <w:tabs>
          <w:tab w:val="left" w:pos="709"/>
        </w:tabs>
        <w:ind w:left="709" w:hanging="709"/>
      </w:pPr>
      <w:rPr>
        <w:rFonts w:hint="eastAsia" w:cs="Times New Roman"/>
        <w:b/>
        <w:lang w:val="en-GB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cs="Times New Roman"/>
        <w:b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1N2E2YzIzNGNmZTU2YmEwMGQyYjg4ZjA1Mzc0MWQifQ=="/>
  </w:docVars>
  <w:rsids>
    <w:rsidRoot w:val="6CDA03F3"/>
    <w:rsid w:val="00001336"/>
    <w:rsid w:val="000C753C"/>
    <w:rsid w:val="0017082B"/>
    <w:rsid w:val="002579B3"/>
    <w:rsid w:val="00356619"/>
    <w:rsid w:val="003F1BB8"/>
    <w:rsid w:val="003F4108"/>
    <w:rsid w:val="00403CD6"/>
    <w:rsid w:val="004420D9"/>
    <w:rsid w:val="0054112B"/>
    <w:rsid w:val="00637B55"/>
    <w:rsid w:val="006B06C2"/>
    <w:rsid w:val="0070356C"/>
    <w:rsid w:val="00812B98"/>
    <w:rsid w:val="008335FC"/>
    <w:rsid w:val="009172EA"/>
    <w:rsid w:val="009412B9"/>
    <w:rsid w:val="0095592C"/>
    <w:rsid w:val="0097076F"/>
    <w:rsid w:val="00C3548C"/>
    <w:rsid w:val="00C36B03"/>
    <w:rsid w:val="00CA1860"/>
    <w:rsid w:val="00DD5BB0"/>
    <w:rsid w:val="00E47191"/>
    <w:rsid w:val="00E77D83"/>
    <w:rsid w:val="00F03BEF"/>
    <w:rsid w:val="00F302D0"/>
    <w:rsid w:val="00F4229E"/>
    <w:rsid w:val="00F9165D"/>
    <w:rsid w:val="01AD551E"/>
    <w:rsid w:val="020016E9"/>
    <w:rsid w:val="04ED1679"/>
    <w:rsid w:val="057766B9"/>
    <w:rsid w:val="06FB68B7"/>
    <w:rsid w:val="070E6657"/>
    <w:rsid w:val="0746571A"/>
    <w:rsid w:val="08244886"/>
    <w:rsid w:val="08C27377"/>
    <w:rsid w:val="092771A7"/>
    <w:rsid w:val="094F3DFC"/>
    <w:rsid w:val="098A1E34"/>
    <w:rsid w:val="0B36617C"/>
    <w:rsid w:val="0C3D430D"/>
    <w:rsid w:val="0C727688"/>
    <w:rsid w:val="0EB9159E"/>
    <w:rsid w:val="0FC34B48"/>
    <w:rsid w:val="10FC5772"/>
    <w:rsid w:val="129C348E"/>
    <w:rsid w:val="12A926B4"/>
    <w:rsid w:val="13A40A8D"/>
    <w:rsid w:val="13D44784"/>
    <w:rsid w:val="13E42DD7"/>
    <w:rsid w:val="155142DE"/>
    <w:rsid w:val="17072BD0"/>
    <w:rsid w:val="179A479E"/>
    <w:rsid w:val="18077F32"/>
    <w:rsid w:val="18FF2114"/>
    <w:rsid w:val="1AC92880"/>
    <w:rsid w:val="1BB00AB5"/>
    <w:rsid w:val="1C747A0F"/>
    <w:rsid w:val="1C882636"/>
    <w:rsid w:val="1D507571"/>
    <w:rsid w:val="1EFF77AF"/>
    <w:rsid w:val="1F931065"/>
    <w:rsid w:val="1FA84328"/>
    <w:rsid w:val="1FFF4ECD"/>
    <w:rsid w:val="206D65AF"/>
    <w:rsid w:val="20763782"/>
    <w:rsid w:val="22097CEF"/>
    <w:rsid w:val="23847F75"/>
    <w:rsid w:val="243E3BD2"/>
    <w:rsid w:val="259F752B"/>
    <w:rsid w:val="262F63A5"/>
    <w:rsid w:val="28706D19"/>
    <w:rsid w:val="287E2C63"/>
    <w:rsid w:val="289A78F2"/>
    <w:rsid w:val="2B4F6CE6"/>
    <w:rsid w:val="2BD31A99"/>
    <w:rsid w:val="2BF274DA"/>
    <w:rsid w:val="2C1061FC"/>
    <w:rsid w:val="2C191624"/>
    <w:rsid w:val="2C4209CD"/>
    <w:rsid w:val="2D3C541C"/>
    <w:rsid w:val="2E67662E"/>
    <w:rsid w:val="2F2D7712"/>
    <w:rsid w:val="2FE70A33"/>
    <w:rsid w:val="315E7D2D"/>
    <w:rsid w:val="339E473B"/>
    <w:rsid w:val="33B026C0"/>
    <w:rsid w:val="3466105C"/>
    <w:rsid w:val="34802092"/>
    <w:rsid w:val="35A60B32"/>
    <w:rsid w:val="35F663A6"/>
    <w:rsid w:val="3670627F"/>
    <w:rsid w:val="37B95A6E"/>
    <w:rsid w:val="398B750F"/>
    <w:rsid w:val="39EB7CEF"/>
    <w:rsid w:val="3D3D0FB6"/>
    <w:rsid w:val="3DB3624E"/>
    <w:rsid w:val="3E1729ED"/>
    <w:rsid w:val="3EFD0EAF"/>
    <w:rsid w:val="3F3746D6"/>
    <w:rsid w:val="3F604F9A"/>
    <w:rsid w:val="408B53C4"/>
    <w:rsid w:val="415733AE"/>
    <w:rsid w:val="41630D72"/>
    <w:rsid w:val="41B31CF9"/>
    <w:rsid w:val="41DF2AEE"/>
    <w:rsid w:val="435E7A42"/>
    <w:rsid w:val="446C43E1"/>
    <w:rsid w:val="467C5D54"/>
    <w:rsid w:val="46CD299F"/>
    <w:rsid w:val="4A3A4A66"/>
    <w:rsid w:val="4ADE5710"/>
    <w:rsid w:val="4B2F47E2"/>
    <w:rsid w:val="4D2717ED"/>
    <w:rsid w:val="4EBB3F9B"/>
    <w:rsid w:val="4EFA1A7A"/>
    <w:rsid w:val="4FF62D91"/>
    <w:rsid w:val="502821F7"/>
    <w:rsid w:val="55E33464"/>
    <w:rsid w:val="562F3EBC"/>
    <w:rsid w:val="56E31ADE"/>
    <w:rsid w:val="57B01B5E"/>
    <w:rsid w:val="58774269"/>
    <w:rsid w:val="58CF0EC3"/>
    <w:rsid w:val="59524889"/>
    <w:rsid w:val="5BB66216"/>
    <w:rsid w:val="5FB71C31"/>
    <w:rsid w:val="60066868"/>
    <w:rsid w:val="60A1369C"/>
    <w:rsid w:val="64C73510"/>
    <w:rsid w:val="65A82571"/>
    <w:rsid w:val="690E58E3"/>
    <w:rsid w:val="69591B58"/>
    <w:rsid w:val="695B21AB"/>
    <w:rsid w:val="699D06A3"/>
    <w:rsid w:val="6CDA03F3"/>
    <w:rsid w:val="6D436291"/>
    <w:rsid w:val="6D93510E"/>
    <w:rsid w:val="6E4A50D6"/>
    <w:rsid w:val="705F156B"/>
    <w:rsid w:val="72CB77F1"/>
    <w:rsid w:val="73764075"/>
    <w:rsid w:val="74352EE3"/>
    <w:rsid w:val="75245A93"/>
    <w:rsid w:val="7646256A"/>
    <w:rsid w:val="76AA6753"/>
    <w:rsid w:val="774C41F5"/>
    <w:rsid w:val="7771703D"/>
    <w:rsid w:val="77CD4BBB"/>
    <w:rsid w:val="79CC49FF"/>
    <w:rsid w:val="7AAC2856"/>
    <w:rsid w:val="7C351B7C"/>
    <w:rsid w:val="7EAB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napToGrid w:val="0"/>
      <w:spacing w:after="100" w:afterAutospacing="1"/>
      <w:jc w:val="both"/>
    </w:pPr>
    <w:rPr>
      <w:rFonts w:ascii="Times New Roman" w:hAnsi="Times New Roman" w:eastAsia="MS Gothic" w:cs="Times New Roman"/>
      <w:sz w:val="24"/>
      <w:lang w:val="en-GB" w:eastAsia="ja-JP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numPr>
        <w:ilvl w:val="0"/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3">
    <w:name w:val="heading 2"/>
    <w:basedOn w:val="2"/>
    <w:next w:val="1"/>
    <w:autoRedefine/>
    <w:qFormat/>
    <w:uiPriority w:val="9"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4">
    <w:name w:val="heading 3"/>
    <w:basedOn w:val="3"/>
    <w:next w:val="1"/>
    <w:autoRedefine/>
    <w:qFormat/>
    <w:uiPriority w:val="9"/>
    <w:pPr>
      <w:numPr>
        <w:ilvl w:val="2"/>
      </w:numPr>
      <w:spacing w:before="240" w:after="60"/>
      <w:outlineLvl w:val="2"/>
    </w:p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5"/>
    <w:autoRedefine/>
    <w:uiPriority w:val="0"/>
    <w:pPr>
      <w:spacing w:after="0"/>
    </w:pPr>
    <w:rPr>
      <w:sz w:val="18"/>
      <w:szCs w:val="18"/>
    </w:rPr>
  </w:style>
  <w:style w:type="paragraph" w:styleId="6">
    <w:name w:val="footer"/>
    <w:basedOn w:val="1"/>
    <w:autoRedefine/>
    <w:qFormat/>
    <w:uiPriority w:val="99"/>
    <w:pPr>
      <w:tabs>
        <w:tab w:val="center" w:pos="4252"/>
        <w:tab w:val="right" w:pos="8504"/>
      </w:tabs>
    </w:pPr>
  </w:style>
  <w:style w:type="paragraph" w:styleId="7">
    <w:name w:val="header"/>
    <w:basedOn w:val="1"/>
    <w:autoRedefine/>
    <w:qFormat/>
    <w:uiPriority w:val="99"/>
    <w:pPr>
      <w:widowControl w:val="0"/>
    </w:pPr>
    <w:rPr>
      <w:rFonts w:ascii="Arial" w:hAnsi="Arial" w:eastAsia="MS Mincho"/>
      <w:b/>
      <w:sz w:val="18"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autoRedefine/>
    <w:qFormat/>
    <w:uiPriority w:val="22"/>
    <w:rPr>
      <w:rFonts w:cs="Times New Roman"/>
      <w:b/>
    </w:rPr>
  </w:style>
  <w:style w:type="paragraph" w:customStyle="1" w:styleId="12">
    <w:name w:val="text intend 2"/>
    <w:basedOn w:val="13"/>
    <w:autoRedefine/>
    <w:qFormat/>
    <w:uiPriority w:val="0"/>
    <w:pPr>
      <w:widowControl/>
      <w:numPr>
        <w:numId w:val="2"/>
      </w:numPr>
      <w:tabs>
        <w:tab w:val="left" w:pos="420"/>
      </w:tabs>
      <w:spacing w:after="120"/>
    </w:pPr>
    <w:rPr>
      <w:lang w:val="en-US"/>
    </w:rPr>
  </w:style>
  <w:style w:type="paragraph" w:customStyle="1" w:styleId="13">
    <w:name w:val="text"/>
    <w:basedOn w:val="1"/>
    <w:autoRedefine/>
    <w:qFormat/>
    <w:uiPriority w:val="0"/>
    <w:pPr>
      <w:widowControl w:val="0"/>
      <w:numPr>
        <w:ilvl w:val="0"/>
        <w:numId w:val="3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styleId="14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5">
    <w:name w:val="批注框文本 字符"/>
    <w:basedOn w:val="10"/>
    <w:link w:val="5"/>
    <w:autoRedefine/>
    <w:qFormat/>
    <w:uiPriority w:val="0"/>
    <w:rPr>
      <w:rFonts w:eastAsia="MS Gothic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1122</Words>
  <Characters>6401</Characters>
  <Lines>53</Lines>
  <Paragraphs>15</Paragraphs>
  <TotalTime>11</TotalTime>
  <ScaleCrop>false</ScaleCrop>
  <LinksUpToDate>false</LinksUpToDate>
  <CharactersWithSpaces>7508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2023-12-27T23:54:00Z</dcterms:created>
  <dc:creator>LC1225O1</dc:creator>
  <cp:lastModifiedBy>LC0219O1</cp:lastModifiedBy>
  <dcterms:modified xsi:type="dcterms:W3CDTF">2024-02-19T03:00:36Z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CBBB5F6C75524D7FBFB8064BED14A1A8_13</vt:lpwstr>
  </property>
</Properties>
</file>