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#116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>R1-2400603</w:t>
      </w:r>
    </w:p>
    <w:p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Athens, Greece, February 26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 - March 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st</w:t>
      </w:r>
      <w:r>
        <w:rPr>
          <w:rFonts w:eastAsia="宋体"/>
          <w:b/>
          <w:sz w:val="22"/>
          <w:szCs w:val="22"/>
          <w:lang w:eastAsia="zh-CN"/>
        </w:rPr>
        <w:t xml:space="preserve">, 2024 </w:t>
      </w:r>
    </w:p>
    <w:p>
      <w:pPr>
        <w:pStyle w:val="15"/>
        <w:rPr>
          <w:rFonts w:ascii="Times New Roman" w:hAnsi="Times New Roman" w:eastAsia="宋体"/>
          <w:sz w:val="22"/>
          <w:szCs w:val="22"/>
          <w:lang w:eastAsia="zh-CN"/>
        </w:rPr>
      </w:pPr>
    </w:p>
    <w:p>
      <w:pPr>
        <w:pStyle w:val="15"/>
        <w:tabs>
          <w:tab w:val="left" w:pos="1800"/>
          <w:tab w:val="clear" w:pos="4536"/>
        </w:tabs>
        <w:ind w:left="1800" w:hanging="1800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 w:eastAsia="宋体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>OPPO</w:t>
      </w:r>
    </w:p>
    <w:p>
      <w:pPr>
        <w:pStyle w:val="15"/>
        <w:tabs>
          <w:tab w:val="left" w:pos="1800"/>
          <w:tab w:val="clear" w:pos="4536"/>
        </w:tabs>
        <w:ind w:left="1800" w:hanging="1800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on supporting of RedCap and eRedCap UEs with NR NTN operating in FR1-NTN bands</w:t>
      </w:r>
    </w:p>
    <w:p>
      <w:pPr>
        <w:pStyle w:val="15"/>
        <w:tabs>
          <w:tab w:val="left" w:pos="1800"/>
        </w:tabs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>9.11.2</w:t>
      </w:r>
    </w:p>
    <w:p>
      <w:pPr>
        <w:pStyle w:val="15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and Decision</w:t>
      </w:r>
    </w:p>
    <w:p>
      <w:pPr>
        <w:pBdr>
          <w:bottom w:val="single" w:color="auto" w:sz="4" w:space="1"/>
        </w:pBdr>
        <w:tabs>
          <w:tab w:val="left" w:pos="2552"/>
        </w:tabs>
        <w:rPr>
          <w:sz w:val="22"/>
          <w:szCs w:val="22"/>
        </w:rPr>
      </w:pPr>
    </w:p>
    <w:p>
      <w:pPr>
        <w:pStyle w:val="2"/>
      </w:pPr>
      <w:r>
        <w:t>Introduction</w:t>
      </w:r>
    </w:p>
    <w:p>
      <w:pPr>
        <w:pStyle w:val="4"/>
        <w:rPr>
          <w:rFonts w:eastAsia="宋体"/>
          <w:bCs/>
          <w:szCs w:val="20"/>
          <w:lang w:val="en-GB" w:eastAsia="en-GB"/>
        </w:rPr>
      </w:pP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 meeting #102, the new WID regarding Non-Terrestrial Networks (NTN) for NR Phase 3 [1] was approved. One objective of the </w:t>
      </w:r>
      <w:r>
        <w:rPr>
          <w:rFonts w:eastAsia="宋体"/>
          <w:bCs/>
          <w:szCs w:val="20"/>
          <w:lang w:val="en-GB" w:eastAsia="en-GB"/>
        </w:rPr>
        <w:t>work item is about support of Rel-17 RedCap and Rel-18 eRedCap UEs with NR NTN operating in FR1-NTN bands. The detailed objective is the following</w:t>
      </w:r>
      <w:r>
        <w:rPr>
          <w:rFonts w:hint="eastAsia" w:eastAsia="宋体"/>
          <w:bCs/>
          <w:szCs w:val="20"/>
          <w:lang w:val="en-GB" w:eastAsia="zh-CN"/>
        </w:rPr>
        <w:t>.</w:t>
      </w:r>
    </w:p>
    <w:tbl>
      <w:tblPr>
        <w:tblStyle w:val="21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Malgun Gothic"/>
                <w:i/>
                <w:iCs/>
                <w:szCs w:val="20"/>
                <w:lang w:eastAsia="ko-KR"/>
              </w:rPr>
            </w:pPr>
            <w:bookmarkStart w:id="0" w:name="_Hlk156469079"/>
            <w:r>
              <w:rPr>
                <w:rFonts w:eastAsia="Malgun Gothic"/>
                <w:i/>
                <w:iCs/>
                <w:szCs w:val="20"/>
                <w:lang w:eastAsia="ko-KR"/>
              </w:rPr>
              <w:t xml:space="preserve">Support of </w:t>
            </w:r>
            <w:bookmarkStart w:id="1" w:name="_Hlk156465457"/>
            <w:r>
              <w:rPr>
                <w:rFonts w:eastAsia="Malgun Gothic"/>
                <w:i/>
                <w:iCs/>
                <w:szCs w:val="20"/>
                <w:lang w:eastAsia="ko-KR"/>
              </w:rPr>
              <w:t xml:space="preserve">Rel-17 RedCap and Rel-18 eRedCap UEs with NR NTN </w:t>
            </w:r>
            <w:bookmarkStart w:id="2" w:name="_Hlk156465950"/>
            <w:r>
              <w:rPr>
                <w:rFonts w:eastAsia="Malgun Gothic"/>
                <w:i/>
                <w:iCs/>
                <w:szCs w:val="20"/>
                <w:lang w:eastAsia="ko-KR"/>
              </w:rPr>
              <w:t xml:space="preserve">operating </w:t>
            </w:r>
            <w:bookmarkEnd w:id="2"/>
            <w:r>
              <w:rPr>
                <w:rFonts w:eastAsia="Malgun Gothic"/>
                <w:i/>
                <w:iCs/>
                <w:szCs w:val="20"/>
                <w:lang w:eastAsia="ko-KR"/>
              </w:rPr>
              <w:t>in FR1-NTN bands</w:t>
            </w:r>
            <w:bookmarkEnd w:id="1"/>
            <w:r>
              <w:rPr>
                <w:rFonts w:eastAsia="Malgun Gothic"/>
                <w:i/>
                <w:iCs/>
                <w:szCs w:val="20"/>
                <w:lang w:eastAsia="ko-KR"/>
              </w:rPr>
              <w:t xml:space="preserve"> [RAN4, RAN1]</w:t>
            </w:r>
          </w:p>
          <w:p>
            <w:pPr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>
              <w:rPr>
                <w:rFonts w:eastAsia="Calibri"/>
                <w:i/>
                <w:iCs/>
                <w:szCs w:val="20"/>
                <w:lang w:eastAsia="zh-CN"/>
              </w:rPr>
              <w:t>For full-duplex FDD RedCap and eRedCap UEs, define the RF and RRM requirements [RAN4]</w:t>
            </w:r>
          </w:p>
          <w:p>
            <w:pPr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>
              <w:rPr>
                <w:rFonts w:eastAsia="Calibri"/>
                <w:i/>
                <w:iCs/>
                <w:szCs w:val="20"/>
                <w:lang w:eastAsia="zh-CN"/>
              </w:rPr>
              <w:t xml:space="preserve">For </w:t>
            </w:r>
            <w:bookmarkStart w:id="3" w:name="_Hlk156465705"/>
            <w:r>
              <w:rPr>
                <w:rFonts w:eastAsia="Calibri"/>
                <w:i/>
                <w:iCs/>
                <w:szCs w:val="20"/>
                <w:lang w:eastAsia="zh-CN"/>
              </w:rPr>
              <w:t>HD-FDD RedCap UEs and eRedCap UEs</w:t>
            </w:r>
            <w:bookmarkEnd w:id="3"/>
            <w:r>
              <w:rPr>
                <w:rFonts w:eastAsia="Calibri"/>
                <w:i/>
                <w:iCs/>
                <w:szCs w:val="20"/>
                <w:lang w:eastAsia="zh-CN"/>
              </w:rPr>
              <w:t xml:space="preserve">, check whether any </w:t>
            </w:r>
            <w:bookmarkStart w:id="4" w:name="_Hlk156466114"/>
            <w:r>
              <w:rPr>
                <w:rFonts w:eastAsia="Calibri"/>
                <w:i/>
                <w:iCs/>
                <w:szCs w:val="20"/>
                <w:lang w:eastAsia="zh-CN"/>
              </w:rPr>
              <w:t>essential changes</w:t>
            </w:r>
            <w:bookmarkEnd w:id="4"/>
            <w:r>
              <w:rPr>
                <w:rFonts w:eastAsia="Calibri"/>
                <w:i/>
                <w:iCs/>
                <w:szCs w:val="20"/>
                <w:lang w:eastAsia="zh-CN"/>
              </w:rPr>
              <w:t xml:space="preserve"> are needed for their support (i.e. focusing on HD collision rules) by end of Q2/2024 [RAN1]</w:t>
            </w:r>
          </w:p>
          <w:p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>
              <w:rPr>
                <w:rFonts w:eastAsia="Calibri"/>
                <w:i/>
                <w:iCs/>
                <w:szCs w:val="20"/>
                <w:lang w:eastAsia="zh-CN"/>
              </w:rPr>
              <w:t>Depending on feasibility assessment above, define the RF and RRM requirements [RAN4]</w:t>
            </w:r>
          </w:p>
          <w:p>
            <w:pPr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>
              <w:rPr>
                <w:rFonts w:eastAsia="Calibri"/>
                <w:i/>
                <w:iCs/>
                <w:szCs w:val="20"/>
                <w:lang w:eastAsia="zh-CN"/>
              </w:rPr>
              <w:t>Notes for this objective:</w:t>
            </w:r>
          </w:p>
          <w:p>
            <w:pPr>
              <w:widowControl w:val="0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Calibri"/>
                <w:i/>
                <w:iCs/>
                <w:szCs w:val="20"/>
                <w:lang w:eastAsia="zh-CN"/>
              </w:rPr>
            </w:pPr>
            <w:r>
              <w:rPr>
                <w:rFonts w:eastAsia="Calibri"/>
                <w:i/>
                <w:iCs/>
                <w:szCs w:val="20"/>
                <w:lang w:eastAsia="zh-CN"/>
              </w:rPr>
              <w:t>GNSS (Global Navigation Satellite Systems) capabilities and simultaneous GNSS and NR-NTN operation is supported in RedCap/eRedCap UE.</w:t>
            </w:r>
          </w:p>
        </w:tc>
      </w:tr>
      <w:bookmarkEnd w:id="0"/>
    </w:tbl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In this contribution, we provide our views on the essential changes and potential enhancements to support HD-FDD RedCap UEs and eRedCap UEs working in </w:t>
      </w:r>
      <w:bookmarkStart w:id="5" w:name="_Hlk156469615"/>
      <w:r>
        <w:rPr>
          <w:rFonts w:eastAsia="等线"/>
          <w:szCs w:val="20"/>
          <w:lang w:eastAsia="zh-CN"/>
        </w:rPr>
        <w:t>NR-NTN environment</w:t>
      </w:r>
      <w:bookmarkEnd w:id="5"/>
      <w:r>
        <w:rPr>
          <w:rFonts w:eastAsia="等线"/>
          <w:szCs w:val="20"/>
          <w:lang w:eastAsia="zh-CN"/>
        </w:rPr>
        <w:t xml:space="preserve">. </w:t>
      </w:r>
    </w:p>
    <w:p>
      <w:pPr>
        <w:pStyle w:val="2"/>
      </w:pPr>
      <w:r>
        <w:rPr>
          <w:rFonts w:eastAsia="宋体"/>
          <w:lang w:eastAsia="zh-CN"/>
        </w:rPr>
        <w:t>Discussion</w:t>
      </w:r>
    </w:p>
    <w:p>
      <w:pPr>
        <w:pStyle w:val="4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A </w:t>
      </w:r>
      <w:bookmarkStart w:id="6" w:name="_Hlk156470704"/>
      <w:r>
        <w:rPr>
          <w:rFonts w:eastAsiaTheme="minorEastAsia"/>
          <w:szCs w:val="20"/>
          <w:lang w:val="en-GB" w:eastAsia="zh-CN"/>
        </w:rPr>
        <w:t>HD-UE</w:t>
      </w:r>
      <w:bookmarkEnd w:id="6"/>
      <w:r>
        <w:rPr>
          <w:rFonts w:eastAsiaTheme="minorEastAsia"/>
          <w:szCs w:val="20"/>
          <w:lang w:val="en-GB" w:eastAsia="zh-CN"/>
        </w:rPr>
        <w:t xml:space="preserve"> in FDD spectrum is not capable of simultaneous transmissions and receptions on a serving cell with FDD spectrum. Because of the incapability of simultaneous transmissions and receptions, the behaviours of a HD-UE should be addressed when it encounters with collisions between </w:t>
      </w:r>
      <w:r>
        <w:rPr>
          <w:rFonts w:hint="eastAsia" w:eastAsiaTheme="minorEastAsia"/>
          <w:szCs w:val="20"/>
          <w:lang w:val="en-GB" w:eastAsia="zh-CN"/>
        </w:rPr>
        <w:t>DL</w:t>
      </w:r>
      <w:r>
        <w:rPr>
          <w:rFonts w:eastAsiaTheme="minorEastAsia"/>
          <w:szCs w:val="20"/>
          <w:lang w:val="en-GB" w:eastAsia="zh-CN"/>
        </w:rPr>
        <w:t xml:space="preserve"> and UL transmissions. For a legacy HD-UE</w:t>
      </w:r>
      <w:r>
        <w:rPr>
          <w:rFonts w:eastAsia="等线"/>
          <w:szCs w:val="20"/>
          <w:lang w:eastAsia="zh-CN"/>
        </w:rPr>
        <w:t>, the following cases of potential collisions are identified and addressed.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Case 1: Dynamically scheduled DL reception vs. semi-statically configured UL transmission</w:t>
      </w:r>
    </w:p>
    <w:p>
      <w:pPr>
        <w:numPr>
          <w:ilvl w:val="1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e.g., dynamic PDSCH or CSI-RS collides with configured SRS, PUCCH, or CG PUSCH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Case 2: Semi-statically configured DL reception vs. dynamically scheduled UL transmission</w:t>
      </w:r>
    </w:p>
    <w:p>
      <w:pPr>
        <w:numPr>
          <w:ilvl w:val="1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e.g., PDCCH or SPS PDSCH collides with dynamic PUSCH or PUCCH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Case 3: </w:t>
      </w:r>
      <w:bookmarkStart w:id="7" w:name="_Hlk156487281"/>
      <w:r>
        <w:rPr>
          <w:rFonts w:eastAsiaTheme="minorEastAsia"/>
          <w:szCs w:val="20"/>
          <w:lang w:val="en-GB" w:eastAsia="zh-CN"/>
        </w:rPr>
        <w:t>Semi-static</w:t>
      </w:r>
      <w:bookmarkEnd w:id="7"/>
      <w:r>
        <w:rPr>
          <w:rFonts w:eastAsiaTheme="minorEastAsia"/>
          <w:szCs w:val="20"/>
          <w:lang w:val="en-GB" w:eastAsia="zh-CN"/>
        </w:rPr>
        <w:t>ally configured DL reception vs. semi-statically configured UL transmission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Case 4: Dynamically scheduled DL reception vs. </w:t>
      </w:r>
      <w:bookmarkStart w:id="8" w:name="_Hlk156487212"/>
      <w:r>
        <w:rPr>
          <w:rFonts w:eastAsiaTheme="minorEastAsia"/>
          <w:szCs w:val="20"/>
          <w:lang w:val="en-GB" w:eastAsia="zh-CN"/>
        </w:rPr>
        <w:t xml:space="preserve">dynamic </w:t>
      </w:r>
      <w:bookmarkEnd w:id="8"/>
      <w:r>
        <w:rPr>
          <w:rFonts w:eastAsiaTheme="minorEastAsia"/>
          <w:szCs w:val="20"/>
          <w:lang w:val="en-GB" w:eastAsia="zh-CN"/>
        </w:rPr>
        <w:t>scheduled UL transmission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Case 5: Configured SSB vs. dynamically scheduled or configured UL transmission</w:t>
      </w:r>
    </w:p>
    <w:p>
      <w:pPr>
        <w:numPr>
          <w:ilvl w:val="1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e.g., PUSCH, PUCCH, PRACH, SRS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Case 8: Dynamic or semi-static DL vs. valid RO</w:t>
      </w:r>
    </w:p>
    <w:p>
      <w:pPr>
        <w:numPr>
          <w:ilvl w:val="0"/>
          <w:numId w:val="9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Case 9: Collision due to direction switching</w:t>
      </w:r>
    </w:p>
    <w:p>
      <w:pPr>
        <w:pStyle w:val="4"/>
        <w:rPr>
          <w:rFonts w:eastAsia="宋体"/>
          <w:szCs w:val="28"/>
          <w:lang w:eastAsia="zh-CN"/>
        </w:rPr>
      </w:pPr>
      <w:r>
        <w:rPr>
          <w:rFonts w:eastAsia="宋体"/>
          <w:szCs w:val="28"/>
          <w:lang w:eastAsia="zh-CN"/>
        </w:rPr>
        <w:t>It is worth mentioning that</w:t>
      </w:r>
      <w:r>
        <w:rPr>
          <w:rFonts w:hint="eastAsia" w:eastAsia="宋体"/>
          <w:szCs w:val="28"/>
          <w:lang w:eastAsia="zh-CN"/>
        </w:rPr>
        <w:t xml:space="preserve"> </w:t>
      </w:r>
      <w:r>
        <w:rPr>
          <w:rFonts w:eastAsia="宋体"/>
          <w:szCs w:val="28"/>
          <w:lang w:eastAsia="zh-CN"/>
        </w:rPr>
        <w:t xml:space="preserve">TA misalignment is not considered for a HD-UE when determining whether there is any collision </w:t>
      </w:r>
      <w:r>
        <w:rPr>
          <w:rFonts w:eastAsiaTheme="minorEastAsia"/>
          <w:szCs w:val="20"/>
          <w:lang w:val="en-GB" w:eastAsia="zh-CN"/>
        </w:rPr>
        <w:t>between DL and UL transmissions</w:t>
      </w:r>
      <w:r>
        <w:rPr>
          <w:rFonts w:eastAsia="宋体"/>
          <w:szCs w:val="28"/>
          <w:lang w:eastAsia="zh-CN"/>
        </w:rPr>
        <w:t xml:space="preserve"> for the above cases, according to the conclusion made in RAN1#104bis-e.</w:t>
      </w:r>
    </w:p>
    <w:tbl>
      <w:tblPr>
        <w:tblStyle w:val="21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spacing w:after="120"/>
              <w:rPr>
                <w:rFonts w:eastAsia="Batang"/>
                <w:b/>
                <w:bCs/>
                <w:szCs w:val="20"/>
                <w:lang w:val="en-GB"/>
              </w:rPr>
            </w:pPr>
            <w:r>
              <w:rPr>
                <w:rFonts w:eastAsia="Batang"/>
                <w:b/>
                <w:bCs/>
                <w:szCs w:val="20"/>
                <w:lang w:val="en-GB"/>
              </w:rPr>
              <w:t>RAN1#104bis-e:</w:t>
            </w:r>
          </w:p>
          <w:p>
            <w:pPr>
              <w:spacing w:after="120"/>
              <w:rPr>
                <w:rFonts w:eastAsia="Batang"/>
                <w:i/>
                <w:iCs/>
                <w:szCs w:val="20"/>
                <w:lang w:val="en-GB"/>
              </w:rPr>
            </w:pPr>
            <w:r>
              <w:rPr>
                <w:rFonts w:eastAsia="Batang"/>
                <w:b/>
                <w:bCs/>
                <w:i/>
                <w:iCs/>
                <w:szCs w:val="20"/>
                <w:lang w:val="en-GB"/>
              </w:rPr>
              <w:t>Conclusion</w:t>
            </w:r>
            <w:r>
              <w:rPr>
                <w:rFonts w:eastAsia="Batang"/>
                <w:i/>
                <w:iCs/>
                <w:szCs w:val="20"/>
                <w:lang w:val="en-GB"/>
              </w:rPr>
              <w:t xml:space="preserve">: Enhancement for potential UL and DL collision handling due to TA misalignment is not considered for Type-A HD-FDD operation of RedCap UEs </w:t>
            </w:r>
          </w:p>
        </w:tc>
      </w:tr>
    </w:tbl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H</w:t>
      </w:r>
      <w:r>
        <w:rPr>
          <w:rFonts w:eastAsiaTheme="minorEastAsia"/>
          <w:szCs w:val="20"/>
          <w:lang w:val="en-GB" w:eastAsia="zh-CN"/>
        </w:rPr>
        <w:t xml:space="preserve">owever, the impact of TA misalignment in NR-NTN is much greater than that in NR-TN because a very large TA value may be observed by the HD-UE due to the long propagation delay of signal transmission through satellite in the NR-NTN environment. This means the impact of TA misalignment in NR-NTN cannot be ignored. For </w:t>
      </w:r>
      <w:bookmarkStart w:id="9" w:name="_Hlk156470869"/>
      <w:r>
        <w:rPr>
          <w:rFonts w:eastAsiaTheme="minorEastAsia"/>
          <w:szCs w:val="20"/>
          <w:lang w:val="en-GB" w:eastAsia="zh-CN"/>
        </w:rPr>
        <w:t>HD-UE with NR-NTN</w:t>
      </w:r>
      <w:bookmarkEnd w:id="9"/>
      <w:r>
        <w:rPr>
          <w:rFonts w:eastAsiaTheme="minorEastAsia"/>
          <w:szCs w:val="20"/>
          <w:lang w:val="en-GB" w:eastAsia="zh-CN"/>
        </w:rPr>
        <w:t xml:space="preserve">, </w:t>
      </w:r>
      <w:bookmarkStart w:id="10" w:name="_Hlk156470854"/>
      <w:r>
        <w:rPr>
          <w:rFonts w:eastAsia="宋体"/>
          <w:szCs w:val="28"/>
          <w:lang w:eastAsia="zh-CN"/>
        </w:rPr>
        <w:t xml:space="preserve">TA misalignment should be considered when determining if there is any collision </w:t>
      </w:r>
      <w:r>
        <w:rPr>
          <w:rFonts w:eastAsiaTheme="minorEastAsia"/>
          <w:szCs w:val="20"/>
          <w:lang w:val="en-GB" w:eastAsia="zh-CN"/>
        </w:rPr>
        <w:t>between DL and UL transmissions</w:t>
      </w:r>
      <w:bookmarkEnd w:id="10"/>
      <w:r>
        <w:rPr>
          <w:rFonts w:eastAsiaTheme="minorEastAsia"/>
          <w:szCs w:val="20"/>
          <w:lang w:val="en-GB" w:eastAsia="zh-CN"/>
        </w:rPr>
        <w:t>.</w:t>
      </w:r>
    </w:p>
    <w:p>
      <w:pPr>
        <w:pStyle w:val="4"/>
        <w:rPr>
          <w:rFonts w:eastAsia="宋体"/>
          <w:b/>
          <w:bCs/>
          <w:szCs w:val="28"/>
          <w:lang w:eastAsia="zh-CN"/>
        </w:rPr>
      </w:pPr>
      <w:r>
        <w:rPr>
          <w:rFonts w:hint="eastAsia" w:eastAsia="宋体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hint="eastAsia" w:eastAsia="宋体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TA misalignment should be considered when determining if there is any collision between DL and UL transmissions for a</w:t>
      </w:r>
      <w:r>
        <w:t xml:space="preserve"> </w:t>
      </w:r>
      <w:r>
        <w:rPr>
          <w:rFonts w:eastAsia="宋体"/>
          <w:b/>
          <w:bCs/>
          <w:szCs w:val="28"/>
          <w:lang w:eastAsia="zh-CN"/>
        </w:rPr>
        <w:t>HD-UE with NR-NTN.</w:t>
      </w:r>
    </w:p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Among all the cases of potential collisions mentioned above, two collision cases, i.e., Case 3 (</w:t>
      </w:r>
      <w:r>
        <w:rPr>
          <w:rFonts w:eastAsiaTheme="minorEastAsia"/>
          <w:szCs w:val="20"/>
          <w:lang w:val="en-GB" w:eastAsia="zh-CN"/>
        </w:rPr>
        <w:t>semi-statically configured DL reception vs. semi-statically configured UL transmission</w:t>
      </w:r>
      <w:r>
        <w:rPr>
          <w:rFonts w:eastAsia="等线"/>
          <w:szCs w:val="20"/>
          <w:lang w:eastAsia="zh-CN"/>
        </w:rPr>
        <w:t>) and Case 4 (</w:t>
      </w:r>
      <w:r>
        <w:rPr>
          <w:rFonts w:eastAsiaTheme="minorEastAsia"/>
          <w:szCs w:val="20"/>
          <w:lang w:val="en-GB" w:eastAsia="zh-CN"/>
        </w:rPr>
        <w:t>dynamically scheduled DL reception vs. dynamic scheduled UL transmission</w:t>
      </w:r>
      <w:r>
        <w:rPr>
          <w:rFonts w:eastAsia="等线"/>
          <w:szCs w:val="20"/>
          <w:lang w:eastAsia="zh-CN"/>
        </w:rPr>
        <w:t>), are expected to be avoid by gNB scheduling implementation. HD-UE may take these two cases as error cases and do nothing if such cases happen.</w:t>
      </w:r>
    </w:p>
    <w:tbl>
      <w:tblPr>
        <w:tblStyle w:val="21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spacing w:after="120"/>
              <w:rPr>
                <w:rFonts w:eastAsia="Batang"/>
                <w:b/>
                <w:bCs/>
                <w:szCs w:val="20"/>
                <w:lang w:val="en-GB"/>
              </w:rPr>
            </w:pPr>
            <w:r>
              <w:rPr>
                <w:rFonts w:eastAsia="Batang"/>
                <w:b/>
                <w:bCs/>
                <w:szCs w:val="20"/>
                <w:lang w:val="en-GB"/>
              </w:rPr>
              <w:t>TS 38.213 section 17.2:</w:t>
            </w:r>
          </w:p>
          <w:p>
            <w:pPr>
              <w:pStyle w:val="4"/>
              <w:rPr>
                <w:rFonts w:eastAsia="等线"/>
                <w:i/>
                <w:iCs/>
                <w:szCs w:val="20"/>
                <w:lang w:eastAsia="zh-CN"/>
              </w:rPr>
            </w:pPr>
            <w:r>
              <w:rPr>
                <w:rFonts w:eastAsia="等线"/>
                <w:i/>
                <w:iCs/>
                <w:szCs w:val="20"/>
                <w:lang w:eastAsia="zh-CN"/>
              </w:rPr>
              <w:t>A HD-UE does not expect to detect a DCI format scheduling a reception in a set of symbols and detect a DCI format scheduling a transmission in any symbol from the set of symbols.</w:t>
            </w:r>
          </w:p>
          <w:p>
            <w:pPr>
              <w:pStyle w:val="4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i/>
                <w:iCs/>
                <w:szCs w:val="20"/>
                <w:lang w:eastAsia="zh-CN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symbols.</w:t>
            </w:r>
          </w:p>
        </w:tc>
      </w:tr>
    </w:tbl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rPr>
          <w:rFonts w:eastAsiaTheme="minorEastAsia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In NR-NTN, depending on gNB to avoid the collisions between </w:t>
      </w:r>
      <w:r>
        <w:rPr>
          <w:rFonts w:eastAsiaTheme="minorEastAsia"/>
          <w:szCs w:val="20"/>
          <w:lang w:val="en-GB" w:eastAsia="zh-CN"/>
        </w:rPr>
        <w:t xml:space="preserve">semi-static/dynamic </w:t>
      </w:r>
      <w:r>
        <w:rPr>
          <w:rFonts w:eastAsia="等线"/>
          <w:szCs w:val="20"/>
          <w:lang w:eastAsia="zh-CN"/>
        </w:rPr>
        <w:t xml:space="preserve">DL and UL transmissions at UE side through scheduling implementation seems difficult, since </w:t>
      </w:r>
      <w:r>
        <w:rPr>
          <w:rFonts w:eastAsiaTheme="minorEastAsia"/>
          <w:szCs w:val="20"/>
          <w:lang w:val="en-GB" w:eastAsia="zh-CN"/>
        </w:rPr>
        <w:t xml:space="preserve">the impact of TA misalignment at UE side is unknown to gNB and cannot be ignored. </w:t>
      </w:r>
    </w:p>
    <w:p>
      <w:pPr>
        <w:pStyle w:val="4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Figure 1 gives an example to illustrate UL scheduling in NR-NTN. In this example, a DCI carrying an UL grant is transmitted in DL slot n, which is used to schedule a HD-UE to transmit PUSCH in UL slot n+7. </w:t>
      </w:r>
      <w:r>
        <w:rPr>
          <w:rFonts w:hint="eastAsia" w:eastAsiaTheme="minorEastAsia"/>
          <w:szCs w:val="20"/>
          <w:lang w:val="en-GB" w:eastAsia="zh-CN"/>
        </w:rPr>
        <w:t>A</w:t>
      </w:r>
      <w:r>
        <w:rPr>
          <w:rFonts w:eastAsiaTheme="minorEastAsia"/>
          <w:szCs w:val="20"/>
          <w:lang w:val="en-GB" w:eastAsia="zh-CN"/>
        </w:rPr>
        <w:t xml:space="preserve">ssuming the TA value observed by the HD-UE between UL and DL timelines is 4.5 slot, then the HD-UE would observe that the UL slot n+7 would be overlapped with the second half of DL slot n+2 and the first half of DL slot n+3, as marked in blue in Figure 1, which means the gNB is not expected to schedule the HD-UE to receive DL transmissions in the second half of DL slot n+2 and the first half of DL slot n+3. </w:t>
      </w:r>
    </w:p>
    <w:p>
      <w:pPr>
        <w:pStyle w:val="4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Without TA report from HD-UE, or with a rough TA report (e.g., TA is reported in a granularity of subframe as supported in Rel-17), it is difficult for gNB to avoid </w:t>
      </w:r>
      <w:r>
        <w:rPr>
          <w:rFonts w:eastAsia="等线"/>
          <w:szCs w:val="20"/>
          <w:lang w:eastAsia="zh-CN"/>
        </w:rPr>
        <w:t>such kind of collisions by scheduling implementation due to lack of enough information.</w:t>
      </w:r>
    </w:p>
    <w:p>
      <w:pPr>
        <w:widowControl w:val="0"/>
        <w:spacing w:after="60"/>
        <w:jc w:val="center"/>
        <w:rPr>
          <w:rFonts w:eastAsia="楷体"/>
          <w:kern w:val="2"/>
          <w:szCs w:val="20"/>
          <w:lang w:eastAsia="zh-CN"/>
        </w:rPr>
      </w:pPr>
      <w:r>
        <w:rPr>
          <w:rFonts w:hint="eastAsia" w:eastAsia="宋体"/>
          <w:kern w:val="2"/>
          <w:sz w:val="21"/>
          <w:szCs w:val="20"/>
          <w:lang w:eastAsia="zh-CN"/>
        </w:rPr>
        <w:drawing>
          <wp:inline distT="0" distB="0" distL="0" distR="0">
            <wp:extent cx="5274310" cy="119634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Figure 1. illustration of UL scheduling in NR-NTN</w:t>
      </w:r>
    </w:p>
    <w:p>
      <w:pPr>
        <w:pStyle w:val="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One potential solution is to enhance the TA report mechanism, e.g., UE performs </w:t>
      </w:r>
      <w:r>
        <w:rPr>
          <w:rFonts w:eastAsiaTheme="minorEastAsia"/>
          <w:szCs w:val="20"/>
          <w:lang w:val="en-GB" w:eastAsia="zh-CN"/>
        </w:rPr>
        <w:t>TA reporting in a granularity of symbols,</w:t>
      </w:r>
      <w:r>
        <w:rPr>
          <w:rFonts w:eastAsia="等线"/>
          <w:szCs w:val="20"/>
          <w:lang w:eastAsia="zh-CN"/>
        </w:rPr>
        <w:t xml:space="preserve"> so that gNB can determine whether there is any collision between </w:t>
      </w:r>
      <w:r>
        <w:rPr>
          <w:rFonts w:eastAsiaTheme="minorEastAsia"/>
          <w:szCs w:val="20"/>
          <w:lang w:val="en-GB" w:eastAsia="zh-CN"/>
        </w:rPr>
        <w:t xml:space="preserve">semi-statical/dynamical </w:t>
      </w:r>
      <w:r>
        <w:rPr>
          <w:rFonts w:eastAsia="等线"/>
          <w:szCs w:val="20"/>
          <w:lang w:eastAsia="zh-CN"/>
        </w:rPr>
        <w:t xml:space="preserve">DL and UL transmissions at UE side after receiving the reported TA value, thereby to avoid the potential collisions for the UE, to achieve a similar performance as in TN environment. Otherwise, the gNB can only avoid the potential collisions in a </w:t>
      </w:r>
      <w:r>
        <w:rPr>
          <w:rFonts w:eastAsiaTheme="minorEastAsia"/>
          <w:szCs w:val="20"/>
          <w:lang w:val="en-GB" w:eastAsia="zh-CN"/>
        </w:rPr>
        <w:t xml:space="preserve">subframe </w:t>
      </w:r>
      <w:r>
        <w:rPr>
          <w:rFonts w:eastAsia="等线"/>
          <w:szCs w:val="20"/>
          <w:lang w:eastAsia="zh-CN"/>
        </w:rPr>
        <w:t xml:space="preserve">level. </w:t>
      </w:r>
    </w:p>
    <w:p>
      <w:pPr>
        <w:pStyle w:val="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On the other hand, since TA value of a UE would change frequently with the movement of the satellite, if the gNB wants to obtain an accurate TA value of one HD-UE for scheduling, the HD-UE would be required to report the TA value frequently, which may lead to an increase in network overhead. </w:t>
      </w: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f no enhancement to TA report, the collisions of Case 3 or Case 4 would happen frequently in NTN environment. The </w:t>
      </w:r>
      <w:r>
        <w:rPr>
          <w:rFonts w:hint="eastAsia" w:eastAsia="等线"/>
          <w:szCs w:val="20"/>
          <w:lang w:eastAsia="zh-CN"/>
        </w:rPr>
        <w:t>behavior</w:t>
      </w:r>
      <w:r>
        <w:rPr>
          <w:rFonts w:eastAsia="等线"/>
          <w:szCs w:val="20"/>
          <w:lang w:eastAsia="zh-CN"/>
        </w:rPr>
        <w:t xml:space="preserve"> that a HD-UE would take Case 3 and Case 4 as error cases in NR-NTN would cause a large waste of scheduling resources for DL/UL transmission. </w:t>
      </w:r>
    </w:p>
    <w:p>
      <w:pPr>
        <w:pStyle w:val="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Another potential solution is to regulate the </w:t>
      </w:r>
      <w:r>
        <w:rPr>
          <w:rFonts w:hint="eastAsia" w:eastAsia="等线"/>
          <w:szCs w:val="20"/>
          <w:lang w:eastAsia="zh-CN"/>
        </w:rPr>
        <w:t>behavior</w:t>
      </w:r>
      <w:r>
        <w:rPr>
          <w:rFonts w:eastAsia="等线"/>
          <w:szCs w:val="20"/>
          <w:lang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of a HD-UE </w:t>
      </w:r>
      <w:r>
        <w:rPr>
          <w:rFonts w:eastAsia="等线"/>
          <w:szCs w:val="20"/>
          <w:lang w:eastAsia="zh-CN"/>
        </w:rPr>
        <w:t>when Case 3 or Case 4 happens, instead of depending on gNB to avoid the collision through scheduling and taking it as error case when the collision happens. For example, if Case 3 or Case 4 happens, the HD-UE with NR-NTN would either transmit the UL transmission or receive the DL transmission, to reduce the waste of scheduling resources.</w:t>
      </w:r>
    </w:p>
    <w:p>
      <w:pPr>
        <w:pStyle w:val="4"/>
        <w:rPr>
          <w:rFonts w:eastAsia="宋体"/>
          <w:b/>
          <w:bCs/>
          <w:szCs w:val="28"/>
          <w:lang w:eastAsia="zh-CN"/>
        </w:rPr>
      </w:pPr>
      <w:r>
        <w:rPr>
          <w:rFonts w:hint="eastAsia" w:eastAsia="宋体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hint="eastAsia" w:eastAsia="宋体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Regulate UE </w:t>
      </w:r>
      <w:r>
        <w:rPr>
          <w:rFonts w:hint="eastAsia" w:eastAsia="宋体"/>
          <w:b/>
          <w:bCs/>
          <w:szCs w:val="28"/>
          <w:lang w:eastAsia="zh-CN"/>
        </w:rPr>
        <w:t>behaviors</w:t>
      </w:r>
      <w:r>
        <w:rPr>
          <w:rFonts w:eastAsia="宋体"/>
          <w:b/>
          <w:bCs/>
          <w:szCs w:val="28"/>
          <w:lang w:eastAsia="zh-CN"/>
        </w:rPr>
        <w:t xml:space="preserve"> for dynamical DL vs. dynamical UL collisions and semi-statical DL vs. semi-statical UL collisions for a</w:t>
      </w:r>
      <w: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HD-UE </w:t>
      </w:r>
      <w:bookmarkStart w:id="11" w:name="_Hlk156490291"/>
      <w:r>
        <w:rPr>
          <w:rFonts w:eastAsia="宋体"/>
          <w:b/>
          <w:bCs/>
          <w:szCs w:val="28"/>
          <w:lang w:eastAsia="zh-CN"/>
        </w:rPr>
        <w:t>with NR-NTN</w:t>
      </w:r>
      <w:bookmarkEnd w:id="11"/>
      <w:r>
        <w:rPr>
          <w:rFonts w:eastAsia="宋体"/>
          <w:b/>
          <w:bCs/>
          <w:szCs w:val="28"/>
          <w:lang w:eastAsia="zh-CN"/>
        </w:rPr>
        <w:t>.</w:t>
      </w:r>
    </w:p>
    <w:p>
      <w:pPr>
        <w:pStyle w:val="4"/>
        <w:rPr>
          <w:rFonts w:eastAsia="等线"/>
          <w:szCs w:val="20"/>
          <w:lang w:eastAsia="zh-CN"/>
        </w:rPr>
      </w:pPr>
    </w:p>
    <w:p>
      <w:pPr>
        <w:pStyle w:val="2"/>
      </w:pPr>
      <w:r>
        <w:t>Conclusion</w:t>
      </w:r>
    </w:p>
    <w:p>
      <w:pPr>
        <w:pStyle w:val="4"/>
        <w:spacing w:before="120" w:beforeLines="50"/>
        <w:rPr>
          <w:rFonts w:eastAsia="宋体"/>
          <w:iCs/>
          <w:szCs w:val="20"/>
          <w:lang w:eastAsia="zh-CN"/>
        </w:rPr>
      </w:pP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 provide our views on the essential changes and potential enhancements to support HD-FDD RedCap UEs and eRedCap UEs working in NR-NTN environment</w:t>
      </w:r>
      <w:r>
        <w:rPr>
          <w:rFonts w:eastAsia="宋体"/>
          <w:iCs/>
          <w:szCs w:val="20"/>
          <w:lang w:eastAsia="zh-CN"/>
        </w:rPr>
        <w:t xml:space="preserve">. The following proposals </w:t>
      </w:r>
      <w:r>
        <w:rPr>
          <w:rFonts w:eastAsia="等线"/>
          <w:szCs w:val="20"/>
          <w:lang w:eastAsia="zh-CN"/>
        </w:rPr>
        <w:t>are provided.</w:t>
      </w:r>
    </w:p>
    <w:p>
      <w:pPr>
        <w:pStyle w:val="4"/>
        <w:rPr>
          <w:rFonts w:eastAsia="宋体"/>
          <w:b/>
          <w:bCs/>
          <w:szCs w:val="28"/>
          <w:lang w:eastAsia="zh-CN"/>
        </w:rPr>
      </w:pPr>
      <w:r>
        <w:rPr>
          <w:rFonts w:hint="eastAsia" w:eastAsia="宋体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hint="eastAsia" w:eastAsia="宋体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TA misalignment should be considered when determining if there is any collision between DL and UL transmissions for a</w:t>
      </w:r>
      <w:r>
        <w:t xml:space="preserve"> </w:t>
      </w:r>
      <w:r>
        <w:rPr>
          <w:rFonts w:eastAsia="宋体"/>
          <w:b/>
          <w:bCs/>
          <w:szCs w:val="28"/>
          <w:lang w:eastAsia="zh-CN"/>
        </w:rPr>
        <w:t>HD-UE with NR-NTN.</w:t>
      </w:r>
    </w:p>
    <w:p>
      <w:pPr>
        <w:pStyle w:val="4"/>
        <w:rPr>
          <w:rFonts w:eastAsia="宋体"/>
          <w:b/>
          <w:bCs/>
          <w:szCs w:val="28"/>
          <w:lang w:eastAsia="zh-CN"/>
        </w:rPr>
      </w:pPr>
      <w:r>
        <w:rPr>
          <w:rFonts w:hint="eastAsia" w:eastAsia="宋体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hint="eastAsia" w:eastAsia="宋体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Regulate UE </w:t>
      </w:r>
      <w:r>
        <w:rPr>
          <w:rFonts w:hint="eastAsia" w:eastAsia="宋体"/>
          <w:b/>
          <w:bCs/>
          <w:szCs w:val="28"/>
          <w:lang w:eastAsia="zh-CN"/>
        </w:rPr>
        <w:t>behaviors</w:t>
      </w:r>
      <w:r>
        <w:rPr>
          <w:rFonts w:eastAsia="宋体"/>
          <w:b/>
          <w:bCs/>
          <w:szCs w:val="28"/>
          <w:lang w:eastAsia="zh-CN"/>
        </w:rPr>
        <w:t xml:space="preserve"> for dynamical DL vs. dynamical UL collisions and semi-statical DL vs. semi-statical UL collisions for a</w:t>
      </w:r>
      <w:r>
        <w:t xml:space="preserve"> </w:t>
      </w:r>
      <w:r>
        <w:rPr>
          <w:rFonts w:eastAsia="宋体"/>
          <w:b/>
          <w:bCs/>
          <w:szCs w:val="28"/>
          <w:lang w:eastAsia="zh-CN"/>
        </w:rPr>
        <w:t>HD-UE with NR-NTN.</w:t>
      </w:r>
    </w:p>
    <w:p>
      <w:pPr>
        <w:pStyle w:val="4"/>
        <w:rPr>
          <w:rFonts w:eastAsiaTheme="minorEastAsia"/>
          <w:b/>
          <w:bCs/>
          <w:lang w:eastAsia="zh-CN"/>
        </w:rPr>
      </w:pPr>
    </w:p>
    <w:p>
      <w:pPr>
        <w:pStyle w:val="2"/>
      </w:pPr>
      <w:r>
        <w:t>Reference</w:t>
      </w:r>
      <w:bookmarkStart w:id="12" w:name="_GoBack"/>
      <w:bookmarkEnd w:id="12"/>
    </w:p>
    <w:p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>
        <w:rPr>
          <w:rFonts w:eastAsia="宋体"/>
          <w:color w:val="000000"/>
          <w:szCs w:val="20"/>
          <w:lang w:eastAsia="zh-CN"/>
        </w:rPr>
        <w:t>RP-234078, New WID: Non-Terrestrial Networks (NTN) for NR Phase 3, Huawei (Moderator, RAN1 Vice-Chair).</w:t>
      </w:r>
    </w:p>
    <w:p>
      <w:pPr>
        <w:pStyle w:val="4"/>
        <w:spacing w:before="120" w:beforeLines="50"/>
        <w:rPr>
          <w:rFonts w:eastAsia="宋体"/>
          <w:lang w:eastAsia="zh-CN"/>
        </w:rPr>
      </w:pPr>
    </w:p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2ACB7F7"/>
    <w:multiLevelType w:val="singleLevel"/>
    <w:tmpl w:val="02ACB7F7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7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F0E75E3"/>
    <w:multiLevelType w:val="multilevel"/>
    <w:tmpl w:val="2F0E75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8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CEB0DA6"/>
    <w:multiLevelType w:val="multilevel"/>
    <w:tmpl w:val="4CEB0DA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F1912B1"/>
    <w:multiLevelType w:val="multilevel"/>
    <w:tmpl w:val="5F1912B1"/>
    <w:lvl w:ilvl="0" w:tentative="0">
      <w:start w:val="1"/>
      <w:numFmt w:val="bullet"/>
      <w:pStyle w:val="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0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1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7E30194"/>
    <w:multiLevelType w:val="multilevel"/>
    <w:tmpl w:val="77E30194"/>
    <w:lvl w:ilvl="0" w:tentative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0"/>
    <w:lvlOverride w:ilvl="0">
      <w:lvl w:ilvl="0" w:tentative="1">
        <w:start w:val="1"/>
        <w:numFmt w:val="bullet"/>
        <w:pStyle w:val="49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37F4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24D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E80"/>
    <w:rsid w:val="00147C1F"/>
    <w:rsid w:val="00147D23"/>
    <w:rsid w:val="00150699"/>
    <w:rsid w:val="001507D2"/>
    <w:rsid w:val="00150A86"/>
    <w:rsid w:val="0015100A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69B3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2E92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C6"/>
    <w:rsid w:val="00210A7F"/>
    <w:rsid w:val="002117A5"/>
    <w:rsid w:val="00211D38"/>
    <w:rsid w:val="00213D20"/>
    <w:rsid w:val="0021416F"/>
    <w:rsid w:val="00217DC7"/>
    <w:rsid w:val="00220697"/>
    <w:rsid w:val="00220A76"/>
    <w:rsid w:val="00221316"/>
    <w:rsid w:val="00221C32"/>
    <w:rsid w:val="00222807"/>
    <w:rsid w:val="00222CDB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589E"/>
    <w:rsid w:val="0023758F"/>
    <w:rsid w:val="00241E92"/>
    <w:rsid w:val="00241EA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277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0437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6F3"/>
    <w:rsid w:val="003158CF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CD9"/>
    <w:rsid w:val="00341C83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47E2A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651B"/>
    <w:rsid w:val="003B77A6"/>
    <w:rsid w:val="003B7B1F"/>
    <w:rsid w:val="003C0706"/>
    <w:rsid w:val="003C156C"/>
    <w:rsid w:val="003C194F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6B9"/>
    <w:rsid w:val="00484838"/>
    <w:rsid w:val="00484B58"/>
    <w:rsid w:val="004850BB"/>
    <w:rsid w:val="00485C02"/>
    <w:rsid w:val="00485E5B"/>
    <w:rsid w:val="00485F40"/>
    <w:rsid w:val="0048682D"/>
    <w:rsid w:val="00486D74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0CA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28A"/>
    <w:rsid w:val="004F49B8"/>
    <w:rsid w:val="004F60EE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1F78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1447"/>
    <w:rsid w:val="005618A4"/>
    <w:rsid w:val="00562F3B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57F8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6DEA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818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1BCD"/>
    <w:rsid w:val="006A3104"/>
    <w:rsid w:val="006A340B"/>
    <w:rsid w:val="006A3C04"/>
    <w:rsid w:val="006A40E9"/>
    <w:rsid w:val="006A44B8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65F7"/>
    <w:rsid w:val="006D0D9B"/>
    <w:rsid w:val="006D121E"/>
    <w:rsid w:val="006D1B3C"/>
    <w:rsid w:val="006D1D44"/>
    <w:rsid w:val="006D5AAE"/>
    <w:rsid w:val="006D67BC"/>
    <w:rsid w:val="006D6C9A"/>
    <w:rsid w:val="006D735C"/>
    <w:rsid w:val="006E0A9E"/>
    <w:rsid w:val="006E1953"/>
    <w:rsid w:val="006E3896"/>
    <w:rsid w:val="006E5B15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02C"/>
    <w:rsid w:val="007561F7"/>
    <w:rsid w:val="007563FD"/>
    <w:rsid w:val="0075689A"/>
    <w:rsid w:val="007604C9"/>
    <w:rsid w:val="00760506"/>
    <w:rsid w:val="00760F15"/>
    <w:rsid w:val="00762F53"/>
    <w:rsid w:val="00763CDC"/>
    <w:rsid w:val="007641E2"/>
    <w:rsid w:val="007652F7"/>
    <w:rsid w:val="00765442"/>
    <w:rsid w:val="00765D0D"/>
    <w:rsid w:val="007674D4"/>
    <w:rsid w:val="00767984"/>
    <w:rsid w:val="00767B22"/>
    <w:rsid w:val="007708F0"/>
    <w:rsid w:val="0077149B"/>
    <w:rsid w:val="00772532"/>
    <w:rsid w:val="007732B1"/>
    <w:rsid w:val="00774C6B"/>
    <w:rsid w:val="00774D67"/>
    <w:rsid w:val="0077512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0BC9"/>
    <w:rsid w:val="007A1BE1"/>
    <w:rsid w:val="007A214C"/>
    <w:rsid w:val="007A2152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C0CBE"/>
    <w:rsid w:val="007C1F2D"/>
    <w:rsid w:val="007C207D"/>
    <w:rsid w:val="007C2259"/>
    <w:rsid w:val="007C34D4"/>
    <w:rsid w:val="007C49F2"/>
    <w:rsid w:val="007C5566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DD0"/>
    <w:rsid w:val="007F66C3"/>
    <w:rsid w:val="007F6AFF"/>
    <w:rsid w:val="0080115B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6E8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894"/>
    <w:rsid w:val="00847EAF"/>
    <w:rsid w:val="00851B75"/>
    <w:rsid w:val="00851C16"/>
    <w:rsid w:val="008541B9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3AB"/>
    <w:rsid w:val="008737F5"/>
    <w:rsid w:val="00873BC5"/>
    <w:rsid w:val="008742D1"/>
    <w:rsid w:val="008746CC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0A5"/>
    <w:rsid w:val="008A41A6"/>
    <w:rsid w:val="008A53F7"/>
    <w:rsid w:val="008A5450"/>
    <w:rsid w:val="008A5480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6B20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5365"/>
    <w:rsid w:val="009B5B0B"/>
    <w:rsid w:val="009B5F7A"/>
    <w:rsid w:val="009B68D9"/>
    <w:rsid w:val="009B69FD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F48"/>
    <w:rsid w:val="009D3FFC"/>
    <w:rsid w:val="009D4BD6"/>
    <w:rsid w:val="009D66E3"/>
    <w:rsid w:val="009D6AC1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BDD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CE2"/>
    <w:rsid w:val="00A74FEF"/>
    <w:rsid w:val="00A75E36"/>
    <w:rsid w:val="00A80152"/>
    <w:rsid w:val="00A808DC"/>
    <w:rsid w:val="00A81918"/>
    <w:rsid w:val="00A819FE"/>
    <w:rsid w:val="00A8206B"/>
    <w:rsid w:val="00A850D4"/>
    <w:rsid w:val="00A8548B"/>
    <w:rsid w:val="00A86C99"/>
    <w:rsid w:val="00A90CCC"/>
    <w:rsid w:val="00A90E11"/>
    <w:rsid w:val="00A91389"/>
    <w:rsid w:val="00A924CF"/>
    <w:rsid w:val="00A9321E"/>
    <w:rsid w:val="00A93D6A"/>
    <w:rsid w:val="00A96282"/>
    <w:rsid w:val="00A97888"/>
    <w:rsid w:val="00AA0B6B"/>
    <w:rsid w:val="00AA0BFB"/>
    <w:rsid w:val="00AA0F67"/>
    <w:rsid w:val="00AA10AD"/>
    <w:rsid w:val="00AA1648"/>
    <w:rsid w:val="00AA2A5A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0CAA"/>
    <w:rsid w:val="00B917D6"/>
    <w:rsid w:val="00B92041"/>
    <w:rsid w:val="00B92287"/>
    <w:rsid w:val="00B969F7"/>
    <w:rsid w:val="00B9720A"/>
    <w:rsid w:val="00BA0F3C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92C"/>
    <w:rsid w:val="00BB3976"/>
    <w:rsid w:val="00BB3F8C"/>
    <w:rsid w:val="00BB4007"/>
    <w:rsid w:val="00BB4BB0"/>
    <w:rsid w:val="00BC0538"/>
    <w:rsid w:val="00BC228C"/>
    <w:rsid w:val="00BC2B16"/>
    <w:rsid w:val="00BC59AF"/>
    <w:rsid w:val="00BC5A30"/>
    <w:rsid w:val="00BC6004"/>
    <w:rsid w:val="00BC6180"/>
    <w:rsid w:val="00BC71F4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07"/>
    <w:rsid w:val="00CC3CDD"/>
    <w:rsid w:val="00CC48C5"/>
    <w:rsid w:val="00CC64DF"/>
    <w:rsid w:val="00CC7C6B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9BD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57CA7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1E4A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6139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431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460D"/>
    <w:rsid w:val="00E057CE"/>
    <w:rsid w:val="00E06BBE"/>
    <w:rsid w:val="00E06E24"/>
    <w:rsid w:val="00E07ADF"/>
    <w:rsid w:val="00E10308"/>
    <w:rsid w:val="00E10AD3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4E58"/>
    <w:rsid w:val="00E3575A"/>
    <w:rsid w:val="00E3575E"/>
    <w:rsid w:val="00E35A4D"/>
    <w:rsid w:val="00E35D63"/>
    <w:rsid w:val="00E35E24"/>
    <w:rsid w:val="00E36367"/>
    <w:rsid w:val="00E3711C"/>
    <w:rsid w:val="00E37334"/>
    <w:rsid w:val="00E37F10"/>
    <w:rsid w:val="00E4012F"/>
    <w:rsid w:val="00E4257F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809"/>
    <w:rsid w:val="00E86DDC"/>
    <w:rsid w:val="00E87BC2"/>
    <w:rsid w:val="00E87D88"/>
    <w:rsid w:val="00E90523"/>
    <w:rsid w:val="00E92416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1FE9"/>
    <w:rsid w:val="00EB22AA"/>
    <w:rsid w:val="00EB2491"/>
    <w:rsid w:val="00EB292D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2A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6201"/>
    <w:rsid w:val="00F46A7C"/>
    <w:rsid w:val="00F475D1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4E31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5124"/>
    <w:rsid w:val="00FF651C"/>
    <w:rsid w:val="00FF78C0"/>
    <w:rsid w:val="02CD37A8"/>
    <w:rsid w:val="035E4559"/>
    <w:rsid w:val="0BB95D1D"/>
    <w:rsid w:val="134277FC"/>
    <w:rsid w:val="18AF707B"/>
    <w:rsid w:val="28E41F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 w:cs="Arial"/>
      <w:b/>
      <w:bCs/>
      <w:kern w:val="32"/>
      <w:sz w:val="28"/>
      <w:szCs w:val="32"/>
    </w:rPr>
  </w:style>
  <w:style w:type="paragraph" w:styleId="3">
    <w:name w:val="heading 2"/>
    <w:basedOn w:val="1"/>
    <w:next w:val="4"/>
    <w:link w:val="23"/>
    <w:qFormat/>
    <w:uiPriority w:val="0"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hAnsi="Helvetica" w:eastAsia="MS Mincho" w:cs="Arial"/>
      <w:b/>
      <w:bCs/>
      <w:iCs/>
      <w:szCs w:val="28"/>
    </w:rPr>
  </w:style>
  <w:style w:type="paragraph" w:styleId="5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26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1"/>
    <w:next w:val="1"/>
    <w:link w:val="39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</w:rPr>
  </w:style>
  <w:style w:type="character" w:default="1" w:styleId="17">
    <w:name w:val="Default Paragraph Font"/>
    <w:unhideWhenUsed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7"/>
    <w:qFormat/>
    <w:uiPriority w:val="0"/>
    <w:pPr>
      <w:spacing w:after="120"/>
      <w:jc w:val="both"/>
    </w:pPr>
    <w:rPr>
      <w:rFonts w:eastAsia="MS Mincho"/>
    </w:rPr>
  </w:style>
  <w:style w:type="paragraph" w:styleId="9">
    <w:name w:val="annotation subject"/>
    <w:basedOn w:val="10"/>
    <w:next w:val="10"/>
    <w:link w:val="32"/>
    <w:unhideWhenUsed/>
    <w:qFormat/>
    <w:uiPriority w:val="99"/>
    <w:rPr>
      <w:b/>
      <w:bCs/>
    </w:rPr>
  </w:style>
  <w:style w:type="paragraph" w:styleId="10">
    <w:name w:val="annotation text"/>
    <w:basedOn w:val="1"/>
    <w:link w:val="31"/>
    <w:unhideWhenUsed/>
    <w:qFormat/>
    <w:uiPriority w:val="99"/>
    <w:rPr>
      <w:szCs w:val="20"/>
    </w:rPr>
  </w:style>
  <w:style w:type="paragraph" w:styleId="11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12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Balloon Text"/>
    <w:basedOn w:val="1"/>
    <w:link w:val="29"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536"/>
        <w:tab w:val="right" w:pos="9072"/>
      </w:tabs>
    </w:p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unhideWhenUsed/>
    <w:qFormat/>
    <w:uiPriority w:val="99"/>
    <w:rPr>
      <w:sz w:val="16"/>
      <w:szCs w:val="16"/>
    </w:rPr>
  </w:style>
  <w:style w:type="table" w:styleId="21">
    <w:name w:val="Table Grid"/>
    <w:basedOn w:val="2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标题 1 字符"/>
    <w:link w:val="2"/>
    <w:qFormat/>
    <w:uiPriority w:val="0"/>
    <w:rPr>
      <w:rFonts w:ascii="Helvetica" w:hAnsi="Helvetica" w:eastAsia="MS Mincho" w:cs="Arial"/>
      <w:b/>
      <w:bCs/>
      <w:kern w:val="32"/>
      <w:sz w:val="28"/>
      <w:szCs w:val="32"/>
      <w:lang w:eastAsia="en-US"/>
    </w:rPr>
  </w:style>
  <w:style w:type="character" w:customStyle="1" w:styleId="23">
    <w:name w:val="标题 2 字符"/>
    <w:link w:val="3"/>
    <w:qFormat/>
    <w:uiPriority w:val="0"/>
    <w:rPr>
      <w:rFonts w:ascii="Helvetica" w:hAnsi="Helvetica" w:eastAsia="MS Mincho" w:cs="Arial"/>
      <w:b/>
      <w:bCs/>
      <w:iCs/>
      <w:szCs w:val="28"/>
      <w:lang w:eastAsia="en-US"/>
    </w:rPr>
  </w:style>
  <w:style w:type="character" w:customStyle="1" w:styleId="24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25">
    <w:name w:val="标题 4 字符"/>
    <w:link w:val="6"/>
    <w:qFormat/>
    <w:uiPriority w:val="9"/>
    <w:rPr>
      <w:rFonts w:ascii="Times New Roman" w:hAnsi="Times New Roman" w:eastAsia="MS Mincho"/>
      <w:b/>
      <w:bCs/>
      <w:sz w:val="28"/>
      <w:szCs w:val="28"/>
      <w:lang w:eastAsia="en-US"/>
    </w:rPr>
  </w:style>
  <w:style w:type="character" w:customStyle="1" w:styleId="26">
    <w:name w:val="标题 5 字符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27">
    <w:name w:val="正文文本 字符"/>
    <w:link w:val="4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28">
    <w:name w:val="页眉 字符1"/>
    <w:link w:val="15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29">
    <w:name w:val="批注框文本 字符"/>
    <w:link w:val="13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30">
    <w:name w:val="List Paragraph"/>
    <w:basedOn w:val="1"/>
    <w:link w:val="34"/>
    <w:qFormat/>
    <w:uiPriority w:val="34"/>
    <w:pPr>
      <w:ind w:left="720"/>
      <w:contextualSpacing/>
    </w:pPr>
  </w:style>
  <w:style w:type="character" w:customStyle="1" w:styleId="31">
    <w:name w:val="批注文字 字符1"/>
    <w:link w:val="10"/>
    <w:qFormat/>
    <w:uiPriority w:val="0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2">
    <w:name w:val="批注主题 字符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33">
    <w:name w:val="页脚 字符"/>
    <w:link w:val="14"/>
    <w:qFormat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character" w:customStyle="1" w:styleId="34">
    <w:name w:val="列表段落 字符"/>
    <w:link w:val="30"/>
    <w:qFormat/>
    <w:locked/>
    <w:uiPriority w:val="34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35">
    <w:name w:val="TAL"/>
    <w:basedOn w:val="1"/>
    <w:link w:val="38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 w:eastAsia="zh-CN"/>
    </w:rPr>
  </w:style>
  <w:style w:type="paragraph" w:customStyle="1" w:styleId="36">
    <w:name w:val="TAH"/>
    <w:basedOn w:val="1"/>
    <w:link w:val="46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szCs w:val="20"/>
      <w:lang w:val="en-GB" w:eastAsia="zh-CN"/>
    </w:rPr>
  </w:style>
  <w:style w:type="paragraph" w:customStyle="1" w:styleId="37">
    <w:name w:val="TH"/>
    <w:basedOn w:val="1"/>
    <w:link w:val="67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38">
    <w:name w:val="TAL Char"/>
    <w:link w:val="35"/>
    <w:qFormat/>
    <w:uiPriority w:val="0"/>
    <w:rPr>
      <w:rFonts w:ascii="Arial" w:hAnsi="Arial" w:eastAsia="Malgun Gothic" w:cs="Times New Roman"/>
      <w:sz w:val="18"/>
      <w:szCs w:val="20"/>
      <w:lang w:val="en-GB" w:eastAsia="zh-CN"/>
    </w:rPr>
  </w:style>
  <w:style w:type="character" w:customStyle="1" w:styleId="39">
    <w:name w:val="标题 8 字符"/>
    <w:link w:val="8"/>
    <w:qFormat/>
    <w:uiPriority w:val="9"/>
    <w:rPr>
      <w:rFonts w:ascii="Cambria" w:hAnsi="Cambria" w:eastAsia="宋体" w:cs="Times New Roman"/>
      <w:sz w:val="24"/>
      <w:szCs w:val="24"/>
      <w:lang w:val="en-US"/>
    </w:rPr>
  </w:style>
  <w:style w:type="character" w:customStyle="1" w:styleId="40">
    <w:name w:val="apple-converted-space"/>
    <w:qFormat/>
    <w:uiPriority w:val="0"/>
  </w:style>
  <w:style w:type="character" w:customStyle="1" w:styleId="41">
    <w:name w:val="high-light-bg"/>
    <w:qFormat/>
    <w:uiPriority w:val="0"/>
  </w:style>
  <w:style w:type="paragraph" w:customStyle="1" w:styleId="42">
    <w:name w:val="스타일 스타일 스타일 스타일 양쪽 첫 줄:  2 글자 + 첫 줄:  2 글자 + 첫 줄:  2 글자 + 첫 줄:  2..."/>
    <w:basedOn w:val="1"/>
    <w:link w:val="43"/>
    <w:qFormat/>
    <w:uiPriority w:val="0"/>
    <w:pPr>
      <w:spacing w:after="180" w:line="336" w:lineRule="auto"/>
      <w:ind w:firstLine="200" w:firstLineChars="200"/>
      <w:jc w:val="both"/>
    </w:pPr>
    <w:rPr>
      <w:rFonts w:eastAsia="Malgun Gothic" w:cs="Batang"/>
      <w:szCs w:val="20"/>
      <w:lang w:val="en-GB"/>
    </w:rPr>
  </w:style>
  <w:style w:type="character" w:customStyle="1" w:styleId="43">
    <w:name w:val="스타일 스타일 스타일 스타일 양쪽 첫 줄:  2 글자 + 첫 줄:  2 글자 + 첫 줄:  2 글자 + 첫 줄:  2... Char"/>
    <w:link w:val="42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44">
    <w:name w:val="B1"/>
    <w:basedOn w:val="1"/>
    <w:link w:val="45"/>
    <w:qFormat/>
    <w:uiPriority w:val="0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45">
    <w:name w:val="B1 Char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46">
    <w:name w:val="TAH Car"/>
    <w:link w:val="36"/>
    <w:qFormat/>
    <w:uiPriority w:val="0"/>
    <w:rPr>
      <w:rFonts w:ascii="Arial" w:hAnsi="Arial" w:eastAsia="Malgun Gothic"/>
      <w:b/>
      <w:sz w:val="18"/>
      <w:lang w:val="en-GB" w:eastAsia="zh-CN"/>
    </w:rPr>
  </w:style>
  <w:style w:type="paragraph" w:customStyle="1" w:styleId="47">
    <w:name w:val="TAC"/>
    <w:basedOn w:val="35"/>
    <w:link w:val="48"/>
    <w:qFormat/>
    <w:uiPriority w:val="0"/>
    <w:pPr>
      <w:jc w:val="center"/>
    </w:pPr>
    <w:rPr>
      <w:rFonts w:eastAsia="宋体"/>
      <w:lang w:eastAsia="en-US"/>
    </w:rPr>
  </w:style>
  <w:style w:type="character" w:customStyle="1" w:styleId="48">
    <w:name w:val="TAC Char"/>
    <w:link w:val="47"/>
    <w:qFormat/>
    <w:uiPriority w:val="0"/>
    <w:rPr>
      <w:rFonts w:ascii="Arial" w:hAnsi="Arial"/>
      <w:sz w:val="18"/>
      <w:lang w:val="en-GB" w:eastAsia="en-US"/>
    </w:rPr>
  </w:style>
  <w:style w:type="paragraph" w:customStyle="1" w:styleId="49">
    <w:name w:val="text intend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50">
    <w:name w:val="gmail-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1">
    <w:name w:val="gmail-m_-8159134361528303805msolistparagraph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2">
    <w:name w:val="m_1688756359928511317gmail-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3">
    <w:name w:val="m_1688756359928511317gmail-m-8159134361528303805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4">
    <w:name w:val="text"/>
    <w:basedOn w:val="1"/>
    <w:link w:val="55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55">
    <w:name w:val="text Char"/>
    <w:link w:val="54"/>
    <w:qFormat/>
    <w:uiPriority w:val="0"/>
    <w:rPr>
      <w:kern w:val="2"/>
      <w:sz w:val="24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57">
    <w:name w:val="bullet1"/>
    <w:basedOn w:val="54"/>
    <w:link w:val="59"/>
    <w:qFormat/>
    <w:uiPriority w:val="0"/>
    <w:pPr>
      <w:widowControl/>
      <w:numPr>
        <w:ilvl w:val="0"/>
        <w:numId w:val="3"/>
      </w:numPr>
      <w:spacing w:after="0"/>
      <w:jc w:val="left"/>
    </w:pPr>
    <w:rPr>
      <w:szCs w:val="24"/>
      <w:lang w:val="en-GB"/>
    </w:rPr>
  </w:style>
  <w:style w:type="paragraph" w:customStyle="1" w:styleId="58">
    <w:name w:val="bullet2"/>
    <w:basedOn w:val="54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59">
    <w:name w:val="bullet1 Char"/>
    <w:link w:val="57"/>
    <w:qFormat/>
    <w:uiPriority w:val="0"/>
    <w:rPr>
      <w:kern w:val="2"/>
      <w:sz w:val="24"/>
      <w:szCs w:val="24"/>
      <w:lang w:val="en-GB"/>
    </w:rPr>
  </w:style>
  <w:style w:type="paragraph" w:customStyle="1" w:styleId="60">
    <w:name w:val="bullet3"/>
    <w:basedOn w:val="54"/>
    <w:qFormat/>
    <w:uiPriority w:val="0"/>
    <w:pPr>
      <w:widowControl/>
      <w:numPr>
        <w:ilvl w:val="2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1">
    <w:name w:val="bullet4"/>
    <w:basedOn w:val="54"/>
    <w:qFormat/>
    <w:uiPriority w:val="0"/>
    <w:pPr>
      <w:widowControl/>
      <w:numPr>
        <w:ilvl w:val="3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62">
    <w:name w:val="列出段落 Char1"/>
    <w:qFormat/>
    <w:uiPriority w:val="34"/>
  </w:style>
  <w:style w:type="paragraph" w:customStyle="1" w:styleId="63">
    <w:name w:val="PL"/>
    <w:link w:val="6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64">
    <w:name w:val="PL Char"/>
    <w:link w:val="6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65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66">
    <w:name w:val="CR Cover Page"/>
    <w:link w:val="7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67">
    <w:name w:val="TH Char"/>
    <w:link w:val="37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68">
    <w:name w:val="LGTdoc_본문"/>
    <w:basedOn w:val="1"/>
    <w:link w:val="69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69">
    <w:name w:val="LGTdoc_본문 Char"/>
    <w:link w:val="68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paragraph" w:customStyle="1" w:styleId="70">
    <w:name w:val="Style1"/>
    <w:basedOn w:val="1"/>
    <w:link w:val="7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71">
    <w:name w:val="Style1 Char"/>
    <w:link w:val="70"/>
    <w:qFormat/>
    <w:uiPriority w:val="0"/>
    <w:rPr>
      <w:rFonts w:ascii="Times New Roman" w:hAnsi="Times New Roman"/>
    </w:rPr>
  </w:style>
  <w:style w:type="character" w:customStyle="1" w:styleId="72">
    <w:name w:val="列出段落 字符"/>
    <w:qFormat/>
    <w:locked/>
    <w:uiPriority w:val="34"/>
    <w:rPr>
      <w:rFonts w:eastAsia="宋体"/>
      <w:lang w:eastAsia="ja-JP"/>
    </w:rPr>
  </w:style>
  <w:style w:type="character" w:customStyle="1" w:styleId="73">
    <w:name w:val="页眉 字符"/>
    <w:qFormat/>
    <w:uiPriority w:val="0"/>
    <w:rPr>
      <w:lang w:val="en-GB"/>
    </w:rPr>
  </w:style>
  <w:style w:type="paragraph" w:customStyle="1" w:styleId="74">
    <w:name w:val="B3"/>
    <w:basedOn w:val="1"/>
    <w:link w:val="75"/>
    <w:qFormat/>
    <w:uiPriority w:val="0"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75">
    <w:name w:val="B3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76">
    <w:name w:val="CR Cover Page Zchn"/>
    <w:link w:val="66"/>
    <w:qFormat/>
    <w:uiPriority w:val="0"/>
    <w:rPr>
      <w:rFonts w:ascii="Arial" w:hAnsi="Arial" w:eastAsia="等线"/>
      <w:lang w:val="en-GB" w:eastAsia="en-US"/>
    </w:rPr>
  </w:style>
  <w:style w:type="paragraph" w:customStyle="1" w:styleId="77">
    <w:name w:val="TAN"/>
    <w:basedOn w:val="35"/>
    <w:link w:val="79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78">
    <w:name w:val="B1+"/>
    <w:basedOn w:val="44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79">
    <w:name w:val="TAN Char"/>
    <w:link w:val="77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80">
    <w:name w:val="B3+"/>
    <w:basedOn w:val="74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81">
    <w:name w:val="Proposal"/>
    <w:basedOn w:val="4"/>
    <w:qFormat/>
    <w:uiPriority w:val="0"/>
    <w:pPr>
      <w:widowControl w:val="0"/>
      <w:numPr>
        <w:ilvl w:val="0"/>
        <w:numId w:val="6"/>
      </w:numPr>
      <w:tabs>
        <w:tab w:val="left" w:pos="1701"/>
        <w:tab w:val="clear" w:pos="1304"/>
      </w:tabs>
      <w:ind w:left="1701" w:hanging="1701"/>
    </w:pPr>
    <w:rPr>
      <w:rFonts w:ascii="Arial" w:hAnsi="Arial" w:eastAsia="等线"/>
      <w:b/>
      <w:bCs/>
      <w:kern w:val="2"/>
      <w:sz w:val="21"/>
      <w:szCs w:val="22"/>
      <w:lang w:eastAsia="zh-CN"/>
    </w:rPr>
  </w:style>
  <w:style w:type="paragraph" w:customStyle="1" w:styleId="82">
    <w:name w:val="目录 41"/>
    <w:basedOn w:val="83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leftChars="0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83">
    <w:name w:val="目录 31"/>
    <w:basedOn w:val="1"/>
    <w:next w:val="1"/>
    <w:unhideWhenUsed/>
    <w:qFormat/>
    <w:uiPriority w:val="39"/>
    <w:pPr>
      <w:ind w:left="840" w:leftChars="400"/>
    </w:p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6">
    <w:name w:val="批注文字 字符"/>
    <w:qFormat/>
    <w:uiPriority w:val="99"/>
  </w:style>
  <w:style w:type="paragraph" w:customStyle="1" w:styleId="87">
    <w:name w:val="B2"/>
    <w:basedOn w:val="12"/>
    <w:link w:val="88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szCs w:val="20"/>
      <w:lang w:val="en-GB" w:eastAsia="en-GB"/>
    </w:rPr>
  </w:style>
  <w:style w:type="character" w:customStyle="1" w:styleId="88">
    <w:name w:val="B2 Char"/>
    <w:link w:val="87"/>
    <w:qFormat/>
    <w:locked/>
    <w:uiPriority w:val="0"/>
    <w:rPr>
      <w:rFonts w:ascii="Times New Roman" w:hAnsi="Times New Roman" w:eastAsia="Times New Roman"/>
      <w:lang w:val="en-GB" w:eastAsia="en-GB"/>
    </w:rPr>
  </w:style>
  <w:style w:type="paragraph" w:customStyle="1" w:styleId="89">
    <w:name w:val="b110"/>
    <w:basedOn w:val="1"/>
    <w:qFormat/>
    <w:uiPriority w:val="0"/>
    <w:pPr>
      <w:spacing w:before="75" w:after="75"/>
    </w:pPr>
    <w:rPr>
      <w:sz w:val="24"/>
      <w:lang w:eastAsia="zh-CN"/>
    </w:rPr>
  </w:style>
  <w:style w:type="table" w:customStyle="1" w:styleId="90">
    <w:name w:val="网格表 5 深色 - 着色 61"/>
    <w:basedOn w:val="2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blPr>
        <w:tblLayout w:type="fixed"/>
      </w:tblPr>
      <w:tcPr>
        <w:shd w:val="clear" w:color="auto" w:fill="C5E0B3" w:themeFill="accent6" w:themeFillTint="66"/>
      </w:tcPr>
    </w:tblStylePr>
    <w:tblStylePr w:type="band1Horz">
      <w:tblPr>
        <w:tblLayout w:type="fixed"/>
      </w:tblPr>
      <w:tcPr>
        <w:shd w:val="clear" w:color="auto" w:fill="C5E0B3" w:themeFill="accent6" w:themeFillTint="66"/>
      </w:tcPr>
    </w:tblStylePr>
  </w:style>
  <w:style w:type="table" w:customStyle="1" w:styleId="91">
    <w:name w:val="网格表 4 - 着色 61"/>
    <w:basedOn w:val="20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2EFD9" w:themeFill="accent6" w:themeFillTint="33"/>
      </w:tcPr>
    </w:tblStylePr>
    <w:tblStylePr w:type="band1Horz">
      <w:tblPr>
        <w:tblLayout w:type="fixed"/>
      </w:tblPr>
      <w:tcPr>
        <w:shd w:val="clear" w:color="auto" w:fill="E2EFD9" w:themeFill="accent6" w:themeFillTint="33"/>
      </w:tcPr>
    </w:tblStylePr>
  </w:style>
  <w:style w:type="paragraph" w:customStyle="1" w:styleId="92">
    <w:name w:val="H6"/>
    <w:basedOn w:val="7"/>
    <w:next w:val="1"/>
    <w:link w:val="93"/>
    <w:uiPriority w:val="0"/>
    <w:pPr>
      <w:keepNext/>
      <w:keepLines/>
      <w:spacing w:before="120" w:after="180"/>
      <w:ind w:left="1985" w:hanging="1985"/>
      <w:outlineLvl w:val="9"/>
    </w:pPr>
    <w:rPr>
      <w:rFonts w:ascii="Arial" w:hAnsi="Arial" w:eastAsia="宋体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93">
    <w:name w:val="H6 Char"/>
    <w:link w:val="92"/>
    <w:qFormat/>
    <w:uiPriority w:val="0"/>
    <w:rPr>
      <w:rFonts w:ascii="Arial" w:hAnsi="Arial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/>
</ds:datastoreItem>
</file>

<file path=customXml/itemProps3.xml><?xml version="1.0" encoding="utf-8"?>
<ds:datastoreItem xmlns:ds="http://schemas.openxmlformats.org/officeDocument/2006/customXml" ds:itemID="{E3616DC6-1F18-4330-A78B-E643F6D64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3</Pages>
  <Words>1175</Words>
  <Characters>6700</Characters>
  <Lines>55</Lines>
  <Paragraphs>15</Paragraphs>
  <TotalTime>0</TotalTime>
  <ScaleCrop>false</ScaleCrop>
  <LinksUpToDate>false</LinksUpToDate>
  <CharactersWithSpaces>7860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2022-02-09T03:10:00Z</dcterms:created>
  <dc:creator>80155464</dc:creator>
  <cp:lastModifiedBy>Hao Lin</cp:lastModifiedBy>
  <dcterms:modified xsi:type="dcterms:W3CDTF">2024-02-19T07:15:56Z</dcterms:modified>
  <cp:revision>932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