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ascii="Times New Roman" w:hAnsi="Times New Roman" w:eastAsia="宋体"/>
          <w:bCs/>
          <w:sz w:val="22"/>
          <w:szCs w:val="22"/>
          <w:lang w:val="en-GB" w:eastAsia="zh-CN"/>
        </w:rPr>
      </w:pPr>
      <w:r>
        <w:rPr>
          <w:rFonts w:ascii="Times New Roman" w:hAnsi="Times New Roman" w:eastAsia="宋体"/>
          <w:bCs/>
          <w:sz w:val="22"/>
          <w:szCs w:val="22"/>
          <w:lang w:val="en-GB" w:eastAsia="zh-CN"/>
        </w:rPr>
        <w:t>3GPP TSG RAN WG1 #116</w:t>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R1-2400602</w:t>
      </w:r>
    </w:p>
    <w:p>
      <w:pPr>
        <w:pStyle w:val="15"/>
        <w:rPr>
          <w:rFonts w:ascii="Times New Roman" w:hAnsi="Times New Roman" w:eastAsia="宋体"/>
          <w:bCs/>
          <w:sz w:val="22"/>
          <w:szCs w:val="22"/>
          <w:lang w:val="en-GB" w:eastAsia="zh-CN"/>
        </w:rPr>
      </w:pPr>
      <w:bookmarkStart w:id="0" w:name="_Hlk157963416"/>
      <w:r>
        <w:rPr>
          <w:rFonts w:ascii="Times New Roman" w:hAnsi="Times New Roman" w:eastAsia="宋体"/>
          <w:bCs/>
          <w:sz w:val="22"/>
          <w:szCs w:val="22"/>
          <w:lang w:val="en-GB" w:eastAsia="zh-CN"/>
        </w:rPr>
        <w:t>Athens, Greece, February 26</w:t>
      </w:r>
      <w:r>
        <w:rPr>
          <w:rFonts w:hint="eastAsia" w:ascii="Times New Roman" w:hAnsi="Times New Roman" w:eastAsia="宋体"/>
          <w:bCs/>
          <w:sz w:val="22"/>
          <w:szCs w:val="22"/>
          <w:vertAlign w:val="superscript"/>
          <w:lang w:val="en-GB" w:eastAsia="zh-CN"/>
        </w:rPr>
        <w:t>th</w:t>
      </w:r>
      <w:r>
        <w:rPr>
          <w:rFonts w:ascii="Times New Roman" w:hAnsi="Times New Roman" w:eastAsia="宋体"/>
          <w:bCs/>
          <w:sz w:val="22"/>
          <w:szCs w:val="22"/>
          <w:lang w:val="en-GB" w:eastAsia="zh-CN"/>
        </w:rPr>
        <w:t xml:space="preserve"> – March 1</w:t>
      </w:r>
      <w:r>
        <w:rPr>
          <w:rFonts w:ascii="Times New Roman" w:hAnsi="Times New Roman" w:eastAsia="宋体"/>
          <w:bCs/>
          <w:sz w:val="22"/>
          <w:szCs w:val="22"/>
          <w:vertAlign w:val="superscript"/>
          <w:lang w:val="en-GB" w:eastAsia="zh-CN"/>
        </w:rPr>
        <w:t>st</w:t>
      </w:r>
      <w:r>
        <w:rPr>
          <w:rFonts w:ascii="Times New Roman" w:hAnsi="Times New Roman" w:eastAsia="宋体"/>
          <w:bCs/>
          <w:sz w:val="22"/>
          <w:szCs w:val="22"/>
          <w:lang w:val="en-GB" w:eastAsia="zh-CN"/>
        </w:rPr>
        <w:t>, 2024</w:t>
      </w:r>
      <w:bookmarkEnd w:id="0"/>
    </w:p>
    <w:p>
      <w:pPr>
        <w:pStyle w:val="15"/>
        <w:rPr>
          <w:rFonts w:ascii="Times New Roman" w:hAnsi="Times New Roman" w:eastAsia="宋体"/>
          <w:sz w:val="22"/>
          <w:szCs w:val="22"/>
          <w:lang w:val="en-GB"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 xml:space="preserve">Discussion on NR-NTN downlink coverage enhancement </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9.11.1</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line="252" w:lineRule="auto"/>
        <w:rPr>
          <w:rFonts w:eastAsia="等线"/>
          <w:szCs w:val="20"/>
          <w:lang w:eastAsia="zh-CN"/>
        </w:rPr>
      </w:pPr>
      <w:r>
        <w:rPr>
          <w:rFonts w:eastAsia="等线"/>
          <w:szCs w:val="20"/>
          <w:lang w:eastAsia="zh-CN"/>
        </w:rPr>
        <w:t>I</w:t>
      </w:r>
      <w:r>
        <w:rPr>
          <w:rFonts w:hint="eastAsia" w:eastAsia="等线"/>
          <w:szCs w:val="20"/>
          <w:lang w:eastAsia="zh-CN"/>
        </w:rPr>
        <w:t>n</w:t>
      </w:r>
      <w:r>
        <w:rPr>
          <w:rFonts w:eastAsia="等线"/>
          <w:szCs w:val="20"/>
          <w:lang w:eastAsia="zh-CN"/>
        </w:rPr>
        <w:t xml:space="preserve"> </w:t>
      </w:r>
      <w:r>
        <w:rPr>
          <w:rFonts w:eastAsiaTheme="minorEastAsia"/>
          <w:bCs/>
          <w:szCs w:val="20"/>
          <w:lang w:val="en-GB" w:eastAsia="zh-CN"/>
        </w:rPr>
        <w:t>RAN#102 meeting</w:t>
      </w:r>
      <w:r>
        <w:rPr>
          <w:rFonts w:eastAsia="等线"/>
          <w:szCs w:val="20"/>
          <w:lang w:eastAsia="zh-CN"/>
        </w:rPr>
        <w:t>, a new work item was proposed to provide further enhancement for NR NTN in R19 [1]. As a part of objectives of the work item, downlink coverage should be firstly evaluated with more realistic constraints such as payload power limitation, large satellite footprint and limited feeder link bandwidth. Specifically, both link level and system level evaluation</w:t>
      </w:r>
      <w:r>
        <w:rPr>
          <w:rFonts w:hint="eastAsia" w:eastAsia="等线"/>
          <w:szCs w:val="20"/>
          <w:lang w:val="en-US" w:eastAsia="zh-CN"/>
        </w:rPr>
        <w:t>s</w:t>
      </w:r>
      <w:r>
        <w:rPr>
          <w:rFonts w:eastAsia="等线"/>
          <w:szCs w:val="20"/>
          <w:lang w:eastAsia="zh-CN"/>
        </w:rPr>
        <w:t xml:space="preserve"> are needed to </w:t>
      </w:r>
      <w:r>
        <w:rPr>
          <w:rFonts w:hint="eastAsia" w:eastAsia="等线"/>
          <w:szCs w:val="20"/>
          <w:lang w:val="en-US" w:eastAsia="zh-CN"/>
        </w:rPr>
        <w:t xml:space="preserve">investigate </w:t>
      </w:r>
      <w:r>
        <w:rPr>
          <w:rFonts w:eastAsia="等线"/>
          <w:szCs w:val="20"/>
          <w:lang w:eastAsia="zh-CN"/>
        </w:rPr>
        <w:t>if link level enhancements and/or system level enhancements are necessary or beneficial.</w:t>
      </w:r>
    </w:p>
    <w:tbl>
      <w:tblPr>
        <w:tblStyle w:val="20"/>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shd w:val="clear" w:color="auto" w:fill="auto"/>
          </w:tcPr>
          <w:p>
            <w:pPr>
              <w:spacing w:line="276" w:lineRule="auto"/>
              <w:rPr>
                <w:bCs/>
              </w:rPr>
            </w:pPr>
            <w:r>
              <w:rPr>
                <w:bCs/>
              </w:rPr>
              <w:t>The</w:t>
            </w:r>
            <w:r>
              <w:rPr>
                <w:rFonts w:hint="eastAsia"/>
                <w:bCs/>
              </w:rPr>
              <w:t xml:space="preserve"> </w:t>
            </w:r>
            <w:r>
              <w:rPr>
                <w:bCs/>
              </w:rPr>
              <w:t>objectives of the work item are the following:</w:t>
            </w:r>
          </w:p>
          <w:p>
            <w:pPr>
              <w:spacing w:line="276" w:lineRule="auto"/>
              <w:rPr>
                <w:bCs/>
              </w:rPr>
            </w:pPr>
          </w:p>
          <w:p>
            <w:pPr>
              <w:numPr>
                <w:ilvl w:val="0"/>
                <w:numId w:val="7"/>
              </w:numPr>
              <w:overflowPunct w:val="0"/>
              <w:autoSpaceDE w:val="0"/>
              <w:autoSpaceDN w:val="0"/>
              <w:adjustRightInd w:val="0"/>
              <w:spacing w:line="276" w:lineRule="auto"/>
              <w:textAlignment w:val="baseline"/>
              <w:rPr>
                <w:rFonts w:eastAsia="Calibri"/>
                <w:lang w:eastAsia="ko-KR"/>
              </w:rPr>
            </w:pPr>
            <w:r>
              <w:rPr>
                <w:rFonts w:eastAsia="Calibri"/>
                <w:lang w:eastAsia="ko-KR"/>
              </w:rPr>
              <w:t>Study and specify</w:t>
            </w:r>
            <w:bookmarkStart w:id="1" w:name="_Hlk153196886"/>
            <w:r>
              <w:rPr>
                <w:rFonts w:eastAsia="Calibri"/>
                <w:lang w:eastAsia="ko-KR"/>
              </w:rPr>
              <w:t xml:space="preserve"> if beneficial</w:t>
            </w:r>
            <w:bookmarkEnd w:id="1"/>
            <w:r>
              <w:rPr>
                <w:rFonts w:eastAsia="Calibri"/>
                <w:lang w:eastAsia="ko-KR"/>
              </w:rPr>
              <w:t xml:space="preserve"> downlink coverage enhancements targeting support for additional reference satellite payload parameters covering both GSO and NGSO constellations operating in FR1-NTN or FR2-NTN [RAN1, RAN2, RAN4]</w:t>
            </w:r>
          </w:p>
          <w:p>
            <w:pPr>
              <w:pStyle w:val="93"/>
              <w:widowControl w:val="0"/>
              <w:numPr>
                <w:ilvl w:val="0"/>
                <w:numId w:val="8"/>
              </w:numPr>
              <w:overflowPunct/>
              <w:autoSpaceDE/>
              <w:autoSpaceDN/>
              <w:adjustRightInd/>
              <w:spacing w:after="0" w:line="276" w:lineRule="auto"/>
              <w:jc w:val="both"/>
              <w:textAlignment w:val="auto"/>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93"/>
              <w:widowControl w:val="0"/>
              <w:numPr>
                <w:ilvl w:val="0"/>
                <w:numId w:val="8"/>
              </w:numPr>
              <w:overflowPunct/>
              <w:autoSpaceDE/>
              <w:autoSpaceDN/>
              <w:adjustRightInd/>
              <w:spacing w:after="0" w:line="276" w:lineRule="auto"/>
              <w:jc w:val="both"/>
              <w:textAlignment w:val="auto"/>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93"/>
              <w:widowControl w:val="0"/>
              <w:numPr>
                <w:ilvl w:val="0"/>
                <w:numId w:val="8"/>
              </w:numPr>
              <w:overflowPunct/>
              <w:autoSpaceDE/>
              <w:autoSpaceDN/>
              <w:adjustRightInd/>
              <w:spacing w:after="0" w:line="276" w:lineRule="auto"/>
              <w:jc w:val="both"/>
              <w:textAlignment w:val="auto"/>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pPr>
              <w:pStyle w:val="93"/>
              <w:widowControl w:val="0"/>
              <w:numPr>
                <w:ilvl w:val="0"/>
                <w:numId w:val="8"/>
              </w:numPr>
              <w:overflowPunct/>
              <w:autoSpaceDE/>
              <w:autoSpaceDN/>
              <w:adjustRightInd/>
              <w:spacing w:after="0" w:line="276" w:lineRule="auto"/>
              <w:jc w:val="both"/>
              <w:textAlignment w:val="auto"/>
            </w:pPr>
            <w:r>
              <w:t>Notes for this objective:</w:t>
            </w:r>
          </w:p>
          <w:p>
            <w:pPr>
              <w:pStyle w:val="93"/>
              <w:widowControl w:val="0"/>
              <w:numPr>
                <w:ilvl w:val="1"/>
                <w:numId w:val="8"/>
              </w:numPr>
              <w:overflowPunct/>
              <w:autoSpaceDE/>
              <w:autoSpaceDN/>
              <w:adjustRightInd/>
              <w:spacing w:after="0" w:line="276" w:lineRule="auto"/>
              <w:jc w:val="both"/>
              <w:textAlignment w:val="auto"/>
            </w:pPr>
            <w:r>
              <w:t>SSB channel enhancement is not considered</w:t>
            </w:r>
          </w:p>
          <w:p>
            <w:pPr>
              <w:pStyle w:val="93"/>
              <w:widowControl w:val="0"/>
              <w:numPr>
                <w:ilvl w:val="1"/>
                <w:numId w:val="8"/>
              </w:numPr>
              <w:overflowPunct/>
              <w:autoSpaceDE/>
              <w:autoSpaceDN/>
              <w:adjustRightInd/>
              <w:spacing w:after="0" w:line="276" w:lineRule="auto"/>
              <w:jc w:val="both"/>
              <w:textAlignment w:val="auto"/>
            </w:pPr>
            <w:r>
              <w:t>Antenna gain of UE shall be assumed to be -5.5dBi in case of smartphone in FR1-NTN, the UE is assumed to be a full duplex UE, and at least 2Rx are considered at the UE</w:t>
            </w:r>
          </w:p>
          <w:p>
            <w:pPr>
              <w:pStyle w:val="93"/>
              <w:widowControl w:val="0"/>
              <w:numPr>
                <w:ilvl w:val="1"/>
                <w:numId w:val="8"/>
              </w:numPr>
              <w:overflowPunct/>
              <w:autoSpaceDE/>
              <w:autoSpaceDN/>
              <w:adjustRightInd/>
              <w:spacing w:after="0" w:line="276" w:lineRule="auto"/>
              <w:jc w:val="both"/>
              <w:textAlignment w:val="auto"/>
            </w:pPr>
            <w:r>
              <w:t>NGSO to be considered in priority: LEO Set-1 @ 600 km</w:t>
            </w:r>
          </w:p>
          <w:p>
            <w:pPr>
              <w:pStyle w:val="93"/>
              <w:widowControl w:val="0"/>
              <w:numPr>
                <w:ilvl w:val="1"/>
                <w:numId w:val="8"/>
              </w:numPr>
              <w:overflowPunct/>
              <w:autoSpaceDE/>
              <w:autoSpaceDN/>
              <w:adjustRightInd/>
              <w:spacing w:after="0" w:line="276" w:lineRule="auto"/>
              <w:jc w:val="both"/>
              <w:textAlignment w:val="auto"/>
            </w:pPr>
            <w:r>
              <w:t>Rel-18 network energy saving techniques should be considered as baseline in the system level study</w:t>
            </w:r>
          </w:p>
        </w:tc>
      </w:tr>
    </w:tbl>
    <w:p>
      <w:pPr>
        <w:pStyle w:val="3"/>
        <w:spacing w:after="0" w:line="252" w:lineRule="auto"/>
        <w:rPr>
          <w:rFonts w:eastAsia="等线"/>
          <w:szCs w:val="20"/>
          <w:lang w:eastAsia="zh-CN"/>
        </w:rPr>
      </w:pPr>
    </w:p>
    <w:p>
      <w:pPr>
        <w:pStyle w:val="3"/>
        <w:spacing w:line="252" w:lineRule="auto"/>
        <w:rPr>
          <w:rFonts w:eastAsia="等线"/>
          <w:szCs w:val="20"/>
          <w:lang w:eastAsia="zh-CN"/>
        </w:rPr>
      </w:pPr>
      <w:r>
        <w:rPr>
          <w:rFonts w:eastAsia="等线"/>
          <w:szCs w:val="20"/>
          <w:lang w:eastAsia="zh-CN"/>
        </w:rPr>
        <w:t>In this contribution, we discuss the link level and system level evaluation method for downlink coverage in NTN scenario. The preliminary link level evaluation results are firstly presented to obtain the current downlink margin. Then, we provide our views on the system level evaluation for DL coverage, including simulation procedure and evaluation metric.</w:t>
      </w:r>
    </w:p>
    <w:p>
      <w:pPr>
        <w:pStyle w:val="3"/>
        <w:snapToGrid w:val="0"/>
        <w:spacing w:after="0"/>
        <w:rPr>
          <w:rFonts w:eastAsia="等线"/>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Downlink coverage evaluation</w:t>
      </w:r>
    </w:p>
    <w:p>
      <w:pPr>
        <w:pStyle w:val="3"/>
        <w:spacing w:line="252" w:lineRule="auto"/>
        <w:rPr>
          <w:rFonts w:eastAsiaTheme="minorEastAsia"/>
          <w:lang w:eastAsia="zh-CN"/>
        </w:rPr>
      </w:pPr>
      <w:r>
        <w:rPr>
          <w:rFonts w:eastAsiaTheme="minorEastAsia"/>
          <w:lang w:eastAsia="zh-CN"/>
        </w:rPr>
        <w:t>In this section, we firstly present our preliminary LLS results and link budget results to obtain the link margin of various downlink physical channels. Then, for system level evaluation, we provide our views on the calculation of the totally required satellite beam number in the satellite footprint, SLS procedure and evaluation metric for comparison between semi-static and dynamic power sharing between satellite beams.</w:t>
      </w:r>
    </w:p>
    <w:p>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Link level evaluation</w:t>
      </w:r>
    </w:p>
    <w:p>
      <w:pPr>
        <w:pStyle w:val="3"/>
        <w:spacing w:line="252" w:lineRule="auto"/>
        <w:rPr>
          <w:rFonts w:eastAsiaTheme="minorEastAsia"/>
          <w:lang w:eastAsia="zh-CN"/>
        </w:rPr>
      </w:pPr>
      <w:r>
        <w:rPr>
          <w:rFonts w:eastAsiaTheme="minorEastAsia"/>
          <w:lang w:eastAsia="zh-CN"/>
        </w:rPr>
        <w:t xml:space="preserve">Regarding the link level evaluation for DL coverage, we firstly perform link level simulation to obtain the required SNRs corresponding to different physical downlink channels, including Msg2 PDSCH, Msg4 PDSCH and PDCCH. The detailed simulation assumptions for these channels can be found in Table 5~6 in the Appendix. For Msg2 and Msg4 PDSCH, MCS0 is used to obtain the most robust required SNR. Besides, considering TBS scaling is supported for Msg2 PDSCH, the scaling factor of 0.25 is used in our evaluation to further improve the coverage performance. </w:t>
      </w:r>
    </w:p>
    <w:p>
      <w:pPr>
        <w:pStyle w:val="3"/>
        <w:spacing w:line="252" w:lineRule="auto"/>
        <w:rPr>
          <w:rFonts w:eastAsiaTheme="minorEastAsia"/>
          <w:lang w:eastAsia="zh-CN"/>
        </w:rPr>
      </w:pPr>
      <w:r>
        <w:rPr>
          <w:rFonts w:eastAsiaTheme="minorEastAsia"/>
          <w:lang w:eastAsia="zh-CN"/>
        </w:rPr>
        <w:t xml:space="preserve">Then, we conduct the link budget analysis to </w:t>
      </w:r>
      <w:r>
        <w:rPr>
          <w:rFonts w:hint="eastAsia" w:eastAsiaTheme="minorEastAsia"/>
          <w:lang w:eastAsia="zh-CN"/>
        </w:rPr>
        <w:t>derive</w:t>
      </w:r>
      <w:r>
        <w:rPr>
          <w:rFonts w:eastAsiaTheme="minorEastAsia"/>
          <w:lang w:eastAsia="zh-CN"/>
        </w:rPr>
        <w:t xml:space="preserve"> the link budget results, i.e., CNR, in different NTN scenarios. According to the WID, both GSO and NGSO </w:t>
      </w:r>
      <w:r>
        <w:rPr>
          <w:rFonts w:hint="eastAsia" w:eastAsiaTheme="minorEastAsia"/>
          <w:lang w:eastAsia="zh-CN"/>
        </w:rPr>
        <w:t>sate</w:t>
      </w:r>
      <w:r>
        <w:rPr>
          <w:rFonts w:eastAsiaTheme="minorEastAsia"/>
          <w:lang w:eastAsia="zh-CN"/>
        </w:rPr>
        <w:t>llite should be taken into account, where LEO600-set1 is considered in priority for NGSO. In this case, LEO600-set1 with elevation angle of 30 deg, GEO-set1 and GEO-set2 with elevation angle of 10 deg are considered in our link budget analysis. For simplicity, the satellite payload parameters in TR38.821 are reused to have a preliminary observation and the UE antenna gain is assumed to be -5.5dBi in case of smartphone in FR1 NTN [2].</w:t>
      </w:r>
    </w:p>
    <w:p>
      <w:pPr>
        <w:pStyle w:val="3"/>
        <w:spacing w:line="252" w:lineRule="auto"/>
        <w:rPr>
          <w:rFonts w:eastAsiaTheme="minorEastAsia"/>
          <w:lang w:eastAsia="zh-CN"/>
        </w:rPr>
      </w:pPr>
      <w:r>
        <w:rPr>
          <w:rFonts w:hint="eastAsia" w:eastAsiaTheme="minorEastAsia"/>
          <w:lang w:eastAsia="zh-CN"/>
        </w:rPr>
        <w:t>T</w:t>
      </w:r>
      <w:r>
        <w:rPr>
          <w:rFonts w:eastAsiaTheme="minorEastAsia"/>
          <w:lang w:eastAsia="zh-CN"/>
        </w:rPr>
        <w:t xml:space="preserve">able 1 illustrates the link margin of Msg2, Msg4 PDSCH and PDCCH for </w:t>
      </w:r>
      <w:r>
        <w:rPr>
          <w:rFonts w:eastAsia="等线"/>
          <w:kern w:val="2"/>
          <w:szCs w:val="20"/>
          <w:lang w:eastAsia="zh-CN"/>
        </w:rPr>
        <w:t xml:space="preserve">LEO600-set1 and GEO-set1/set2 satellite, where the link margin is calculated by the difference between the CNR and the required SNR. For LEO600-set1 without EIRP reduction, </w:t>
      </w:r>
      <w:bookmarkStart w:id="2" w:name="_Hlk158061974"/>
      <w:r>
        <w:rPr>
          <w:rFonts w:eastAsia="等线"/>
          <w:kern w:val="2"/>
          <w:szCs w:val="20"/>
          <w:lang w:eastAsia="zh-CN"/>
        </w:rPr>
        <w:t>Msg2 PDSCH and PDCCH provide at least 6dB link margin.</w:t>
      </w:r>
      <w:bookmarkEnd w:id="2"/>
      <w:r>
        <w:rPr>
          <w:rFonts w:eastAsia="等线"/>
          <w:kern w:val="2"/>
          <w:szCs w:val="20"/>
          <w:highlight w:val="none"/>
          <w:lang w:eastAsia="zh-CN"/>
        </w:rPr>
        <w:t xml:space="preserve"> However,</w:t>
      </w:r>
      <w:r>
        <w:rPr>
          <w:rFonts w:hint="eastAsia" w:eastAsia="等线"/>
          <w:kern w:val="2"/>
          <w:szCs w:val="20"/>
          <w:highlight w:val="none"/>
          <w:lang w:val="en-US" w:eastAsia="zh-CN"/>
        </w:rPr>
        <w:t xml:space="preserve"> there is no link margin for GEO case. In particular</w:t>
      </w:r>
      <w:r>
        <w:rPr>
          <w:rFonts w:eastAsia="等线"/>
          <w:kern w:val="2"/>
          <w:szCs w:val="20"/>
          <w:highlight w:val="none"/>
          <w:lang w:eastAsia="zh-CN"/>
        </w:rPr>
        <w:t xml:space="preserve"> for GEO-set2, even without EIRP reduction, </w:t>
      </w:r>
      <w:bookmarkStart w:id="3" w:name="_Hlk158062006"/>
      <w:r>
        <w:rPr>
          <w:rFonts w:eastAsia="等线"/>
          <w:kern w:val="2"/>
          <w:szCs w:val="20"/>
          <w:highlight w:val="none"/>
          <w:lang w:eastAsia="zh-CN"/>
        </w:rPr>
        <w:t xml:space="preserve">Msg2 PDSCH </w:t>
      </w:r>
      <w:r>
        <w:rPr>
          <w:rFonts w:hint="eastAsia" w:eastAsia="等线"/>
          <w:kern w:val="2"/>
          <w:szCs w:val="20"/>
          <w:highlight w:val="none"/>
          <w:lang w:eastAsia="zh-CN"/>
        </w:rPr>
        <w:t>a</w:t>
      </w:r>
      <w:r>
        <w:rPr>
          <w:rFonts w:eastAsia="等线"/>
          <w:kern w:val="2"/>
          <w:szCs w:val="20"/>
          <w:highlight w:val="none"/>
          <w:lang w:eastAsia="zh-CN"/>
        </w:rPr>
        <w:t>nd PDCCH already have about 6dB coverage performance gap to be compensated.</w:t>
      </w:r>
      <w:bookmarkEnd w:id="3"/>
      <w:r>
        <w:rPr>
          <w:rFonts w:eastAsia="等线"/>
          <w:kern w:val="2"/>
          <w:szCs w:val="20"/>
          <w:highlight w:val="none"/>
          <w:lang w:eastAsia="zh-CN"/>
        </w:rPr>
        <w:t xml:space="preserve"> </w:t>
      </w:r>
      <w:r>
        <w:rPr>
          <w:rFonts w:eastAsia="等线"/>
          <w:kern w:val="2"/>
          <w:szCs w:val="20"/>
          <w:lang w:eastAsia="zh-CN"/>
        </w:rPr>
        <w:t>For Msg4 PDSCH, we note that the coverage issue can be mitigated by blind retransmission</w:t>
      </w:r>
      <w:r>
        <w:rPr>
          <w:rFonts w:hint="eastAsia" w:eastAsia="等线"/>
          <w:kern w:val="2"/>
          <w:szCs w:val="20"/>
          <w:lang w:val="en-US" w:eastAsia="zh-CN"/>
        </w:rPr>
        <w:t xml:space="preserve"> to some extent</w:t>
      </w:r>
      <w:r>
        <w:rPr>
          <w:rFonts w:eastAsia="等线"/>
          <w:kern w:val="2"/>
          <w:szCs w:val="20"/>
          <w:lang w:eastAsia="zh-CN"/>
        </w:rPr>
        <w:t>, so how to evaluate the coverage performance of Msg4 PDSCH can be further discussed.</w:t>
      </w:r>
    </w:p>
    <w:p>
      <w:pPr>
        <w:pStyle w:val="3"/>
        <w:spacing w:after="60" w:line="252" w:lineRule="auto"/>
        <w:jc w:val="center"/>
        <w:rPr>
          <w:rFonts w:eastAsia="等线"/>
          <w:kern w:val="2"/>
          <w:szCs w:val="20"/>
          <w:lang w:eastAsia="zh-CN"/>
        </w:rPr>
      </w:pPr>
      <w:r>
        <w:rPr>
          <w:rFonts w:hint="eastAsia" w:eastAsia="等线"/>
          <w:kern w:val="2"/>
          <w:szCs w:val="20"/>
          <w:lang w:eastAsia="zh-CN"/>
        </w:rPr>
        <w:t>T</w:t>
      </w:r>
      <w:r>
        <w:rPr>
          <w:rFonts w:eastAsia="等线"/>
          <w:kern w:val="2"/>
          <w:szCs w:val="20"/>
          <w:lang w:eastAsia="zh-CN"/>
        </w:rPr>
        <w:t>able 1. Link margin of Msg2, Msg4 PDSCH and PDCCH for LEO600-set1 and GEO-set1/set2 satellite</w:t>
      </w:r>
    </w:p>
    <w:tbl>
      <w:tblPr>
        <w:tblStyle w:val="21"/>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850"/>
        <w:gridCol w:w="851"/>
        <w:gridCol w:w="850"/>
        <w:gridCol w:w="851"/>
        <w:gridCol w:w="850"/>
        <w:gridCol w:w="851"/>
        <w:gridCol w:w="850"/>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shd w:val="clear" w:color="auto" w:fill="A8D08D" w:themeFill="accent6" w:themeFillTint="99"/>
          </w:tcPr>
          <w:p>
            <w:pPr>
              <w:jc w:val="center"/>
              <w:rPr>
                <w:rFonts w:eastAsiaTheme="minorEastAsia"/>
                <w:lang w:eastAsia="zh-CN"/>
              </w:rPr>
            </w:pPr>
            <w:r>
              <w:rPr>
                <w:rFonts w:eastAsiaTheme="minorEastAsia"/>
                <w:lang w:eastAsia="zh-CN"/>
              </w:rPr>
              <w:t>Physical channel</w:t>
            </w:r>
          </w:p>
        </w:tc>
        <w:tc>
          <w:tcPr>
            <w:tcW w:w="2551" w:type="dxa"/>
            <w:gridSpan w:val="3"/>
            <w:shd w:val="clear" w:color="auto" w:fill="A8D08D" w:themeFill="accent6" w:themeFillTint="99"/>
          </w:tcPr>
          <w:p>
            <w:pPr>
              <w:jc w:val="center"/>
            </w:pPr>
            <w:r>
              <w:t>Msg2 PDSCH</w:t>
            </w:r>
          </w:p>
          <w:p>
            <w:pPr>
              <w:jc w:val="center"/>
              <w:rPr>
                <w:rFonts w:eastAsiaTheme="minorEastAsia"/>
                <w:lang w:eastAsia="zh-CN"/>
              </w:rPr>
            </w:pPr>
            <w:r>
              <w:rPr>
                <w:rFonts w:hint="eastAsia" w:eastAsiaTheme="minorEastAsia"/>
                <w:lang w:eastAsia="zh-CN"/>
              </w:rPr>
              <w:t>(</w:t>
            </w:r>
            <w:r>
              <w:rPr>
                <w:rFonts w:eastAsiaTheme="minorEastAsia"/>
                <w:lang w:eastAsia="zh-CN"/>
              </w:rPr>
              <w:t>SF = 0.25)</w:t>
            </w:r>
          </w:p>
        </w:tc>
        <w:tc>
          <w:tcPr>
            <w:tcW w:w="2552" w:type="dxa"/>
            <w:gridSpan w:val="3"/>
            <w:shd w:val="clear" w:color="auto" w:fill="A8D08D" w:themeFill="accent6" w:themeFillTint="99"/>
          </w:tcPr>
          <w:p>
            <w:pPr>
              <w:jc w:val="center"/>
            </w:pPr>
            <w:r>
              <w:t>Msg4 PDSCH</w:t>
            </w:r>
          </w:p>
          <w:p>
            <w:pPr>
              <w:jc w:val="center"/>
              <w:rPr>
                <w:rFonts w:eastAsiaTheme="minorEastAsia"/>
                <w:lang w:eastAsia="zh-CN"/>
              </w:rPr>
            </w:pPr>
            <w:r>
              <w:rPr>
                <w:rFonts w:hint="eastAsia" w:eastAsiaTheme="minorEastAsia"/>
                <w:lang w:eastAsia="zh-CN"/>
              </w:rPr>
              <w:t>(</w:t>
            </w:r>
            <w:r>
              <w:rPr>
                <w:rFonts w:eastAsiaTheme="minorEastAsia"/>
                <w:lang w:eastAsia="zh-CN"/>
              </w:rPr>
              <w:t>one shot)</w:t>
            </w:r>
          </w:p>
        </w:tc>
        <w:tc>
          <w:tcPr>
            <w:tcW w:w="2551" w:type="dxa"/>
            <w:gridSpan w:val="3"/>
            <w:shd w:val="clear" w:color="auto" w:fill="A8D08D" w:themeFill="accent6" w:themeFillTint="99"/>
          </w:tcPr>
          <w:p>
            <w:pPr>
              <w:jc w:val="center"/>
            </w:pPr>
            <w:r>
              <w:t>PDCCH</w:t>
            </w:r>
          </w:p>
          <w:p>
            <w:pPr>
              <w:jc w:val="center"/>
              <w:rPr>
                <w:rFonts w:eastAsiaTheme="minorEastAsia"/>
                <w:lang w:eastAsia="zh-CN"/>
              </w:rPr>
            </w:pPr>
            <w:r>
              <w:rPr>
                <w:rFonts w:hint="eastAsia" w:eastAsiaTheme="minorEastAsia"/>
                <w:lang w:eastAsia="zh-CN"/>
              </w:rPr>
              <w:t>(</w:t>
            </w:r>
            <w:r>
              <w:rPr>
                <w:rFonts w:eastAsiaTheme="minorEastAsia"/>
                <w:lang w:eastAsia="zh-CN"/>
              </w:rPr>
              <w:t>AL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jc w:val="center"/>
              <w:rPr>
                <w:rFonts w:eastAsiaTheme="minorEastAsia"/>
                <w:lang w:eastAsia="zh-CN"/>
              </w:rPr>
            </w:pPr>
            <w:r>
              <w:rPr>
                <w:rFonts w:eastAsiaTheme="minorEastAsia"/>
                <w:lang w:eastAsia="zh-CN"/>
              </w:rPr>
              <w:t>Required SNR [dB]</w:t>
            </w:r>
          </w:p>
        </w:tc>
        <w:tc>
          <w:tcPr>
            <w:tcW w:w="2551" w:type="dxa"/>
            <w:gridSpan w:val="3"/>
            <w:vAlign w:val="center"/>
          </w:tcPr>
          <w:p>
            <w:pPr>
              <w:jc w:val="center"/>
              <w:rPr>
                <w:rFonts w:eastAsiaTheme="minorEastAsia"/>
                <w:lang w:eastAsia="zh-CN"/>
              </w:rPr>
            </w:pPr>
            <w:r>
              <w:t>-8.01</w:t>
            </w:r>
          </w:p>
        </w:tc>
        <w:tc>
          <w:tcPr>
            <w:tcW w:w="2552" w:type="dxa"/>
            <w:gridSpan w:val="3"/>
            <w:vAlign w:val="center"/>
          </w:tcPr>
          <w:p>
            <w:pPr>
              <w:jc w:val="center"/>
              <w:rPr>
                <w:rFonts w:eastAsiaTheme="minorEastAsia"/>
                <w:color w:val="000000" w:themeColor="text1"/>
                <w:lang w:eastAsia="zh-CN"/>
                <w14:textFill>
                  <w14:solidFill>
                    <w14:schemeClr w14:val="tx1"/>
                  </w14:solidFill>
                </w14:textFill>
              </w:rPr>
            </w:pPr>
            <w:r>
              <w:t>-4.59</w:t>
            </w:r>
          </w:p>
        </w:tc>
        <w:tc>
          <w:tcPr>
            <w:tcW w:w="2551" w:type="dxa"/>
            <w:gridSpan w:val="3"/>
            <w:vAlign w:val="center"/>
          </w:tcPr>
          <w:p>
            <w:pPr>
              <w:jc w:val="center"/>
              <w:rPr>
                <w:rFonts w:eastAsiaTheme="minorEastAsia"/>
                <w:color w:val="FF0000"/>
                <w:lang w:eastAsia="zh-CN"/>
              </w:rPr>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restart"/>
            <w:vAlign w:val="center"/>
          </w:tcPr>
          <w:p>
            <w:pPr>
              <w:jc w:val="center"/>
            </w:pPr>
            <w:r>
              <w:t>CNR [dB]</w:t>
            </w:r>
          </w:p>
        </w:tc>
        <w:tc>
          <w:tcPr>
            <w:tcW w:w="850" w:type="dxa"/>
            <w:vAlign w:val="center"/>
          </w:tcPr>
          <w:p>
            <w:pPr>
              <w:jc w:val="center"/>
            </w:pPr>
            <w:r>
              <w:rPr>
                <w:rFonts w:eastAsia="OPPO Sans"/>
                <w:color w:val="201F1C"/>
                <w:kern w:val="24"/>
                <w:szCs w:val="20"/>
                <w:lang w:eastAsia="zh-CN"/>
              </w:rPr>
              <w:t>GEO-set1</w:t>
            </w:r>
          </w:p>
        </w:tc>
        <w:tc>
          <w:tcPr>
            <w:tcW w:w="851" w:type="dxa"/>
            <w:vAlign w:val="center"/>
          </w:tcPr>
          <w:p>
            <w:pPr>
              <w:jc w:val="center"/>
            </w:pPr>
            <w:r>
              <w:rPr>
                <w:rFonts w:eastAsia="OPPO Sans"/>
                <w:color w:val="201F1C"/>
                <w:kern w:val="24"/>
                <w:szCs w:val="20"/>
                <w:lang w:eastAsia="zh-CN"/>
              </w:rPr>
              <w:t>GEO-set2</w:t>
            </w:r>
          </w:p>
        </w:tc>
        <w:tc>
          <w:tcPr>
            <w:tcW w:w="850" w:type="dxa"/>
            <w:vAlign w:val="center"/>
          </w:tcPr>
          <w:p>
            <w:pPr>
              <w:jc w:val="center"/>
            </w:pPr>
            <w:r>
              <w:rPr>
                <w:rFonts w:eastAsia="OPPO Sans"/>
                <w:color w:val="201F1C"/>
                <w:kern w:val="24"/>
                <w:szCs w:val="20"/>
                <w:lang w:eastAsia="zh-CN"/>
              </w:rPr>
              <w:t>LEO600-set1</w:t>
            </w:r>
          </w:p>
        </w:tc>
        <w:tc>
          <w:tcPr>
            <w:tcW w:w="851" w:type="dxa"/>
            <w:vAlign w:val="center"/>
          </w:tcPr>
          <w:p>
            <w:pPr>
              <w:jc w:val="center"/>
              <w:rPr>
                <w:rFonts w:eastAsiaTheme="minorEastAsia"/>
                <w:color w:val="000000" w:themeColor="text1"/>
                <w:lang w:eastAsia="zh-CN"/>
                <w14:textFill>
                  <w14:solidFill>
                    <w14:schemeClr w14:val="tx1"/>
                  </w14:solidFill>
                </w14:textFill>
              </w:rPr>
            </w:pPr>
            <w:r>
              <w:rPr>
                <w:rFonts w:eastAsia="OPPO Sans"/>
                <w:color w:val="201F1C"/>
                <w:kern w:val="24"/>
                <w:szCs w:val="20"/>
                <w:lang w:eastAsia="zh-CN"/>
              </w:rPr>
              <w:t>GEO-set1</w:t>
            </w:r>
          </w:p>
        </w:tc>
        <w:tc>
          <w:tcPr>
            <w:tcW w:w="850" w:type="dxa"/>
            <w:vAlign w:val="center"/>
          </w:tcPr>
          <w:p>
            <w:pPr>
              <w:jc w:val="center"/>
              <w:rPr>
                <w:rFonts w:eastAsiaTheme="minorEastAsia"/>
                <w:color w:val="000000" w:themeColor="text1"/>
                <w:lang w:eastAsia="zh-CN"/>
                <w14:textFill>
                  <w14:solidFill>
                    <w14:schemeClr w14:val="tx1"/>
                  </w14:solidFill>
                </w14:textFill>
              </w:rPr>
            </w:pPr>
            <w:r>
              <w:rPr>
                <w:rFonts w:eastAsia="OPPO Sans"/>
                <w:color w:val="201F1C"/>
                <w:kern w:val="24"/>
                <w:szCs w:val="20"/>
                <w:lang w:eastAsia="zh-CN"/>
              </w:rPr>
              <w:t>GEO-set2</w:t>
            </w:r>
          </w:p>
        </w:tc>
        <w:tc>
          <w:tcPr>
            <w:tcW w:w="851" w:type="dxa"/>
            <w:vAlign w:val="center"/>
          </w:tcPr>
          <w:p>
            <w:pPr>
              <w:jc w:val="center"/>
              <w:rPr>
                <w:rFonts w:eastAsiaTheme="minorEastAsia"/>
                <w:color w:val="000000" w:themeColor="text1"/>
                <w:lang w:eastAsia="zh-CN"/>
                <w14:textFill>
                  <w14:solidFill>
                    <w14:schemeClr w14:val="tx1"/>
                  </w14:solidFill>
                </w14:textFill>
              </w:rPr>
            </w:pPr>
            <w:r>
              <w:rPr>
                <w:rFonts w:eastAsia="OPPO Sans"/>
                <w:color w:val="201F1C"/>
                <w:kern w:val="24"/>
                <w:szCs w:val="20"/>
                <w:lang w:eastAsia="zh-CN"/>
              </w:rPr>
              <w:t>LEO600-set1</w:t>
            </w:r>
          </w:p>
        </w:tc>
        <w:tc>
          <w:tcPr>
            <w:tcW w:w="850" w:type="dxa"/>
            <w:vAlign w:val="center"/>
          </w:tcPr>
          <w:p>
            <w:pPr>
              <w:jc w:val="center"/>
              <w:rPr>
                <w:rFonts w:eastAsiaTheme="minorEastAsia"/>
                <w:color w:val="FF0000"/>
                <w:lang w:eastAsia="zh-CN"/>
              </w:rPr>
            </w:pPr>
            <w:r>
              <w:rPr>
                <w:rFonts w:eastAsia="OPPO Sans"/>
                <w:color w:val="201F1C"/>
                <w:kern w:val="24"/>
                <w:szCs w:val="20"/>
                <w:lang w:eastAsia="zh-CN"/>
              </w:rPr>
              <w:t>GEO-set1</w:t>
            </w:r>
          </w:p>
        </w:tc>
        <w:tc>
          <w:tcPr>
            <w:tcW w:w="851" w:type="dxa"/>
            <w:vAlign w:val="center"/>
          </w:tcPr>
          <w:p>
            <w:pPr>
              <w:jc w:val="center"/>
              <w:rPr>
                <w:rFonts w:eastAsiaTheme="minorEastAsia"/>
                <w:color w:val="FF0000"/>
                <w:lang w:eastAsia="zh-CN"/>
              </w:rPr>
            </w:pPr>
            <w:r>
              <w:rPr>
                <w:rFonts w:eastAsia="OPPO Sans"/>
                <w:color w:val="201F1C"/>
                <w:kern w:val="24"/>
                <w:szCs w:val="20"/>
                <w:lang w:eastAsia="zh-CN"/>
              </w:rPr>
              <w:t>GEO-set2</w:t>
            </w:r>
          </w:p>
        </w:tc>
        <w:tc>
          <w:tcPr>
            <w:tcW w:w="850" w:type="dxa"/>
            <w:vAlign w:val="center"/>
          </w:tcPr>
          <w:p>
            <w:pPr>
              <w:jc w:val="center"/>
              <w:rPr>
                <w:rFonts w:eastAsiaTheme="minorEastAsia"/>
                <w:color w:val="FF0000"/>
                <w:lang w:eastAsia="zh-CN"/>
              </w:rPr>
            </w:pPr>
            <w:r>
              <w:rPr>
                <w:rFonts w:eastAsia="OPPO Sans"/>
                <w:color w:val="201F1C"/>
                <w:kern w:val="24"/>
                <w:szCs w:val="20"/>
                <w:lang w:eastAsia="zh-CN"/>
              </w:rPr>
              <w:t>LEO600-set1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1413" w:type="dxa"/>
            <w:vMerge w:val="continue"/>
          </w:tcPr>
          <w:p>
            <w:pPr>
              <w:jc w:val="center"/>
            </w:pPr>
          </w:p>
        </w:tc>
        <w:tc>
          <w:tcPr>
            <w:tcW w:w="850" w:type="dxa"/>
            <w:vAlign w:val="center"/>
          </w:tcPr>
          <w:p>
            <w:pPr>
              <w:jc w:val="center"/>
            </w:pPr>
            <w:r>
              <w:rPr>
                <w:rFonts w:eastAsia="宋体"/>
                <w:color w:val="201F1C"/>
                <w:kern w:val="24"/>
                <w:szCs w:val="20"/>
                <w:lang w:eastAsia="zh-CN"/>
              </w:rPr>
              <w:t>-8.56</w:t>
            </w:r>
          </w:p>
        </w:tc>
        <w:tc>
          <w:tcPr>
            <w:tcW w:w="851" w:type="dxa"/>
            <w:vAlign w:val="center"/>
          </w:tcPr>
          <w:p>
            <w:pPr>
              <w:jc w:val="center"/>
            </w:pPr>
            <w:r>
              <w:rPr>
                <w:rFonts w:eastAsia="宋体"/>
                <w:color w:val="201F1C"/>
                <w:kern w:val="24"/>
                <w:szCs w:val="20"/>
                <w:lang w:eastAsia="zh-CN"/>
              </w:rPr>
              <w:t>-14.06</w:t>
            </w:r>
          </w:p>
        </w:tc>
        <w:tc>
          <w:tcPr>
            <w:tcW w:w="850" w:type="dxa"/>
            <w:vAlign w:val="center"/>
          </w:tcPr>
          <w:p>
            <w:pPr>
              <w:jc w:val="center"/>
            </w:pPr>
            <w:r>
              <w:rPr>
                <w:rFonts w:eastAsia="宋体"/>
                <w:color w:val="201F1C"/>
                <w:kern w:val="24"/>
                <w:szCs w:val="20"/>
                <w:lang w:eastAsia="zh-CN"/>
              </w:rPr>
              <w:t>-1.89</w:t>
            </w:r>
          </w:p>
        </w:tc>
        <w:tc>
          <w:tcPr>
            <w:tcW w:w="851" w:type="dxa"/>
            <w:vAlign w:val="center"/>
          </w:tcPr>
          <w:p>
            <w:pPr>
              <w:jc w:val="center"/>
              <w:rPr>
                <w:rFonts w:eastAsiaTheme="minorEastAsia"/>
                <w:color w:val="000000" w:themeColor="text1"/>
                <w:lang w:eastAsia="zh-CN"/>
                <w14:textFill>
                  <w14:solidFill>
                    <w14:schemeClr w14:val="tx1"/>
                  </w14:solidFill>
                </w14:textFill>
              </w:rPr>
            </w:pPr>
            <w:r>
              <w:rPr>
                <w:rFonts w:eastAsia="宋体"/>
                <w:color w:val="201F1C"/>
                <w:kern w:val="24"/>
                <w:szCs w:val="20"/>
                <w:lang w:eastAsia="zh-CN"/>
              </w:rPr>
              <w:t>-8.56</w:t>
            </w:r>
          </w:p>
        </w:tc>
        <w:tc>
          <w:tcPr>
            <w:tcW w:w="850" w:type="dxa"/>
            <w:vAlign w:val="center"/>
          </w:tcPr>
          <w:p>
            <w:pPr>
              <w:jc w:val="center"/>
              <w:rPr>
                <w:rFonts w:eastAsiaTheme="minorEastAsia"/>
                <w:color w:val="000000" w:themeColor="text1"/>
                <w:lang w:eastAsia="zh-CN"/>
                <w14:textFill>
                  <w14:solidFill>
                    <w14:schemeClr w14:val="tx1"/>
                  </w14:solidFill>
                </w14:textFill>
              </w:rPr>
            </w:pPr>
            <w:r>
              <w:rPr>
                <w:rFonts w:eastAsia="宋体"/>
                <w:color w:val="201F1C"/>
                <w:kern w:val="24"/>
                <w:szCs w:val="20"/>
                <w:lang w:eastAsia="zh-CN"/>
              </w:rPr>
              <w:t>-14.06</w:t>
            </w:r>
          </w:p>
        </w:tc>
        <w:tc>
          <w:tcPr>
            <w:tcW w:w="851" w:type="dxa"/>
            <w:vAlign w:val="center"/>
          </w:tcPr>
          <w:p>
            <w:pPr>
              <w:jc w:val="center"/>
              <w:rPr>
                <w:rFonts w:eastAsiaTheme="minorEastAsia"/>
                <w:color w:val="000000" w:themeColor="text1"/>
                <w:lang w:eastAsia="zh-CN"/>
                <w14:textFill>
                  <w14:solidFill>
                    <w14:schemeClr w14:val="tx1"/>
                  </w14:solidFill>
                </w14:textFill>
              </w:rPr>
            </w:pPr>
            <w:r>
              <w:rPr>
                <w:rFonts w:eastAsia="宋体"/>
                <w:color w:val="201F1C"/>
                <w:kern w:val="24"/>
                <w:szCs w:val="20"/>
                <w:lang w:eastAsia="zh-CN"/>
              </w:rPr>
              <w:t>-1.89</w:t>
            </w:r>
          </w:p>
        </w:tc>
        <w:tc>
          <w:tcPr>
            <w:tcW w:w="850" w:type="dxa"/>
            <w:vAlign w:val="center"/>
          </w:tcPr>
          <w:p>
            <w:pPr>
              <w:jc w:val="center"/>
              <w:rPr>
                <w:rFonts w:eastAsiaTheme="minorEastAsia"/>
                <w:color w:val="FF0000"/>
                <w:lang w:eastAsia="zh-CN"/>
              </w:rPr>
            </w:pPr>
            <w:r>
              <w:rPr>
                <w:rFonts w:eastAsia="宋体"/>
                <w:color w:val="201F1C"/>
                <w:kern w:val="24"/>
                <w:szCs w:val="20"/>
                <w:lang w:eastAsia="zh-CN"/>
              </w:rPr>
              <w:t>-8.56</w:t>
            </w:r>
          </w:p>
        </w:tc>
        <w:tc>
          <w:tcPr>
            <w:tcW w:w="851" w:type="dxa"/>
            <w:vAlign w:val="center"/>
          </w:tcPr>
          <w:p>
            <w:pPr>
              <w:jc w:val="center"/>
              <w:rPr>
                <w:rFonts w:eastAsiaTheme="minorEastAsia"/>
                <w:color w:val="FF0000"/>
                <w:lang w:eastAsia="zh-CN"/>
              </w:rPr>
            </w:pPr>
            <w:r>
              <w:rPr>
                <w:rFonts w:eastAsia="宋体"/>
                <w:color w:val="201F1C"/>
                <w:kern w:val="24"/>
                <w:szCs w:val="20"/>
                <w:lang w:eastAsia="zh-CN"/>
              </w:rPr>
              <w:t>-14.06</w:t>
            </w:r>
          </w:p>
        </w:tc>
        <w:tc>
          <w:tcPr>
            <w:tcW w:w="850" w:type="dxa"/>
            <w:vAlign w:val="center"/>
          </w:tcPr>
          <w:p>
            <w:pPr>
              <w:jc w:val="center"/>
              <w:rPr>
                <w:rFonts w:eastAsiaTheme="minorEastAsia"/>
                <w:color w:val="FF0000"/>
                <w:lang w:eastAsia="zh-CN"/>
              </w:rPr>
            </w:pPr>
            <w:r>
              <w:rPr>
                <w:rFonts w:eastAsia="宋体"/>
                <w:color w:val="201F1C"/>
                <w:kern w:val="24"/>
                <w:szCs w:val="20"/>
                <w:lang w:eastAsia="zh-CN"/>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jc w:val="center"/>
              <w:rPr>
                <w:rFonts w:eastAsiaTheme="minorEastAsia"/>
                <w:lang w:eastAsia="zh-CN"/>
              </w:rPr>
            </w:pPr>
            <w:r>
              <w:rPr>
                <w:rFonts w:eastAsiaTheme="minorEastAsia"/>
                <w:lang w:eastAsia="zh-CN"/>
              </w:rPr>
              <w:t>Margin = CNR – required SNR</w:t>
            </w:r>
          </w:p>
        </w:tc>
        <w:tc>
          <w:tcPr>
            <w:tcW w:w="850" w:type="dxa"/>
            <w:vAlign w:val="center"/>
          </w:tcPr>
          <w:p>
            <w:pPr>
              <w:jc w:val="center"/>
            </w:pPr>
            <w:r>
              <w:rPr>
                <w:rFonts w:eastAsia="等线"/>
                <w:color w:val="FF0000"/>
                <w:kern w:val="24"/>
                <w:szCs w:val="20"/>
                <w:lang w:eastAsia="zh-CN"/>
              </w:rPr>
              <w:t>-0.55</w:t>
            </w:r>
          </w:p>
        </w:tc>
        <w:tc>
          <w:tcPr>
            <w:tcW w:w="851" w:type="dxa"/>
            <w:vAlign w:val="center"/>
          </w:tcPr>
          <w:p>
            <w:pPr>
              <w:jc w:val="center"/>
            </w:pPr>
            <w:r>
              <w:rPr>
                <w:rFonts w:eastAsia="等线"/>
                <w:color w:val="FF0000"/>
                <w:kern w:val="24"/>
                <w:szCs w:val="20"/>
                <w:lang w:eastAsia="zh-CN"/>
              </w:rPr>
              <w:t>-6.05</w:t>
            </w:r>
          </w:p>
        </w:tc>
        <w:tc>
          <w:tcPr>
            <w:tcW w:w="850" w:type="dxa"/>
            <w:vAlign w:val="center"/>
          </w:tcPr>
          <w:p>
            <w:pPr>
              <w:jc w:val="center"/>
            </w:pPr>
            <w:r>
              <w:rPr>
                <w:rFonts w:eastAsia="等线"/>
                <w:color w:val="000000"/>
                <w:kern w:val="24"/>
                <w:szCs w:val="20"/>
                <w:lang w:eastAsia="zh-CN"/>
              </w:rPr>
              <w:t>6.12</w:t>
            </w:r>
          </w:p>
        </w:tc>
        <w:tc>
          <w:tcPr>
            <w:tcW w:w="851" w:type="dxa"/>
            <w:vAlign w:val="center"/>
          </w:tcPr>
          <w:p>
            <w:pPr>
              <w:jc w:val="center"/>
              <w:rPr>
                <w:rFonts w:eastAsiaTheme="minorEastAsia"/>
                <w:color w:val="000000" w:themeColor="text1"/>
                <w:lang w:eastAsia="zh-CN"/>
                <w14:textFill>
                  <w14:solidFill>
                    <w14:schemeClr w14:val="tx1"/>
                  </w14:solidFill>
                </w14:textFill>
              </w:rPr>
            </w:pPr>
            <w:r>
              <w:rPr>
                <w:rFonts w:eastAsia="等线"/>
                <w:color w:val="FF0000"/>
                <w:kern w:val="24"/>
                <w:szCs w:val="20"/>
                <w:lang w:eastAsia="zh-CN"/>
              </w:rPr>
              <w:t>-3.97</w:t>
            </w:r>
          </w:p>
        </w:tc>
        <w:tc>
          <w:tcPr>
            <w:tcW w:w="850" w:type="dxa"/>
            <w:vAlign w:val="center"/>
          </w:tcPr>
          <w:p>
            <w:pPr>
              <w:jc w:val="center"/>
              <w:rPr>
                <w:rFonts w:eastAsiaTheme="minorEastAsia"/>
                <w:color w:val="000000" w:themeColor="text1"/>
                <w:lang w:eastAsia="zh-CN"/>
                <w14:textFill>
                  <w14:solidFill>
                    <w14:schemeClr w14:val="tx1"/>
                  </w14:solidFill>
                </w14:textFill>
              </w:rPr>
            </w:pPr>
            <w:r>
              <w:rPr>
                <w:rFonts w:eastAsia="等线"/>
                <w:color w:val="FF0000"/>
                <w:kern w:val="24"/>
                <w:szCs w:val="20"/>
                <w:lang w:eastAsia="zh-CN"/>
              </w:rPr>
              <w:t>-9.47</w:t>
            </w:r>
          </w:p>
        </w:tc>
        <w:tc>
          <w:tcPr>
            <w:tcW w:w="851" w:type="dxa"/>
            <w:vAlign w:val="center"/>
          </w:tcPr>
          <w:p>
            <w:pPr>
              <w:jc w:val="center"/>
              <w:rPr>
                <w:rFonts w:eastAsiaTheme="minorEastAsia"/>
                <w:color w:val="000000" w:themeColor="text1"/>
                <w:lang w:eastAsia="zh-CN"/>
                <w14:textFill>
                  <w14:solidFill>
                    <w14:schemeClr w14:val="tx1"/>
                  </w14:solidFill>
                </w14:textFill>
              </w:rPr>
            </w:pPr>
            <w:r>
              <w:rPr>
                <w:rFonts w:eastAsia="等线"/>
                <w:color w:val="000000"/>
                <w:kern w:val="24"/>
                <w:szCs w:val="20"/>
                <w:lang w:eastAsia="zh-CN"/>
              </w:rPr>
              <w:t>2.7</w:t>
            </w:r>
          </w:p>
        </w:tc>
        <w:tc>
          <w:tcPr>
            <w:tcW w:w="850" w:type="dxa"/>
            <w:vAlign w:val="center"/>
          </w:tcPr>
          <w:p>
            <w:pPr>
              <w:jc w:val="center"/>
              <w:rPr>
                <w:rFonts w:eastAsiaTheme="minorEastAsia"/>
                <w:color w:val="FF0000"/>
                <w:lang w:eastAsia="zh-CN"/>
              </w:rPr>
            </w:pPr>
            <w:r>
              <w:rPr>
                <w:rFonts w:eastAsia="等线"/>
                <w:color w:val="FF0000"/>
                <w:kern w:val="24"/>
                <w:szCs w:val="20"/>
                <w:lang w:eastAsia="zh-CN"/>
              </w:rPr>
              <w:t>-0.12</w:t>
            </w:r>
          </w:p>
        </w:tc>
        <w:tc>
          <w:tcPr>
            <w:tcW w:w="851" w:type="dxa"/>
            <w:vAlign w:val="center"/>
          </w:tcPr>
          <w:p>
            <w:pPr>
              <w:jc w:val="center"/>
              <w:rPr>
                <w:rFonts w:eastAsiaTheme="minorEastAsia"/>
                <w:color w:val="FF0000"/>
                <w:lang w:eastAsia="zh-CN"/>
              </w:rPr>
            </w:pPr>
            <w:r>
              <w:rPr>
                <w:rFonts w:eastAsia="等线"/>
                <w:color w:val="FF0000"/>
                <w:kern w:val="24"/>
                <w:szCs w:val="20"/>
                <w:lang w:eastAsia="zh-CN"/>
              </w:rPr>
              <w:t>-5.62</w:t>
            </w:r>
          </w:p>
        </w:tc>
        <w:tc>
          <w:tcPr>
            <w:tcW w:w="850" w:type="dxa"/>
            <w:vAlign w:val="center"/>
          </w:tcPr>
          <w:p>
            <w:pPr>
              <w:jc w:val="center"/>
              <w:rPr>
                <w:rFonts w:eastAsiaTheme="minorEastAsia"/>
                <w:color w:val="FF0000"/>
                <w:lang w:eastAsia="zh-CN"/>
              </w:rPr>
            </w:pPr>
            <w:r>
              <w:rPr>
                <w:rFonts w:eastAsia="等线"/>
                <w:color w:val="000000"/>
                <w:kern w:val="24"/>
                <w:szCs w:val="20"/>
                <w:lang w:eastAsia="zh-CN"/>
              </w:rPr>
              <w:t>6.55</w:t>
            </w:r>
          </w:p>
        </w:tc>
      </w:tr>
    </w:tbl>
    <w:p>
      <w:pPr>
        <w:pStyle w:val="3"/>
        <w:spacing w:after="0" w:line="252" w:lineRule="auto"/>
        <w:rPr>
          <w:rFonts w:eastAsia="等线"/>
          <w:szCs w:val="20"/>
          <w:lang w:eastAsia="zh-CN"/>
        </w:rPr>
      </w:pPr>
    </w:p>
    <w:p>
      <w:pPr>
        <w:pStyle w:val="3"/>
        <w:spacing w:line="252" w:lineRule="auto"/>
        <w:rPr>
          <w:rFonts w:ascii="Times" w:hAnsi="Times" w:eastAsiaTheme="minorEastAsia"/>
          <w:b/>
          <w:lang w:val="en-GB" w:eastAsia="zh-CN"/>
        </w:rPr>
      </w:pPr>
      <w:r>
        <w:rPr>
          <w:rFonts w:hint="eastAsia" w:ascii="Times" w:hAnsi="Times" w:eastAsiaTheme="minorEastAsia"/>
          <w:b/>
          <w:lang w:val="en-GB" w:eastAsia="zh-CN"/>
        </w:rPr>
        <w:t>Pro</w:t>
      </w:r>
      <w:r>
        <w:rPr>
          <w:rFonts w:ascii="Times" w:hAnsi="Times" w:eastAsiaTheme="minorEastAsia"/>
          <w:b/>
          <w:lang w:val="en-GB" w:eastAsia="zh-CN"/>
        </w:rPr>
        <w:t>posal 1: F</w:t>
      </w:r>
      <w:r>
        <w:rPr>
          <w:rFonts w:hint="eastAsia" w:ascii="Times" w:hAnsi="Times" w:eastAsiaTheme="minorEastAsia"/>
          <w:b/>
          <w:lang w:val="en-GB" w:eastAsia="zh-CN"/>
        </w:rPr>
        <w:t>o</w:t>
      </w:r>
      <w:r>
        <w:rPr>
          <w:rFonts w:ascii="Times" w:hAnsi="Times" w:eastAsiaTheme="minorEastAsia"/>
          <w:b/>
          <w:lang w:val="en-GB" w:eastAsia="zh-CN"/>
        </w:rPr>
        <w:t>r link level evaluation in FR1-NTN, the simulation assumptions in R18 NTN Coverage Enhancement and satellite payload parameters in TR38.821 are reused.</w:t>
      </w:r>
    </w:p>
    <w:p>
      <w:pPr>
        <w:pStyle w:val="3"/>
        <w:spacing w:after="0" w:line="252" w:lineRule="auto"/>
        <w:rPr>
          <w:rFonts w:ascii="Times" w:hAnsi="Times" w:eastAsia="Batang"/>
          <w:b/>
          <w:lang w:val="en-GB"/>
        </w:rPr>
      </w:pPr>
      <w:r>
        <w:rPr>
          <w:rFonts w:ascii="Times" w:hAnsi="Times" w:eastAsia="Batang"/>
          <w:b/>
          <w:lang w:val="en-GB"/>
        </w:rPr>
        <w:t>Observation 1</w:t>
      </w:r>
      <w:r>
        <w:rPr>
          <w:rFonts w:hint="eastAsia" w:ascii="Times" w:hAnsi="Times" w:eastAsia="Batang"/>
          <w:b/>
          <w:lang w:val="en-GB"/>
        </w:rPr>
        <w:t>:</w:t>
      </w:r>
      <w:r>
        <w:rPr>
          <w:rFonts w:ascii="Times" w:hAnsi="Times" w:eastAsia="Batang"/>
          <w:b/>
          <w:lang w:val="en-GB"/>
        </w:rPr>
        <w:t xml:space="preserve"> For link level evaluation of physical downlink channels, when EIRP reduction is not considered:</w:t>
      </w:r>
    </w:p>
    <w:p>
      <w:pPr>
        <w:pStyle w:val="3"/>
        <w:numPr>
          <w:ilvl w:val="0"/>
          <w:numId w:val="9"/>
        </w:numPr>
        <w:spacing w:after="0" w:line="252" w:lineRule="auto"/>
        <w:rPr>
          <w:rFonts w:ascii="Times" w:hAnsi="Times" w:eastAsia="Batang"/>
          <w:b/>
        </w:rPr>
      </w:pPr>
      <w:r>
        <w:rPr>
          <w:rFonts w:ascii="Times" w:hAnsi="Times" w:eastAsiaTheme="minorEastAsia"/>
          <w:b/>
          <w:lang w:eastAsia="zh-CN"/>
        </w:rPr>
        <w:t xml:space="preserve">For LEO600-set1, Msg2 PDSCH and PDCCH </w:t>
      </w:r>
      <w:r>
        <w:rPr>
          <w:rFonts w:hint="eastAsia" w:ascii="Times" w:hAnsi="Times" w:eastAsiaTheme="minorEastAsia"/>
          <w:b/>
          <w:lang w:eastAsia="zh-CN"/>
        </w:rPr>
        <w:t>provide</w:t>
      </w:r>
      <w:r>
        <w:rPr>
          <w:rFonts w:ascii="Times" w:hAnsi="Times" w:eastAsiaTheme="minorEastAsia"/>
          <w:b/>
          <w:lang w:eastAsia="zh-CN"/>
        </w:rPr>
        <w:t xml:space="preserve"> </w:t>
      </w:r>
      <w:r>
        <w:rPr>
          <w:rFonts w:hint="eastAsia" w:ascii="Times" w:hAnsi="Times" w:eastAsiaTheme="minorEastAsia"/>
          <w:b/>
          <w:lang w:val="en-US" w:eastAsia="zh-CN"/>
        </w:rPr>
        <w:t>approximately</w:t>
      </w:r>
      <w:r>
        <w:rPr>
          <w:rFonts w:ascii="Times" w:hAnsi="Times" w:eastAsiaTheme="minorEastAsia"/>
          <w:b/>
          <w:lang w:eastAsia="zh-CN"/>
        </w:rPr>
        <w:t xml:space="preserve"> 6dB SNR link margin.</w:t>
      </w:r>
    </w:p>
    <w:p>
      <w:pPr>
        <w:pStyle w:val="3"/>
        <w:numPr>
          <w:ilvl w:val="0"/>
          <w:numId w:val="9"/>
        </w:numPr>
        <w:spacing w:after="0" w:line="252" w:lineRule="auto"/>
        <w:rPr>
          <w:rFonts w:ascii="Times" w:hAnsi="Times" w:eastAsia="Batang"/>
          <w:b/>
        </w:rPr>
      </w:pPr>
      <w:r>
        <w:rPr>
          <w:rFonts w:hint="eastAsia" w:ascii="Times" w:hAnsi="Times" w:eastAsiaTheme="minorEastAsia"/>
          <w:b/>
          <w:lang w:val="en-US" w:eastAsia="zh-CN"/>
        </w:rPr>
        <w:t>For GEO-set1, no link margin is observed.</w:t>
      </w:r>
    </w:p>
    <w:p>
      <w:pPr>
        <w:pStyle w:val="3"/>
        <w:numPr>
          <w:ilvl w:val="0"/>
          <w:numId w:val="9"/>
        </w:numPr>
        <w:spacing w:after="0" w:line="252" w:lineRule="auto"/>
        <w:rPr>
          <w:rFonts w:ascii="Times" w:hAnsi="Times" w:eastAsia="Batang"/>
          <w:b/>
        </w:rPr>
      </w:pPr>
      <w:r>
        <w:rPr>
          <w:rFonts w:ascii="Times" w:hAnsi="Times" w:eastAsiaTheme="minorEastAsia"/>
          <w:b/>
          <w:lang w:eastAsia="zh-CN"/>
        </w:rPr>
        <w:t xml:space="preserve">For GEO-set2, Msg2 PDSCH </w:t>
      </w:r>
      <w:r>
        <w:rPr>
          <w:rFonts w:hint="eastAsia" w:ascii="Times" w:hAnsi="Times" w:eastAsiaTheme="minorEastAsia"/>
          <w:b/>
          <w:lang w:eastAsia="zh-CN"/>
        </w:rPr>
        <w:t>a</w:t>
      </w:r>
      <w:r>
        <w:rPr>
          <w:rFonts w:ascii="Times" w:hAnsi="Times" w:eastAsiaTheme="minorEastAsia"/>
          <w:b/>
          <w:lang w:eastAsia="zh-CN"/>
        </w:rPr>
        <w:t>nd PDCCH have about 6dB coverage gap to be compensated.</w:t>
      </w:r>
    </w:p>
    <w:p>
      <w:pPr>
        <w:pStyle w:val="3"/>
        <w:numPr>
          <w:ilvl w:val="0"/>
          <w:numId w:val="9"/>
        </w:numPr>
        <w:spacing w:after="0" w:line="252" w:lineRule="auto"/>
        <w:rPr>
          <w:rFonts w:ascii="Times" w:hAnsi="Times" w:eastAsia="Batang"/>
          <w:b/>
        </w:rPr>
      </w:pPr>
      <w:r>
        <w:rPr>
          <w:rFonts w:hint="eastAsia" w:ascii="Times" w:hAnsi="Times" w:eastAsiaTheme="minorEastAsia"/>
          <w:b/>
          <w:lang w:val="en-US" w:eastAsia="zh-CN"/>
        </w:rPr>
        <w:t xml:space="preserve">Without considering retransmission, in LEO600-set1 case, Msg4 </w:t>
      </w:r>
      <w:r>
        <w:rPr>
          <w:rFonts w:ascii="Times" w:hAnsi="Times" w:eastAsiaTheme="minorEastAsia"/>
          <w:b/>
          <w:lang w:eastAsia="zh-CN"/>
        </w:rPr>
        <w:t xml:space="preserve"> </w:t>
      </w:r>
      <w:r>
        <w:rPr>
          <w:rFonts w:hint="eastAsia" w:ascii="Times" w:hAnsi="Times" w:eastAsiaTheme="minorEastAsia"/>
          <w:b/>
          <w:lang w:val="en-US" w:eastAsia="zh-CN"/>
        </w:rPr>
        <w:t xml:space="preserve">PDSCH has approximately 3dB link margin and has coverage gap for GEO case. </w:t>
      </w:r>
    </w:p>
    <w:p>
      <w:pPr>
        <w:pStyle w:val="3"/>
        <w:spacing w:line="252" w:lineRule="auto"/>
        <w:rPr>
          <w:rFonts w:ascii="Times" w:hAnsi="Times" w:eastAsiaTheme="minorEastAsia"/>
          <w:b/>
          <w:lang w:val="en-GB" w:eastAsia="zh-CN"/>
        </w:rPr>
      </w:pPr>
    </w:p>
    <w:p>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System level evaluation</w:t>
      </w:r>
    </w:p>
    <w:p>
      <w:pPr>
        <w:pStyle w:val="3"/>
        <w:spacing w:line="252" w:lineRule="auto"/>
        <w:rPr>
          <w:rFonts w:ascii="Times" w:hAnsi="Times" w:eastAsiaTheme="minorEastAsia"/>
          <w:bCs/>
          <w:lang w:val="en-GB" w:eastAsia="zh-CN"/>
        </w:rPr>
      </w:pPr>
      <w:r>
        <w:rPr>
          <w:rFonts w:ascii="Times" w:hAnsi="Times" w:eastAsiaTheme="minorEastAsia"/>
          <w:bCs/>
          <w:lang w:val="en-GB" w:eastAsia="zh-CN"/>
        </w:rPr>
        <w:t xml:space="preserve">Regarding the system-level evaluation for DL coverage, the WID points out that the satellite may be unable to have all its beam active simultaneously with the EIRP density </w:t>
      </w:r>
      <w:r>
        <w:rPr>
          <w:rFonts w:hint="eastAsia" w:ascii="Times" w:hAnsi="Times" w:eastAsiaTheme="minorEastAsia"/>
          <w:bCs/>
          <w:lang w:val="en-GB" w:eastAsia="zh-CN"/>
        </w:rPr>
        <w:t>per</w:t>
      </w:r>
      <w:r>
        <w:rPr>
          <w:rFonts w:ascii="Times" w:hAnsi="Times" w:eastAsiaTheme="minorEastAsia"/>
          <w:bCs/>
          <w:lang w:val="en-GB" w:eastAsia="zh-CN"/>
        </w:rPr>
        <w:t xml:space="preserve"> beam provided in TR38.821 due to the limited power and feeder link bandwidth, so DL coverage evaluation from a system-level aspect is needed.</w:t>
      </w:r>
    </w:p>
    <w:p>
      <w:pPr>
        <w:pStyle w:val="3"/>
        <w:spacing w:line="252" w:lineRule="auto"/>
        <w:rPr>
          <w:rFonts w:ascii="Times" w:hAnsi="Times" w:eastAsiaTheme="minorEastAsia"/>
          <w:bCs/>
          <w:lang w:val="en-GB" w:eastAsia="zh-CN"/>
        </w:rPr>
      </w:pPr>
      <w:r>
        <w:rPr>
          <w:rFonts w:ascii="Times" w:hAnsi="Times" w:eastAsiaTheme="minorEastAsia"/>
          <w:bCs/>
          <w:lang w:val="en-GB" w:eastAsia="zh-CN"/>
        </w:rPr>
        <w:t xml:space="preserve">To have a complete system-level evaluation for DL coverage, the satellite beam number required to cover from the nadir point to the target elevation angle should be firstly determined. In our understanding, two options to derive the required satellite beam number can be taken into account, including opt 1) </w:t>
      </w:r>
      <w:bookmarkStart w:id="4" w:name="_Hlk158315404"/>
      <w:r>
        <w:rPr>
          <w:rFonts w:ascii="Times" w:hAnsi="Times" w:eastAsiaTheme="minorEastAsia"/>
          <w:bCs/>
          <w:lang w:val="en-GB" w:eastAsia="zh-CN"/>
        </w:rPr>
        <w:t>fixed beam area and opt 2) fixed beamwidth</w:t>
      </w:r>
      <w:bookmarkEnd w:id="4"/>
      <w:r>
        <w:rPr>
          <w:rFonts w:ascii="Times" w:hAnsi="Times" w:eastAsiaTheme="minorEastAsia"/>
          <w:bCs/>
          <w:lang w:val="en-GB" w:eastAsia="zh-CN"/>
        </w:rPr>
        <w:t xml:space="preserve">. </w:t>
      </w:r>
    </w:p>
    <w:p>
      <w:pPr>
        <w:pStyle w:val="3"/>
        <w:spacing w:line="252" w:lineRule="auto"/>
        <w:rPr>
          <w:rFonts w:eastAsiaTheme="minorEastAsia"/>
          <w:lang w:val="en-GB" w:eastAsia="zh-CN"/>
        </w:rPr>
      </w:pPr>
      <w:r>
        <w:rPr>
          <w:rFonts w:eastAsiaTheme="minorEastAsia"/>
          <w:lang w:val="en-GB" w:eastAsia="zh-CN"/>
        </w:rPr>
        <w:t xml:space="preserve">For opt 1, as shown in Fig 1, the total footprint area </w:t>
      </w:r>
      <m:oMath>
        <m:sSub>
          <m:sSubPr>
            <m:ctrlPr>
              <w:rPr>
                <w:rFonts w:ascii="Cambria Math" w:hAnsi="Cambria Math" w:eastAsiaTheme="minorEastAsia"/>
                <w:i/>
                <w:lang w:val="en-GB" w:eastAsia="zh-CN"/>
              </w:rPr>
            </m:ctrlPr>
          </m:sSubPr>
          <m:e>
            <m:r>
              <w:rPr>
                <w:rFonts w:ascii="Cambria Math" w:hAnsi="Cambria Math" w:eastAsiaTheme="minorEastAsia"/>
                <w:lang w:val="en-GB" w:eastAsia="zh-CN"/>
              </w:rPr>
              <m:t>S</m:t>
            </m:r>
            <m:ctrlPr>
              <w:rPr>
                <w:rFonts w:ascii="Cambria Math" w:hAnsi="Cambria Math" w:eastAsiaTheme="minorEastAsia"/>
                <w:i/>
                <w:lang w:val="en-GB" w:eastAsia="zh-CN"/>
              </w:rPr>
            </m:ctrlPr>
          </m:e>
          <m:sub>
            <m:r>
              <w:rPr>
                <w:rFonts w:ascii="Cambria Math" w:hAnsi="Cambria Math" w:eastAsiaTheme="minorEastAsia"/>
                <w:lang w:val="en-GB" w:eastAsia="zh-CN"/>
              </w:rPr>
              <m:t>total</m:t>
            </m:r>
            <m:ctrlPr>
              <w:rPr>
                <w:rFonts w:ascii="Cambria Math" w:hAnsi="Cambria Math" w:eastAsiaTheme="minorEastAsia"/>
                <w:i/>
                <w:lang w:val="en-GB" w:eastAsia="zh-CN"/>
              </w:rPr>
            </m:ctrlPr>
          </m:sub>
        </m:sSub>
      </m:oMath>
      <w:r>
        <w:rPr>
          <w:rFonts w:hint="eastAsia" w:eastAsiaTheme="minorEastAsia"/>
          <w:lang w:val="en-GB" w:eastAsia="zh-CN"/>
        </w:rPr>
        <w:t xml:space="preserve"> </w:t>
      </w:r>
      <w:r>
        <w:rPr>
          <w:rFonts w:eastAsiaTheme="minorEastAsia"/>
          <w:lang w:val="en-GB" w:eastAsia="zh-CN"/>
        </w:rPr>
        <w:t xml:space="preserve">of a satellite is firstly determined based on the target elevation angle </w:t>
      </w:r>
      <m:oMath>
        <m:sSub>
          <m:sSubPr>
            <m:ctrlPr>
              <w:rPr>
                <w:rFonts w:ascii="Cambria Math" w:hAnsi="Cambria Math" w:eastAsiaTheme="minorEastAsia"/>
                <w:i/>
                <w:lang w:val="en-GB" w:eastAsia="zh-CN"/>
              </w:rPr>
            </m:ctrlPr>
          </m:sSubPr>
          <m:e>
            <m:r>
              <w:rPr>
                <w:rFonts w:ascii="Cambria Math" w:hAnsi="Cambria Math" w:eastAsiaTheme="minorEastAsia"/>
                <w:lang w:val="en-GB" w:eastAsia="zh-CN"/>
              </w:rPr>
              <m:t>a</m:t>
            </m:r>
            <m:ctrlPr>
              <w:rPr>
                <w:rFonts w:ascii="Cambria Math" w:hAnsi="Cambria Math" w:eastAsiaTheme="minorEastAsia"/>
                <w:i/>
                <w:lang w:val="en-GB" w:eastAsia="zh-CN"/>
              </w:rPr>
            </m:ctrlPr>
          </m:e>
          <m:sub>
            <m:r>
              <w:rPr>
                <w:rFonts w:ascii="Cambria Math" w:hAnsi="Cambria Math" w:eastAsiaTheme="minorEastAsia"/>
                <w:lang w:val="en-GB" w:eastAsia="zh-CN"/>
              </w:rPr>
              <m:t>tar</m:t>
            </m:r>
            <m:ctrlPr>
              <w:rPr>
                <w:rFonts w:ascii="Cambria Math" w:hAnsi="Cambria Math" w:eastAsiaTheme="minorEastAsia"/>
                <w:i/>
                <w:lang w:val="en-GB" w:eastAsia="zh-CN"/>
              </w:rPr>
            </m:ctrlPr>
          </m:sub>
        </m:sSub>
      </m:oMath>
      <w:r>
        <w:rPr>
          <w:rFonts w:eastAsiaTheme="minorEastAsia"/>
          <w:lang w:val="en-GB" w:eastAsia="zh-CN"/>
        </w:rPr>
        <w:t xml:space="preserve"> and the orbit altitude </w:t>
      </w:r>
      <m:oMath>
        <m:sSub>
          <m:sSubPr>
            <m:ctrlPr>
              <w:rPr>
                <w:rFonts w:ascii="Cambria Math" w:hAnsi="Cambria Math" w:eastAsiaTheme="minorEastAsia"/>
                <w:i/>
                <w:lang w:val="en-GB" w:eastAsia="zh-CN"/>
              </w:rPr>
            </m:ctrlPr>
          </m:sSubPr>
          <m:e>
            <m:r>
              <w:rPr>
                <w:rFonts w:ascii="Cambria Math" w:hAnsi="Cambria Math" w:eastAsiaTheme="minorEastAsia"/>
                <w:lang w:val="en-GB" w:eastAsia="zh-CN"/>
              </w:rPr>
              <m:t>h</m:t>
            </m:r>
            <m:ctrlPr>
              <w:rPr>
                <w:rFonts w:ascii="Cambria Math" w:hAnsi="Cambria Math" w:eastAsiaTheme="minorEastAsia"/>
                <w:i/>
                <w:lang w:val="en-GB" w:eastAsia="zh-CN"/>
              </w:rPr>
            </m:ctrlPr>
          </m:e>
          <m:sub>
            <m:r>
              <w:rPr>
                <w:rFonts w:ascii="Cambria Math" w:hAnsi="Cambria Math" w:eastAsiaTheme="minorEastAsia"/>
                <w:lang w:val="en-GB" w:eastAsia="zh-CN"/>
              </w:rPr>
              <m:t>0</m:t>
            </m:r>
            <m:ctrlPr>
              <w:rPr>
                <w:rFonts w:ascii="Cambria Math" w:hAnsi="Cambria Math" w:eastAsiaTheme="minorEastAsia"/>
                <w:i/>
                <w:lang w:val="en-GB" w:eastAsia="zh-CN"/>
              </w:rPr>
            </m:ctrlPr>
          </m:sub>
        </m:sSub>
      </m:oMath>
      <w:r>
        <w:rPr>
          <w:rFonts w:eastAsiaTheme="minorEastAsia"/>
          <w:lang w:val="en-GB" w:eastAsia="zh-CN"/>
        </w:rPr>
        <w:t xml:space="preserve">. Then, the required </w:t>
      </w:r>
      <w:r>
        <w:rPr>
          <w:rFonts w:hint="eastAsia" w:eastAsiaTheme="minorEastAsia"/>
          <w:lang w:val="en-GB" w:eastAsia="zh-CN"/>
        </w:rPr>
        <w:t>sate</w:t>
      </w:r>
      <w:r>
        <w:rPr>
          <w:rFonts w:eastAsiaTheme="minorEastAsia"/>
          <w:lang w:val="en-GB" w:eastAsia="zh-CN"/>
        </w:rPr>
        <w:t xml:space="preserve">llite beam number is calculated by </w:t>
      </w:r>
      <m:oMath>
        <m:f>
          <m:fPr>
            <m:type m:val="lin"/>
            <m:ctrlPr>
              <w:rPr>
                <w:rFonts w:ascii="Cambria Math" w:hAnsi="Cambria Math" w:eastAsiaTheme="minorEastAsia"/>
                <w:i/>
                <w:lang w:val="en-GB" w:eastAsia="zh-CN"/>
              </w:rPr>
            </m:ctrlPr>
          </m:fPr>
          <m:num>
            <m:sSub>
              <m:sSubPr>
                <m:ctrlPr>
                  <w:rPr>
                    <w:rFonts w:ascii="Cambria Math" w:hAnsi="Cambria Math" w:eastAsiaTheme="minorEastAsia"/>
                    <w:i/>
                    <w:lang w:val="en-GB" w:eastAsia="zh-CN"/>
                  </w:rPr>
                </m:ctrlPr>
              </m:sSubPr>
              <m:e>
                <m:r>
                  <w:rPr>
                    <w:rFonts w:ascii="Cambria Math" w:hAnsi="Cambria Math" w:eastAsiaTheme="minorEastAsia"/>
                    <w:lang w:val="en-GB" w:eastAsia="zh-CN"/>
                  </w:rPr>
                  <m:t>S</m:t>
                </m:r>
                <m:ctrlPr>
                  <w:rPr>
                    <w:rFonts w:ascii="Cambria Math" w:hAnsi="Cambria Math" w:eastAsiaTheme="minorEastAsia"/>
                    <w:i/>
                    <w:lang w:val="en-GB" w:eastAsia="zh-CN"/>
                  </w:rPr>
                </m:ctrlPr>
              </m:e>
              <m:sub>
                <m:r>
                  <w:rPr>
                    <w:rFonts w:ascii="Cambria Math" w:hAnsi="Cambria Math" w:eastAsiaTheme="minorEastAsia"/>
                    <w:lang w:val="en-GB" w:eastAsia="zh-CN"/>
                  </w:rPr>
                  <m:t>total</m:t>
                </m:r>
                <m:ctrlPr>
                  <w:rPr>
                    <w:rFonts w:ascii="Cambria Math" w:hAnsi="Cambria Math" w:eastAsiaTheme="minorEastAsia"/>
                    <w:i/>
                    <w:lang w:val="en-GB" w:eastAsia="zh-CN"/>
                  </w:rPr>
                </m:ctrlPr>
              </m:sub>
            </m:sSub>
            <m:ctrlPr>
              <w:rPr>
                <w:rFonts w:ascii="Cambria Math" w:hAnsi="Cambria Math" w:eastAsiaTheme="minorEastAsia"/>
                <w:i/>
                <w:lang w:val="en-GB" w:eastAsia="zh-CN"/>
              </w:rPr>
            </m:ctrlPr>
          </m:num>
          <m:den>
            <m:sSub>
              <m:sSubPr>
                <m:ctrlPr>
                  <w:rPr>
                    <w:rFonts w:ascii="Cambria Math" w:hAnsi="Cambria Math" w:eastAsiaTheme="minorEastAsia"/>
                    <w:i/>
                    <w:lang w:val="en-GB" w:eastAsia="zh-CN"/>
                  </w:rPr>
                </m:ctrlPr>
              </m:sSubPr>
              <m:e>
                <m:r>
                  <w:rPr>
                    <w:rFonts w:ascii="Cambria Math" w:hAnsi="Cambria Math" w:eastAsiaTheme="minorEastAsia"/>
                    <w:lang w:val="en-GB" w:eastAsia="zh-CN"/>
                  </w:rPr>
                  <m:t>S</m:t>
                </m:r>
                <m:ctrlPr>
                  <w:rPr>
                    <w:rFonts w:ascii="Cambria Math" w:hAnsi="Cambria Math" w:eastAsiaTheme="minorEastAsia"/>
                    <w:i/>
                    <w:lang w:val="en-GB" w:eastAsia="zh-CN"/>
                  </w:rPr>
                </m:ctrlPr>
              </m:e>
              <m:sub>
                <m:r>
                  <w:rPr>
                    <w:rFonts w:ascii="Cambria Math" w:hAnsi="Cambria Math" w:eastAsiaTheme="minorEastAsia"/>
                    <w:lang w:val="en-GB" w:eastAsia="zh-CN"/>
                  </w:rPr>
                  <m:t>beam</m:t>
                </m:r>
                <m:ctrlPr>
                  <w:rPr>
                    <w:rFonts w:ascii="Cambria Math" w:hAnsi="Cambria Math" w:eastAsiaTheme="minorEastAsia"/>
                    <w:i/>
                    <w:lang w:val="en-GB" w:eastAsia="zh-CN"/>
                  </w:rPr>
                </m:ctrlPr>
              </m:sub>
            </m:sSub>
            <m:ctrlPr>
              <w:rPr>
                <w:rFonts w:ascii="Cambria Math" w:hAnsi="Cambria Math" w:eastAsiaTheme="minorEastAsia"/>
                <w:i/>
                <w:lang w:val="en-GB" w:eastAsia="zh-CN"/>
              </w:rPr>
            </m:ctrlPr>
          </m:den>
        </m:f>
      </m:oMath>
      <w:r>
        <w:rPr>
          <w:rFonts w:eastAsiaTheme="minorEastAsia"/>
          <w:lang w:val="en-GB" w:eastAsia="zh-CN"/>
        </w:rPr>
        <w:t xml:space="preserve">, where </w:t>
      </w:r>
      <m:oMath>
        <m:sSub>
          <m:sSubPr>
            <m:ctrlPr>
              <w:rPr>
                <w:rFonts w:ascii="Cambria Math" w:hAnsi="Cambria Math" w:eastAsiaTheme="minorEastAsia"/>
                <w:i/>
                <w:lang w:val="en-GB" w:eastAsia="zh-CN"/>
              </w:rPr>
            </m:ctrlPr>
          </m:sSubPr>
          <m:e>
            <m:r>
              <w:rPr>
                <w:rFonts w:ascii="Cambria Math" w:hAnsi="Cambria Math" w:eastAsiaTheme="minorEastAsia"/>
                <w:lang w:val="en-GB" w:eastAsia="zh-CN"/>
              </w:rPr>
              <m:t>S</m:t>
            </m:r>
            <m:ctrlPr>
              <w:rPr>
                <w:rFonts w:ascii="Cambria Math" w:hAnsi="Cambria Math" w:eastAsiaTheme="minorEastAsia"/>
                <w:i/>
                <w:lang w:val="en-GB" w:eastAsia="zh-CN"/>
              </w:rPr>
            </m:ctrlPr>
          </m:e>
          <m:sub>
            <m:r>
              <w:rPr>
                <w:rFonts w:ascii="Cambria Math" w:hAnsi="Cambria Math" w:eastAsiaTheme="minorEastAsia"/>
                <w:lang w:val="en-GB" w:eastAsia="zh-CN"/>
              </w:rPr>
              <m:t>beam</m:t>
            </m:r>
            <m:ctrlPr>
              <w:rPr>
                <w:rFonts w:ascii="Cambria Math" w:hAnsi="Cambria Math" w:eastAsiaTheme="minorEastAsia"/>
                <w:i/>
                <w:lang w:val="en-GB" w:eastAsia="zh-CN"/>
              </w:rPr>
            </m:ctrlPr>
          </m:sub>
        </m:sSub>
      </m:oMath>
      <w:r>
        <w:rPr>
          <w:rFonts w:hint="eastAsia" w:eastAsiaTheme="minorEastAsia"/>
          <w:lang w:val="en-GB" w:eastAsia="zh-CN"/>
        </w:rPr>
        <w:t xml:space="preserve"> </w:t>
      </w:r>
      <w:r>
        <w:rPr>
          <w:rFonts w:eastAsiaTheme="minorEastAsia"/>
          <w:lang w:val="en-GB" w:eastAsia="zh-CN"/>
        </w:rPr>
        <w:t xml:space="preserve">is the satellite beam area. Take LEO600-set1 as an example, the satellite beam diameter is 46km and the beam area corresponding to a hexagonal cell is </w:t>
      </w:r>
      <m:oMath>
        <m:sSub>
          <m:sSubPr>
            <m:ctrlPr>
              <w:rPr>
                <w:rFonts w:ascii="Cambria Math" w:hAnsi="Cambria Math" w:eastAsiaTheme="minorEastAsia"/>
                <w:i/>
                <w:lang w:val="en-GB" w:eastAsia="zh-CN"/>
              </w:rPr>
            </m:ctrlPr>
          </m:sSubPr>
          <m:e>
            <m:r>
              <w:rPr>
                <w:rFonts w:ascii="Cambria Math" w:hAnsi="Cambria Math" w:eastAsiaTheme="minorEastAsia"/>
                <w:lang w:val="en-GB" w:eastAsia="zh-CN"/>
              </w:rPr>
              <m:t>S</m:t>
            </m:r>
            <m:ctrlPr>
              <w:rPr>
                <w:rFonts w:ascii="Cambria Math" w:hAnsi="Cambria Math" w:eastAsiaTheme="minorEastAsia"/>
                <w:i/>
                <w:lang w:val="en-GB" w:eastAsia="zh-CN"/>
              </w:rPr>
            </m:ctrlPr>
          </m:e>
          <m:sub>
            <m:r>
              <w:rPr>
                <w:rFonts w:ascii="Cambria Math" w:hAnsi="Cambria Math" w:eastAsiaTheme="minorEastAsia"/>
                <w:lang w:val="en-GB" w:eastAsia="zh-CN"/>
              </w:rPr>
              <m:t>beam</m:t>
            </m:r>
            <m:ctrlPr>
              <w:rPr>
                <w:rFonts w:ascii="Cambria Math" w:hAnsi="Cambria Math" w:eastAsiaTheme="minorEastAsia"/>
                <w:i/>
                <w:lang w:val="en-GB" w:eastAsia="zh-CN"/>
              </w:rPr>
            </m:ctrlPr>
          </m:sub>
        </m:sSub>
        <m:r>
          <w:rPr>
            <w:rFonts w:ascii="Cambria Math" w:hAnsi="Cambria Math" w:eastAsiaTheme="minorEastAsia"/>
            <w:lang w:val="en-GB" w:eastAsia="zh-CN"/>
          </w:rPr>
          <m:t>=</m:t>
        </m:r>
        <m:f>
          <m:fPr>
            <m:type m:val="lin"/>
            <m:ctrlPr>
              <w:rPr>
                <w:rFonts w:ascii="Cambria Math" w:hAnsi="Cambria Math" w:eastAsiaTheme="minorEastAsia"/>
                <w:i/>
                <w:lang w:val="en-GB" w:eastAsia="zh-CN"/>
              </w:rPr>
            </m:ctrlPr>
          </m:fPr>
          <m:num>
            <m:r>
              <w:rPr>
                <w:rFonts w:ascii="Cambria Math" w:hAnsi="Cambria Math" w:eastAsiaTheme="minorEastAsia"/>
                <w:lang w:val="en-GB" w:eastAsia="zh-CN"/>
              </w:rPr>
              <m:t>3</m:t>
            </m:r>
            <m:rad>
              <m:radPr>
                <m:degHide m:val="1"/>
                <m:ctrlPr>
                  <w:rPr>
                    <w:rFonts w:ascii="Cambria Math" w:hAnsi="Cambria Math" w:eastAsiaTheme="minorEastAsia"/>
                    <w:i/>
                    <w:lang w:val="en-GB" w:eastAsia="zh-CN"/>
                  </w:rPr>
                </m:ctrlPr>
              </m:radPr>
              <m:deg>
                <m:ctrlPr>
                  <w:rPr>
                    <w:rFonts w:ascii="Cambria Math" w:hAnsi="Cambria Math" w:eastAsiaTheme="minorEastAsia"/>
                    <w:i/>
                    <w:lang w:val="en-GB" w:eastAsia="zh-CN"/>
                  </w:rPr>
                </m:ctrlPr>
              </m:deg>
              <m:e>
                <m:r>
                  <w:rPr>
                    <w:rFonts w:ascii="Cambria Math" w:hAnsi="Cambria Math" w:eastAsiaTheme="minorEastAsia"/>
                    <w:lang w:val="en-GB" w:eastAsia="zh-CN"/>
                  </w:rPr>
                  <m:t>3</m:t>
                </m:r>
                <m:ctrlPr>
                  <w:rPr>
                    <w:rFonts w:ascii="Cambria Math" w:hAnsi="Cambria Math" w:eastAsiaTheme="minorEastAsia"/>
                    <w:i/>
                    <w:lang w:val="en-GB" w:eastAsia="zh-CN"/>
                  </w:rPr>
                </m:ctrlPr>
              </m:e>
            </m:rad>
            <m:ctrlPr>
              <w:rPr>
                <w:rFonts w:ascii="Cambria Math" w:hAnsi="Cambria Math" w:eastAsiaTheme="minorEastAsia"/>
                <w:i/>
                <w:lang w:val="en-GB" w:eastAsia="zh-CN"/>
              </w:rPr>
            </m:ctrlPr>
          </m:num>
          <m:den>
            <m:r>
              <w:rPr>
                <w:rFonts w:ascii="Cambria Math" w:hAnsi="Cambria Math" w:eastAsiaTheme="minorEastAsia"/>
                <w:lang w:val="en-GB" w:eastAsia="zh-CN"/>
              </w:rPr>
              <m:t>2</m:t>
            </m:r>
            <m:ctrlPr>
              <w:rPr>
                <w:rFonts w:ascii="Cambria Math" w:hAnsi="Cambria Math" w:eastAsiaTheme="minorEastAsia"/>
                <w:i/>
                <w:lang w:val="en-GB" w:eastAsia="zh-CN"/>
              </w:rPr>
            </m:ctrlPr>
          </m:den>
        </m:f>
        <m:r>
          <w:rPr>
            <w:rFonts w:ascii="Cambria Math" w:hAnsi="Cambria Math" w:eastAsiaTheme="minorEastAsia"/>
            <w:lang w:val="en-GB" w:eastAsia="zh-CN"/>
          </w:rPr>
          <m:t>∙</m:t>
        </m:r>
        <m:sSup>
          <m:sSupPr>
            <m:ctrlPr>
              <w:rPr>
                <w:rFonts w:ascii="Cambria Math" w:hAnsi="Cambria Math" w:eastAsiaTheme="minorEastAsia"/>
                <w:i/>
                <w:lang w:val="en-GB" w:eastAsia="zh-CN"/>
              </w:rPr>
            </m:ctrlPr>
          </m:sSupPr>
          <m:e>
            <m:d>
              <m:dPr>
                <m:ctrlPr>
                  <w:rPr>
                    <w:rFonts w:ascii="Cambria Math" w:hAnsi="Cambria Math" w:eastAsiaTheme="minorEastAsia"/>
                    <w:i/>
                    <w:lang w:val="en-GB" w:eastAsia="zh-CN"/>
                  </w:rPr>
                </m:ctrlPr>
              </m:dPr>
              <m:e>
                <m:r>
                  <w:rPr>
                    <w:rFonts w:ascii="Cambria Math" w:hAnsi="Cambria Math" w:eastAsiaTheme="minorEastAsia"/>
                    <w:lang w:val="en-GB" w:eastAsia="zh-CN"/>
                  </w:rPr>
                  <m:t>23</m:t>
                </m:r>
                <m:ctrlPr>
                  <w:rPr>
                    <w:rFonts w:ascii="Cambria Math" w:hAnsi="Cambria Math" w:eastAsiaTheme="minorEastAsia"/>
                    <w:i/>
                    <w:lang w:val="en-GB" w:eastAsia="zh-CN"/>
                  </w:rPr>
                </m:ctrlPr>
              </m:e>
            </m:d>
            <m:ctrlPr>
              <w:rPr>
                <w:rFonts w:ascii="Cambria Math" w:hAnsi="Cambria Math" w:eastAsiaTheme="minorEastAsia"/>
                <w:i/>
                <w:lang w:val="en-GB" w:eastAsia="zh-CN"/>
              </w:rPr>
            </m:ctrlPr>
          </m:e>
          <m:sup>
            <m:r>
              <w:rPr>
                <w:rFonts w:ascii="Cambria Math" w:hAnsi="Cambria Math" w:eastAsiaTheme="minorEastAsia"/>
                <w:lang w:val="en-GB" w:eastAsia="zh-CN"/>
              </w:rPr>
              <m:t>2</m:t>
            </m:r>
            <m:ctrlPr>
              <w:rPr>
                <w:rFonts w:ascii="Cambria Math" w:hAnsi="Cambria Math" w:eastAsiaTheme="minorEastAsia"/>
                <w:i/>
                <w:lang w:val="en-GB" w:eastAsia="zh-CN"/>
              </w:rPr>
            </m:ctrlPr>
          </m:sup>
        </m:sSup>
        <m:r>
          <w:rPr>
            <w:rFonts w:ascii="Cambria Math" w:hAnsi="Cambria Math" w:eastAsiaTheme="minorEastAsia"/>
            <w:lang w:val="en-GB" w:eastAsia="zh-CN"/>
          </w:rPr>
          <m:t>=1374</m:t>
        </m:r>
      </m:oMath>
      <w:r>
        <w:rPr>
          <w:rFonts w:hint="eastAsia" w:eastAsiaTheme="minorEastAsia"/>
          <w:lang w:val="en-GB" w:eastAsia="zh-CN"/>
        </w:rPr>
        <w:t xml:space="preserve"> k</w:t>
      </w:r>
      <w:r>
        <w:rPr>
          <w:rFonts w:eastAsiaTheme="minorEastAsia"/>
          <w:lang w:val="en-GB" w:eastAsia="zh-CN"/>
        </w:rPr>
        <w:t>m</w:t>
      </w:r>
      <w:r>
        <w:rPr>
          <w:rFonts w:eastAsiaTheme="minorEastAsia"/>
          <w:vertAlign w:val="superscript"/>
          <w:lang w:val="en-GB" w:eastAsia="zh-CN"/>
        </w:rPr>
        <w:t>2</w:t>
      </w:r>
      <w:r>
        <w:rPr>
          <w:rFonts w:hint="eastAsia" w:eastAsiaTheme="minorEastAsia"/>
          <w:lang w:val="en-GB" w:eastAsia="zh-CN"/>
        </w:rPr>
        <w:t>.</w:t>
      </w:r>
      <w:r>
        <w:rPr>
          <w:rFonts w:eastAsiaTheme="minorEastAsia"/>
          <w:lang w:val="en-GB" w:eastAsia="zh-CN"/>
        </w:rPr>
        <w:t xml:space="preserve"> </w:t>
      </w:r>
    </w:p>
    <w:p>
      <w:pPr>
        <w:pStyle w:val="3"/>
        <w:spacing w:line="252" w:lineRule="auto"/>
        <w:jc w:val="center"/>
      </w:pPr>
      <w:r>
        <w:object>
          <v:shape id="_x0000_i1025" o:spt="75" type="#_x0000_t75" style="height:187.65pt;width:327.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3"/>
        <w:spacing w:line="252" w:lineRule="auto"/>
        <w:jc w:val="center"/>
        <w:rPr>
          <w:rFonts w:eastAsiaTheme="minorEastAsia"/>
          <w:lang w:val="en-GB" w:eastAsia="zh-CN"/>
        </w:rPr>
      </w:pPr>
      <w:r>
        <w:rPr>
          <w:rFonts w:eastAsia="等线"/>
          <w:kern w:val="2"/>
          <w:szCs w:val="20"/>
          <w:lang w:eastAsia="zh-CN"/>
        </w:rPr>
        <w:t xml:space="preserve">Fig 1. </w:t>
      </w:r>
      <w:r>
        <w:rPr>
          <w:rFonts w:ascii="Times" w:hAnsi="Times" w:eastAsiaTheme="minorEastAsia"/>
          <w:bCs/>
          <w:lang w:val="en-GB" w:eastAsia="zh-CN"/>
        </w:rPr>
        <w:t>The required satellite beam number</w:t>
      </w:r>
    </w:p>
    <w:p>
      <w:pPr>
        <w:pStyle w:val="3"/>
        <w:spacing w:line="252" w:lineRule="auto"/>
        <w:rPr>
          <w:rFonts w:eastAsiaTheme="minorEastAsia"/>
          <w:lang w:val="en-GB" w:eastAsia="zh-CN"/>
        </w:rPr>
      </w:pPr>
      <w:r>
        <w:rPr>
          <w:rFonts w:eastAsiaTheme="minorEastAsia"/>
          <w:lang w:val="en-GB" w:eastAsia="zh-CN"/>
        </w:rPr>
        <w:t xml:space="preserve">For opt 2, as shown in Fig 2, each satellite beam corresponds to a fixed 3dB beamwidth and the beam area increases with the elevation angle. In this case, the beam layout can be depicted as the hexagonal mapping of the beam boresight directions on UV plane in the satellite reference frame. The adjacent beam spacing (ABS) can be computed based on the 3dB beamwidth, i.e., </w:t>
      </w:r>
      <m:oMath>
        <m:r>
          <w:rPr>
            <w:rFonts w:ascii="Cambria Math" w:hAnsi="Cambria Math" w:eastAsiaTheme="minorEastAsia"/>
            <w:lang w:val="en-GB" w:eastAsia="zh-CN"/>
          </w:rPr>
          <m:t xml:space="preserve">ABS= </m:t>
        </m:r>
        <m:rad>
          <m:radPr>
            <m:degHide m:val="1"/>
            <m:ctrlPr>
              <w:rPr>
                <w:rFonts w:ascii="Cambria Math" w:hAnsi="Cambria Math" w:eastAsiaTheme="minorEastAsia"/>
                <w:i/>
                <w:lang w:val="en-GB" w:eastAsia="zh-CN"/>
              </w:rPr>
            </m:ctrlPr>
          </m:radPr>
          <m:deg>
            <m:ctrlPr>
              <w:rPr>
                <w:rFonts w:ascii="Cambria Math" w:hAnsi="Cambria Math" w:eastAsiaTheme="minorEastAsia"/>
                <w:i/>
                <w:lang w:val="en-GB" w:eastAsia="zh-CN"/>
              </w:rPr>
            </m:ctrlPr>
          </m:deg>
          <m:e>
            <m:r>
              <w:rPr>
                <w:rFonts w:ascii="Cambria Math" w:hAnsi="Cambria Math" w:eastAsiaTheme="minorEastAsia"/>
                <w:lang w:val="en-GB" w:eastAsia="zh-CN"/>
              </w:rPr>
              <m:t>3</m:t>
            </m:r>
            <m:ctrlPr>
              <w:rPr>
                <w:rFonts w:ascii="Cambria Math" w:hAnsi="Cambria Math" w:eastAsiaTheme="minorEastAsia"/>
                <w:i/>
                <w:lang w:val="en-GB" w:eastAsia="zh-CN"/>
              </w:rPr>
            </m:ctrlPr>
          </m:e>
        </m:rad>
        <m:r>
          <w:rPr>
            <w:rFonts w:ascii="Cambria Math" w:hAnsi="Cambria Math" w:eastAsiaTheme="minorEastAsia"/>
            <w:lang w:val="en-GB" w:eastAsia="zh-CN"/>
          </w:rPr>
          <m:t>∙</m:t>
        </m:r>
        <m:func>
          <m:funcPr>
            <m:ctrlPr>
              <w:rPr>
                <w:rFonts w:ascii="Cambria Math" w:hAnsi="Cambria Math" w:eastAsiaTheme="minorEastAsia"/>
                <w:i/>
                <w:lang w:val="en-GB" w:eastAsia="zh-CN"/>
              </w:rPr>
            </m:ctrlPr>
          </m:funcPr>
          <m:fName>
            <m:r>
              <m:rPr>
                <m:sty m:val="p"/>
              </m:rPr>
              <w:rPr>
                <w:rFonts w:ascii="Cambria Math" w:hAnsi="Cambria Math"/>
                <w:lang w:val="en-GB"/>
              </w:rPr>
              <m:t>sin</m:t>
            </m:r>
            <m:ctrlPr>
              <w:rPr>
                <w:rFonts w:ascii="Cambria Math" w:hAnsi="Cambria Math" w:eastAsiaTheme="minorEastAsia"/>
                <w:i/>
                <w:lang w:val="en-GB" w:eastAsia="zh-CN"/>
              </w:rPr>
            </m:ctrlPr>
          </m:fName>
          <m:e>
            <m:d>
              <m:dPr>
                <m:ctrlPr>
                  <w:rPr>
                    <w:rFonts w:ascii="Cambria Math" w:hAnsi="Cambria Math" w:eastAsiaTheme="minorEastAsia"/>
                    <w:i/>
                    <w:lang w:val="en-GB" w:eastAsia="zh-CN"/>
                  </w:rPr>
                </m:ctrlPr>
              </m:dPr>
              <m:e>
                <m:f>
                  <m:fPr>
                    <m:type m:val="lin"/>
                    <m:ctrlPr>
                      <w:rPr>
                        <w:rFonts w:ascii="Cambria Math" w:hAnsi="Cambria Math" w:eastAsiaTheme="minorEastAsia"/>
                        <w:i/>
                        <w:lang w:val="en-GB" w:eastAsia="zh-CN"/>
                      </w:rPr>
                    </m:ctrlPr>
                  </m:fPr>
                  <m:num>
                    <m:r>
                      <w:rPr>
                        <w:rFonts w:ascii="Cambria Math" w:hAnsi="Cambria Math" w:eastAsiaTheme="minorEastAsia"/>
                        <w:lang w:val="en-GB" w:eastAsia="zh-CN"/>
                      </w:rPr>
                      <m:t>HPBW</m:t>
                    </m:r>
                    <m:ctrlPr>
                      <w:rPr>
                        <w:rFonts w:ascii="Cambria Math" w:hAnsi="Cambria Math" w:eastAsiaTheme="minorEastAsia"/>
                        <w:i/>
                        <w:lang w:val="en-GB" w:eastAsia="zh-CN"/>
                      </w:rPr>
                    </m:ctrlPr>
                  </m:num>
                  <m:den>
                    <m:r>
                      <w:rPr>
                        <w:rFonts w:ascii="Cambria Math" w:hAnsi="Cambria Math" w:eastAsiaTheme="minorEastAsia"/>
                        <w:lang w:val="en-GB" w:eastAsia="zh-CN"/>
                      </w:rPr>
                      <m:t>2</m:t>
                    </m:r>
                    <m:ctrlPr>
                      <w:rPr>
                        <w:rFonts w:ascii="Cambria Math" w:hAnsi="Cambria Math" w:eastAsiaTheme="minorEastAsia"/>
                        <w:i/>
                        <w:lang w:val="en-GB" w:eastAsia="zh-CN"/>
                      </w:rPr>
                    </m:ctrlPr>
                  </m:den>
                </m:f>
                <m:ctrlPr>
                  <w:rPr>
                    <w:rFonts w:ascii="Cambria Math" w:hAnsi="Cambria Math" w:eastAsiaTheme="minorEastAsia"/>
                    <w:i/>
                    <w:lang w:val="en-GB" w:eastAsia="zh-CN"/>
                  </w:rPr>
                </m:ctrlPr>
              </m:e>
            </m:d>
            <m:ctrlPr>
              <w:rPr>
                <w:rFonts w:ascii="Cambria Math" w:hAnsi="Cambria Math" w:eastAsiaTheme="minorEastAsia"/>
                <w:i/>
                <w:lang w:val="en-GB" w:eastAsia="zh-CN"/>
              </w:rPr>
            </m:ctrlPr>
          </m:e>
        </m:func>
      </m:oMath>
      <w:r>
        <w:rPr>
          <w:rFonts w:hint="eastAsia" w:eastAsiaTheme="minorEastAsia"/>
          <w:lang w:val="en-GB" w:eastAsia="zh-CN"/>
        </w:rPr>
        <w:t>.</w:t>
      </w:r>
      <w:r>
        <w:rPr>
          <w:rFonts w:eastAsiaTheme="minorEastAsia"/>
          <w:lang w:val="en-GB" w:eastAsia="zh-CN"/>
        </w:rPr>
        <w:t xml:space="preserve"> F</w:t>
      </w:r>
      <w:r>
        <w:rPr>
          <w:rFonts w:hint="eastAsia" w:eastAsiaTheme="minorEastAsia"/>
          <w:lang w:val="en-GB" w:eastAsia="zh-CN"/>
        </w:rPr>
        <w:t>or</w:t>
      </w:r>
      <w:r>
        <w:rPr>
          <w:rFonts w:eastAsiaTheme="minorEastAsia"/>
          <w:lang w:val="en-GB" w:eastAsia="zh-CN"/>
        </w:rPr>
        <w:t xml:space="preserve"> example, for LEO600-set1, </w:t>
      </w:r>
      <m:oMath>
        <m:r>
          <w:rPr>
            <w:rFonts w:ascii="Cambria Math" w:hAnsi="Cambria Math" w:eastAsiaTheme="minorEastAsia"/>
            <w:lang w:val="en-GB" w:eastAsia="zh-CN"/>
          </w:rPr>
          <m:t xml:space="preserve">ABS= </m:t>
        </m:r>
        <m:rad>
          <m:radPr>
            <m:degHide m:val="1"/>
            <m:ctrlPr>
              <w:rPr>
                <w:rFonts w:ascii="Cambria Math" w:hAnsi="Cambria Math" w:eastAsiaTheme="minorEastAsia"/>
                <w:i/>
                <w:lang w:val="en-GB" w:eastAsia="zh-CN"/>
              </w:rPr>
            </m:ctrlPr>
          </m:radPr>
          <m:deg>
            <m:ctrlPr>
              <w:rPr>
                <w:rFonts w:ascii="Cambria Math" w:hAnsi="Cambria Math" w:eastAsiaTheme="minorEastAsia"/>
                <w:i/>
                <w:lang w:val="en-GB" w:eastAsia="zh-CN"/>
              </w:rPr>
            </m:ctrlPr>
          </m:deg>
          <m:e>
            <m:r>
              <w:rPr>
                <w:rFonts w:ascii="Cambria Math" w:hAnsi="Cambria Math" w:eastAsiaTheme="minorEastAsia"/>
                <w:lang w:val="en-GB" w:eastAsia="zh-CN"/>
              </w:rPr>
              <m:t>3</m:t>
            </m:r>
            <m:ctrlPr>
              <w:rPr>
                <w:rFonts w:ascii="Cambria Math" w:hAnsi="Cambria Math" w:eastAsiaTheme="minorEastAsia"/>
                <w:i/>
                <w:lang w:val="en-GB" w:eastAsia="zh-CN"/>
              </w:rPr>
            </m:ctrlPr>
          </m:e>
        </m:rad>
        <m:r>
          <w:rPr>
            <w:rFonts w:ascii="Cambria Math" w:hAnsi="Cambria Math" w:eastAsiaTheme="minorEastAsia"/>
            <w:lang w:val="en-GB" w:eastAsia="zh-CN"/>
          </w:rPr>
          <m:t>∙</m:t>
        </m:r>
        <m:func>
          <m:funcPr>
            <m:ctrlPr>
              <w:rPr>
                <w:rFonts w:ascii="Cambria Math" w:hAnsi="Cambria Math" w:eastAsiaTheme="minorEastAsia"/>
                <w:i/>
                <w:lang w:val="en-GB" w:eastAsia="zh-CN"/>
              </w:rPr>
            </m:ctrlPr>
          </m:funcPr>
          <m:fName>
            <m:r>
              <m:rPr>
                <m:sty m:val="p"/>
              </m:rPr>
              <w:rPr>
                <w:rFonts w:ascii="Cambria Math" w:hAnsi="Cambria Math"/>
                <w:lang w:val="en-GB"/>
              </w:rPr>
              <m:t>sin</m:t>
            </m:r>
            <m:ctrlPr>
              <w:rPr>
                <w:rFonts w:ascii="Cambria Math" w:hAnsi="Cambria Math" w:eastAsiaTheme="minorEastAsia"/>
                <w:i/>
                <w:lang w:val="en-GB" w:eastAsia="zh-CN"/>
              </w:rPr>
            </m:ctrlPr>
          </m:fName>
          <m:e>
            <m:d>
              <m:dPr>
                <m:ctrlPr>
                  <w:rPr>
                    <w:rFonts w:ascii="Cambria Math" w:hAnsi="Cambria Math" w:eastAsiaTheme="minorEastAsia"/>
                    <w:i/>
                    <w:lang w:val="en-GB" w:eastAsia="zh-CN"/>
                  </w:rPr>
                </m:ctrlPr>
              </m:dPr>
              <m:e>
                <m:f>
                  <m:fPr>
                    <m:type m:val="lin"/>
                    <m:ctrlPr>
                      <w:rPr>
                        <w:rFonts w:ascii="Cambria Math" w:hAnsi="Cambria Math" w:eastAsiaTheme="minorEastAsia"/>
                        <w:i/>
                        <w:lang w:val="en-GB" w:eastAsia="zh-CN"/>
                      </w:rPr>
                    </m:ctrlPr>
                  </m:fPr>
                  <m:num>
                    <m:r>
                      <w:rPr>
                        <w:rFonts w:ascii="Cambria Math" w:hAnsi="Cambria Math" w:eastAsiaTheme="minorEastAsia"/>
                        <w:lang w:val="en-GB" w:eastAsia="zh-CN"/>
                      </w:rPr>
                      <m:t>HPBW</m:t>
                    </m:r>
                    <m:ctrlPr>
                      <w:rPr>
                        <w:rFonts w:ascii="Cambria Math" w:hAnsi="Cambria Math" w:eastAsiaTheme="minorEastAsia"/>
                        <w:i/>
                        <w:lang w:val="en-GB" w:eastAsia="zh-CN"/>
                      </w:rPr>
                    </m:ctrlPr>
                  </m:num>
                  <m:den>
                    <m:r>
                      <w:rPr>
                        <w:rFonts w:ascii="Cambria Math" w:hAnsi="Cambria Math" w:eastAsiaTheme="minorEastAsia"/>
                        <w:lang w:val="en-GB" w:eastAsia="zh-CN"/>
                      </w:rPr>
                      <m:t>2</m:t>
                    </m:r>
                    <m:ctrlPr>
                      <w:rPr>
                        <w:rFonts w:ascii="Cambria Math" w:hAnsi="Cambria Math" w:eastAsiaTheme="minorEastAsia"/>
                        <w:i/>
                        <w:lang w:val="en-GB" w:eastAsia="zh-CN"/>
                      </w:rPr>
                    </m:ctrlPr>
                  </m:den>
                </m:f>
                <m:ctrlPr>
                  <w:rPr>
                    <w:rFonts w:ascii="Cambria Math" w:hAnsi="Cambria Math" w:eastAsiaTheme="minorEastAsia"/>
                    <w:i/>
                    <w:lang w:val="en-GB" w:eastAsia="zh-CN"/>
                  </w:rPr>
                </m:ctrlPr>
              </m:e>
            </m:d>
            <m:ctrlPr>
              <w:rPr>
                <w:rFonts w:ascii="Cambria Math" w:hAnsi="Cambria Math" w:eastAsiaTheme="minorEastAsia"/>
                <w:i/>
                <w:lang w:val="en-GB" w:eastAsia="zh-CN"/>
              </w:rPr>
            </m:ctrlPr>
          </m:e>
        </m:func>
        <m:r>
          <w:rPr>
            <w:rFonts w:ascii="Cambria Math" w:hAnsi="Cambria Math" w:eastAsiaTheme="minorEastAsia"/>
            <w:lang w:val="en-GB" w:eastAsia="zh-CN"/>
          </w:rPr>
          <m:t>=0.0667deg</m:t>
        </m:r>
      </m:oMath>
      <w:r>
        <w:rPr>
          <w:rFonts w:hint="eastAsia" w:eastAsiaTheme="minorEastAsia"/>
          <w:lang w:val="en-GB" w:eastAsia="zh-CN"/>
        </w:rPr>
        <w:t>.</w:t>
      </w:r>
      <w:r>
        <w:rPr>
          <w:rFonts w:eastAsiaTheme="minorEastAsia"/>
          <w:lang w:val="en-GB" w:eastAsia="zh-CN"/>
        </w:rPr>
        <w:t xml:space="preserve"> </w:t>
      </w:r>
    </w:p>
    <w:p>
      <w:pPr>
        <w:pStyle w:val="3"/>
        <w:spacing w:line="252" w:lineRule="auto"/>
      </w:pPr>
      <w:r>
        <w:object>
          <v:shape id="_x0000_i1026" o:spt="75" type="#_x0000_t75" style="height:193.1pt;width:453.2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3"/>
        <w:spacing w:line="252" w:lineRule="auto"/>
        <w:jc w:val="center"/>
        <w:rPr>
          <w:rFonts w:eastAsiaTheme="minorEastAsia"/>
          <w:lang w:val="en-GB" w:eastAsia="zh-CN"/>
        </w:rPr>
      </w:pPr>
      <w:r>
        <w:rPr>
          <w:rFonts w:eastAsia="等线"/>
          <w:kern w:val="2"/>
          <w:szCs w:val="20"/>
          <w:lang w:eastAsia="zh-CN"/>
        </w:rPr>
        <w:t xml:space="preserve">Fig 2. </w:t>
      </w:r>
      <w:r>
        <w:rPr>
          <w:rFonts w:ascii="Times" w:hAnsi="Times" w:eastAsiaTheme="minorEastAsia"/>
          <w:bCs/>
          <w:lang w:val="en-GB" w:eastAsia="zh-CN"/>
        </w:rPr>
        <w:t>The required satellite beam number</w:t>
      </w:r>
    </w:p>
    <w:p>
      <w:pPr>
        <w:pStyle w:val="3"/>
        <w:spacing w:line="252" w:lineRule="auto"/>
        <w:rPr>
          <w:rFonts w:eastAsiaTheme="minorEastAsia"/>
          <w:lang w:val="en-GB" w:eastAsia="zh-CN"/>
        </w:rPr>
      </w:pPr>
      <w:r>
        <w:rPr>
          <w:rFonts w:eastAsiaTheme="minorEastAsia"/>
          <w:lang w:val="en-GB" w:eastAsia="zh-CN"/>
        </w:rPr>
        <w:t xml:space="preserve">The beam center and beam edge elevation angle of each tier can be derived based on the 3dB beamwidth. For LEO600-set1, the concrete values from the nadir point to the target elevation angle are summarized in Table 2. To cover the target elevation angle of 30 deg, 13 additional tiers of beams are needed. </w:t>
      </w:r>
    </w:p>
    <w:p>
      <w:pPr>
        <w:pStyle w:val="3"/>
        <w:spacing w:after="60" w:line="252" w:lineRule="auto"/>
        <w:jc w:val="center"/>
        <w:rPr>
          <w:rFonts w:eastAsia="等线"/>
          <w:kern w:val="2"/>
          <w:szCs w:val="20"/>
          <w:lang w:eastAsia="zh-CN"/>
        </w:rPr>
      </w:pPr>
      <w:r>
        <w:rPr>
          <w:rFonts w:hint="eastAsia" w:eastAsia="等线"/>
          <w:kern w:val="2"/>
          <w:szCs w:val="20"/>
          <w:lang w:eastAsia="zh-CN"/>
        </w:rPr>
        <w:t>T</w:t>
      </w:r>
      <w:r>
        <w:rPr>
          <w:rFonts w:eastAsia="等线"/>
          <w:kern w:val="2"/>
          <w:szCs w:val="20"/>
          <w:lang w:eastAsia="zh-CN"/>
        </w:rPr>
        <w:t>able 2. Beam center and beam edge elevation angle of each tier for LEO600-set1</w:t>
      </w:r>
    </w:p>
    <w:tbl>
      <w:tblPr>
        <w:tblStyle w:val="21"/>
        <w:tblW w:w="102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666"/>
        <w:gridCol w:w="666"/>
        <w:gridCol w:w="666"/>
        <w:gridCol w:w="666"/>
        <w:gridCol w:w="666"/>
        <w:gridCol w:w="666"/>
        <w:gridCol w:w="666"/>
        <w:gridCol w:w="666"/>
        <w:gridCol w:w="666"/>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Theme="minorEastAsia"/>
                <w:szCs w:val="20"/>
                <w:lang w:val="en-GB" w:eastAsia="zh-CN"/>
              </w:rPr>
              <w:t>Tier</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0</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2</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3</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4</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5</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6</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7</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8</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9</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10</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11</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12</w:t>
            </w:r>
          </w:p>
        </w:tc>
        <w:tc>
          <w:tcPr>
            <w:tcW w:w="666" w:type="dxa"/>
            <w:shd w:val="clear" w:color="auto" w:fill="C5E0B3" w:themeFill="accent6" w:themeFillTint="66"/>
            <w:vAlign w:val="center"/>
          </w:tcPr>
          <w:p>
            <w:pPr>
              <w:pStyle w:val="3"/>
              <w:snapToGrid w:val="0"/>
              <w:spacing w:after="0" w:line="252" w:lineRule="auto"/>
              <w:jc w:val="center"/>
              <w:rPr>
                <w:rFonts w:eastAsia="楷体"/>
                <w:color w:val="000000"/>
                <w:szCs w:val="20"/>
              </w:rPr>
            </w:pPr>
            <w:r>
              <w:rPr>
                <w:rFonts w:eastAsia="楷体"/>
                <w:color w:val="000000"/>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 w:type="dxa"/>
            <w:vAlign w:val="center"/>
          </w:tcPr>
          <w:p>
            <w:pPr>
              <w:pStyle w:val="3"/>
              <w:snapToGrid w:val="0"/>
              <w:spacing w:after="0" w:line="252" w:lineRule="auto"/>
              <w:jc w:val="center"/>
              <w:rPr>
                <w:rFonts w:eastAsiaTheme="minorEastAsia"/>
                <w:szCs w:val="20"/>
                <w:lang w:val="en-GB" w:eastAsia="zh-CN"/>
              </w:rPr>
            </w:pPr>
            <w:r>
              <w:rPr>
                <w:rFonts w:eastAsiaTheme="minorEastAsia"/>
                <w:szCs w:val="20"/>
                <w:lang w:val="en-GB" w:eastAsia="zh-CN"/>
              </w:rPr>
              <w:t xml:space="preserve">Beam centre elevation </w:t>
            </w:r>
            <w:r>
              <w:rPr>
                <w:rFonts w:hint="eastAsia" w:eastAsiaTheme="minorEastAsia"/>
                <w:szCs w:val="20"/>
                <w:lang w:val="en-GB" w:eastAsia="zh-CN"/>
              </w:rPr>
              <w:t>[</w:t>
            </w:r>
            <w:r>
              <w:rPr>
                <w:rFonts w:eastAsiaTheme="minorEastAsia"/>
                <w:szCs w:val="20"/>
                <w:lang w:val="en-GB" w:eastAsia="zh-CN"/>
              </w:rPr>
              <w:t>deg]</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90.00</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85.82</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81.63</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77.44</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73.24</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69.02</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64.77</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60.50</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56.19</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51.83</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47.41</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42.90</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38.27</w:t>
            </w:r>
          </w:p>
        </w:tc>
        <w:tc>
          <w:tcPr>
            <w:tcW w:w="666" w:type="dxa"/>
            <w:vAlign w:val="center"/>
          </w:tcPr>
          <w:p>
            <w:pPr>
              <w:pStyle w:val="3"/>
              <w:snapToGrid w:val="0"/>
              <w:spacing w:after="0" w:line="252" w:lineRule="auto"/>
              <w:jc w:val="center"/>
              <w:rPr>
                <w:rFonts w:eastAsia="楷体"/>
                <w:color w:val="000000"/>
                <w:szCs w:val="20"/>
              </w:rPr>
            </w:pPr>
            <w:r>
              <w:rPr>
                <w:rFonts w:eastAsia="楷体"/>
                <w:color w:val="000000"/>
                <w:szCs w:val="20"/>
              </w:rPr>
              <w:t>33.48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 w:type="dxa"/>
            <w:vAlign w:val="center"/>
          </w:tcPr>
          <w:p>
            <w:pPr>
              <w:pStyle w:val="3"/>
              <w:snapToGrid w:val="0"/>
              <w:spacing w:after="0" w:line="252" w:lineRule="auto"/>
              <w:jc w:val="center"/>
              <w:rPr>
                <w:rFonts w:eastAsiaTheme="minorEastAsia"/>
                <w:szCs w:val="20"/>
                <w:lang w:val="en-GB" w:eastAsia="zh-CN"/>
              </w:rPr>
            </w:pPr>
            <w:r>
              <w:rPr>
                <w:rFonts w:eastAsiaTheme="minorEastAsia"/>
                <w:szCs w:val="20"/>
                <w:lang w:val="en-GB" w:eastAsia="zh-CN"/>
              </w:rPr>
              <w:t>Beam edge elevation [deg]</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87.59</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83.40</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79.21</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75.02</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70.80</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66.57</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62.31</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58.02</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53.68</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49.29</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44.82</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40.25</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35.53</w:t>
            </w:r>
          </w:p>
        </w:tc>
        <w:tc>
          <w:tcPr>
            <w:tcW w:w="666" w:type="dxa"/>
            <w:vAlign w:val="center"/>
          </w:tcPr>
          <w:p>
            <w:pPr>
              <w:pStyle w:val="3"/>
              <w:snapToGrid w:val="0"/>
              <w:spacing w:after="0" w:line="252" w:lineRule="auto"/>
              <w:jc w:val="center"/>
              <w:rPr>
                <w:rFonts w:eastAsia="楷体"/>
                <w:color w:val="000000"/>
                <w:szCs w:val="20"/>
              </w:rPr>
            </w:pPr>
            <w:r>
              <w:rPr>
                <w:rFonts w:eastAsia="楷体"/>
                <w:color w:val="000000"/>
                <w:szCs w:val="20"/>
              </w:rPr>
              <w:t>30.60</w:t>
            </w:r>
          </w:p>
        </w:tc>
      </w:tr>
    </w:tbl>
    <w:p>
      <w:pPr>
        <w:pStyle w:val="3"/>
        <w:snapToGrid w:val="0"/>
        <w:spacing w:after="0" w:line="252" w:lineRule="auto"/>
        <w:rPr>
          <w:rFonts w:eastAsiaTheme="minorEastAsia"/>
          <w:lang w:val="en-GB" w:eastAsia="zh-CN"/>
        </w:rPr>
      </w:pPr>
    </w:p>
    <w:p>
      <w:pPr>
        <w:pStyle w:val="3"/>
        <w:spacing w:line="252" w:lineRule="auto"/>
        <w:rPr>
          <w:rFonts w:eastAsiaTheme="minorEastAsia"/>
          <w:lang w:val="en-GB" w:eastAsia="zh-CN"/>
        </w:rPr>
      </w:pPr>
      <w:r>
        <w:rPr>
          <w:rFonts w:eastAsiaTheme="minorEastAsia"/>
          <w:lang w:val="en-GB" w:eastAsia="zh-CN"/>
        </w:rPr>
        <w:t xml:space="preserve">Regarding the required satellite beam number per tier, it can also be derived based on the 3dB beamwidth. Specifically, as Fig 2 shows, the azimuth angle </w:t>
      </w:r>
      <m:oMath>
        <m:r>
          <w:rPr>
            <w:rFonts w:ascii="Cambria Math" w:hAnsi="Cambria Math" w:eastAsiaTheme="minorEastAsia"/>
            <w:lang w:val="en-GB" w:eastAsia="zh-CN"/>
          </w:rPr>
          <m:t>∆</m:t>
        </m:r>
        <m:r>
          <w:rPr>
            <w:rFonts w:hint="eastAsia" w:ascii="Cambria Math" w:hAnsi="Cambria Math" w:eastAsiaTheme="minorEastAsia"/>
            <w:lang w:val="en-GB" w:eastAsia="zh-CN"/>
          </w:rPr>
          <m:t>Φ</m:t>
        </m:r>
      </m:oMath>
      <w:r>
        <w:rPr>
          <w:rFonts w:eastAsiaTheme="minorEastAsia"/>
          <w:lang w:val="en-GB" w:eastAsia="zh-CN"/>
        </w:rPr>
        <w:t xml:space="preserve"> of each satellite beam on one tier can be calculated based on the 3dB beamwidth. Then, the required beam number per tier is given by </w:t>
      </w:r>
      <m:oMath>
        <m:f>
          <m:fPr>
            <m:type m:val="lin"/>
            <m:ctrlPr>
              <w:rPr>
                <w:rFonts w:ascii="Cambria Math" w:hAnsi="Cambria Math" w:eastAsiaTheme="minorEastAsia"/>
                <w:i/>
                <w:lang w:val="en-GB" w:eastAsia="zh-CN"/>
              </w:rPr>
            </m:ctrlPr>
          </m:fPr>
          <m:num>
            <m:r>
              <w:rPr>
                <w:rFonts w:ascii="Cambria Math" w:hAnsi="Cambria Math" w:eastAsiaTheme="minorEastAsia"/>
                <w:lang w:val="en-GB" w:eastAsia="zh-CN"/>
              </w:rPr>
              <m:t>360</m:t>
            </m:r>
            <m:ctrlPr>
              <w:rPr>
                <w:rFonts w:ascii="Cambria Math" w:hAnsi="Cambria Math" w:eastAsiaTheme="minorEastAsia"/>
                <w:i/>
                <w:lang w:val="en-GB" w:eastAsia="zh-CN"/>
              </w:rPr>
            </m:ctrlPr>
          </m:num>
          <m:den>
            <m:r>
              <w:rPr>
                <w:rFonts w:ascii="Cambria Math" w:hAnsi="Cambria Math" w:eastAsiaTheme="minorEastAsia"/>
                <w:lang w:val="en-GB" w:eastAsia="zh-CN"/>
              </w:rPr>
              <m:t>∆</m:t>
            </m:r>
            <m:r>
              <w:rPr>
                <w:rFonts w:hint="eastAsia" w:ascii="Cambria Math" w:hAnsi="Cambria Math" w:eastAsiaTheme="minorEastAsia"/>
                <w:lang w:val="en-GB" w:eastAsia="zh-CN"/>
              </w:rPr>
              <m:t>Φ</m:t>
            </m:r>
            <m:ctrlPr>
              <w:rPr>
                <w:rFonts w:ascii="Cambria Math" w:hAnsi="Cambria Math" w:eastAsiaTheme="minorEastAsia"/>
                <w:i/>
                <w:lang w:val="en-GB" w:eastAsia="zh-CN"/>
              </w:rPr>
            </m:ctrlPr>
          </m:den>
        </m:f>
      </m:oMath>
      <w:r>
        <w:rPr>
          <w:rFonts w:hint="eastAsia" w:eastAsiaTheme="minorEastAsia"/>
          <w:lang w:val="en-GB" w:eastAsia="zh-CN"/>
        </w:rPr>
        <w:t>.</w:t>
      </w:r>
      <w:r>
        <w:rPr>
          <w:rFonts w:eastAsiaTheme="minorEastAsia"/>
          <w:lang w:val="en-GB" w:eastAsia="zh-CN"/>
        </w:rPr>
        <w:t xml:space="preserve"> For LEO600-set1, the azimuth angle </w:t>
      </w:r>
      <m:oMath>
        <m:r>
          <w:rPr>
            <w:rFonts w:ascii="Cambria Math" w:hAnsi="Cambria Math" w:eastAsiaTheme="minorEastAsia"/>
            <w:lang w:val="en-GB" w:eastAsia="zh-CN"/>
          </w:rPr>
          <m:t>∆</m:t>
        </m:r>
        <m:r>
          <w:rPr>
            <w:rFonts w:hint="eastAsia" w:ascii="Cambria Math" w:hAnsi="Cambria Math" w:eastAsiaTheme="minorEastAsia"/>
            <w:lang w:val="en-GB" w:eastAsia="zh-CN"/>
          </w:rPr>
          <m:t>Φ</m:t>
        </m:r>
      </m:oMath>
      <w:r>
        <w:rPr>
          <w:rFonts w:eastAsiaTheme="minorEastAsia"/>
          <w:lang w:val="en-GB" w:eastAsia="zh-CN"/>
        </w:rPr>
        <w:t xml:space="preserve"> of each satellite beam and the required beam number per tier are listed in Table 3. When the target elevation angle is 30 deg, the total required satellite beam number in the satellite footprint is the sum of the required beam number per tier, i.e., 471.</w:t>
      </w:r>
    </w:p>
    <w:p>
      <w:pPr>
        <w:pStyle w:val="3"/>
        <w:spacing w:after="60" w:line="252" w:lineRule="auto"/>
        <w:jc w:val="center"/>
        <w:rPr>
          <w:rFonts w:eastAsia="等线"/>
          <w:kern w:val="2"/>
          <w:szCs w:val="20"/>
          <w:lang w:eastAsia="zh-CN"/>
        </w:rPr>
      </w:pPr>
      <w:r>
        <w:rPr>
          <w:rFonts w:hint="eastAsia" w:eastAsia="等线"/>
          <w:kern w:val="2"/>
          <w:szCs w:val="20"/>
          <w:lang w:eastAsia="zh-CN"/>
        </w:rPr>
        <w:t>T</w:t>
      </w:r>
      <w:r>
        <w:rPr>
          <w:rFonts w:eastAsia="等线"/>
          <w:kern w:val="2"/>
          <w:szCs w:val="20"/>
          <w:lang w:eastAsia="zh-CN"/>
        </w:rPr>
        <w:t xml:space="preserve">able 3. </w:t>
      </w:r>
      <w:r>
        <w:rPr>
          <w:rFonts w:eastAsiaTheme="minorEastAsia"/>
          <w:lang w:val="en-GB" w:eastAsia="zh-CN"/>
        </w:rPr>
        <w:t xml:space="preserve">The azimuth angle </w:t>
      </w:r>
      <m:oMath>
        <m:r>
          <w:rPr>
            <w:rFonts w:ascii="Cambria Math" w:hAnsi="Cambria Math" w:eastAsiaTheme="minorEastAsia"/>
            <w:lang w:val="en-GB" w:eastAsia="zh-CN"/>
          </w:rPr>
          <m:t>∆</m:t>
        </m:r>
        <m:r>
          <w:rPr>
            <w:rFonts w:hint="eastAsia" w:ascii="Cambria Math" w:hAnsi="Cambria Math" w:eastAsiaTheme="minorEastAsia"/>
            <w:lang w:val="en-GB" w:eastAsia="zh-CN"/>
          </w:rPr>
          <m:t>Φ</m:t>
        </m:r>
      </m:oMath>
      <w:r>
        <w:rPr>
          <w:rFonts w:eastAsiaTheme="minorEastAsia"/>
          <w:lang w:val="en-GB" w:eastAsia="zh-CN"/>
        </w:rPr>
        <w:t xml:space="preserve"> of each satellite beam</w:t>
      </w:r>
      <w:r>
        <w:rPr>
          <w:rFonts w:eastAsia="等线"/>
          <w:kern w:val="2"/>
          <w:szCs w:val="20"/>
          <w:lang w:eastAsia="zh-CN"/>
        </w:rPr>
        <w:t xml:space="preserve"> and required beam number per tier for LEO600-set1</w:t>
      </w:r>
    </w:p>
    <w:tbl>
      <w:tblPr>
        <w:tblStyle w:val="21"/>
        <w:tblW w:w="102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766"/>
        <w:gridCol w:w="666"/>
        <w:gridCol w:w="666"/>
        <w:gridCol w:w="666"/>
        <w:gridCol w:w="666"/>
        <w:gridCol w:w="666"/>
        <w:gridCol w:w="666"/>
        <w:gridCol w:w="651"/>
        <w:gridCol w:w="651"/>
        <w:gridCol w:w="652"/>
        <w:gridCol w:w="652"/>
        <w:gridCol w:w="652"/>
        <w:gridCol w:w="652"/>
        <w:gridCol w:w="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Theme="minorEastAsia"/>
                <w:szCs w:val="20"/>
                <w:lang w:val="en-GB" w:eastAsia="zh-CN"/>
              </w:rPr>
              <w:t>Tier</w:t>
            </w:r>
          </w:p>
        </w:tc>
        <w:tc>
          <w:tcPr>
            <w:tcW w:w="7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0</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2</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3</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4</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5</w:t>
            </w:r>
          </w:p>
        </w:tc>
        <w:tc>
          <w:tcPr>
            <w:tcW w:w="666"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6</w:t>
            </w:r>
          </w:p>
        </w:tc>
        <w:tc>
          <w:tcPr>
            <w:tcW w:w="651"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7</w:t>
            </w:r>
          </w:p>
        </w:tc>
        <w:tc>
          <w:tcPr>
            <w:tcW w:w="651"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8</w:t>
            </w:r>
          </w:p>
        </w:tc>
        <w:tc>
          <w:tcPr>
            <w:tcW w:w="652"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9</w:t>
            </w:r>
          </w:p>
        </w:tc>
        <w:tc>
          <w:tcPr>
            <w:tcW w:w="652"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10</w:t>
            </w:r>
          </w:p>
        </w:tc>
        <w:tc>
          <w:tcPr>
            <w:tcW w:w="652"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11</w:t>
            </w:r>
          </w:p>
        </w:tc>
        <w:tc>
          <w:tcPr>
            <w:tcW w:w="652" w:type="dxa"/>
            <w:shd w:val="clear" w:color="auto" w:fill="C5E0B3" w:themeFill="accent6" w:themeFillTint="66"/>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12</w:t>
            </w:r>
          </w:p>
        </w:tc>
        <w:tc>
          <w:tcPr>
            <w:tcW w:w="652" w:type="dxa"/>
            <w:shd w:val="clear" w:color="auto" w:fill="C5E0B3" w:themeFill="accent6" w:themeFillTint="66"/>
            <w:vAlign w:val="center"/>
          </w:tcPr>
          <w:p>
            <w:pPr>
              <w:pStyle w:val="3"/>
              <w:snapToGrid w:val="0"/>
              <w:spacing w:after="0" w:line="252" w:lineRule="auto"/>
              <w:jc w:val="center"/>
              <w:rPr>
                <w:rFonts w:eastAsia="楷体"/>
                <w:color w:val="000000"/>
                <w:szCs w:val="20"/>
              </w:rPr>
            </w:pPr>
            <w:r>
              <w:rPr>
                <w:rFonts w:eastAsia="楷体"/>
                <w:color w:val="000000"/>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 w:type="dxa"/>
            <w:vAlign w:val="center"/>
          </w:tcPr>
          <w:p>
            <w:pPr>
              <w:pStyle w:val="3"/>
              <w:snapToGrid w:val="0"/>
              <w:spacing w:after="0" w:line="252" w:lineRule="auto"/>
              <w:jc w:val="center"/>
              <w:rPr>
                <w:rFonts w:eastAsiaTheme="minorEastAsia"/>
                <w:szCs w:val="20"/>
                <w:lang w:val="en-GB" w:eastAsia="zh-CN"/>
              </w:rPr>
            </w:pPr>
            <m:oMathPara>
              <m:oMath>
                <m:r>
                  <w:rPr>
                    <w:rFonts w:ascii="Cambria Math" w:hAnsi="Cambria Math" w:eastAsiaTheme="minorEastAsia"/>
                    <w:lang w:val="en-GB" w:eastAsia="zh-CN"/>
                  </w:rPr>
                  <m:t>∆</m:t>
                </m:r>
                <m:r>
                  <w:rPr>
                    <w:rFonts w:hint="eastAsia" w:ascii="Cambria Math" w:hAnsi="Cambria Math" w:eastAsiaTheme="minorEastAsia"/>
                    <w:lang w:val="en-GB" w:eastAsia="zh-CN"/>
                  </w:rPr>
                  <m:t>Φ</m:t>
                </m:r>
              </m:oMath>
            </m:oMathPara>
          </w:p>
        </w:tc>
        <w:tc>
          <w:tcPr>
            <w:tcW w:w="7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360.00 </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60.07 </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32.32 </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21.95 </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16.63 </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13.43 </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11.30 </w:t>
            </w:r>
          </w:p>
        </w:tc>
        <w:tc>
          <w:tcPr>
            <w:tcW w:w="651"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9.79 </w:t>
            </w:r>
          </w:p>
        </w:tc>
        <w:tc>
          <w:tcPr>
            <w:tcW w:w="651"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8.67 </w:t>
            </w:r>
          </w:p>
        </w:tc>
        <w:tc>
          <w:tcPr>
            <w:tcW w:w="652"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7.81 </w:t>
            </w:r>
          </w:p>
        </w:tc>
        <w:tc>
          <w:tcPr>
            <w:tcW w:w="652"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7.13 </w:t>
            </w:r>
          </w:p>
        </w:tc>
        <w:tc>
          <w:tcPr>
            <w:tcW w:w="652"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6.59 </w:t>
            </w:r>
          </w:p>
        </w:tc>
        <w:tc>
          <w:tcPr>
            <w:tcW w:w="652"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 xml:space="preserve">6.15 </w:t>
            </w:r>
          </w:p>
        </w:tc>
        <w:tc>
          <w:tcPr>
            <w:tcW w:w="652" w:type="dxa"/>
            <w:vAlign w:val="center"/>
          </w:tcPr>
          <w:p>
            <w:pPr>
              <w:pStyle w:val="3"/>
              <w:snapToGrid w:val="0"/>
              <w:spacing w:after="0" w:line="252" w:lineRule="auto"/>
              <w:jc w:val="center"/>
              <w:rPr>
                <w:rFonts w:eastAsia="楷体"/>
                <w:color w:val="000000"/>
                <w:szCs w:val="20"/>
              </w:rPr>
            </w:pPr>
            <w:r>
              <w:rPr>
                <w:rFonts w:eastAsia="楷体"/>
                <w:color w:val="000000"/>
                <w:szCs w:val="20"/>
              </w:rPr>
              <w:t xml:space="preserve">5.79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 w:type="dxa"/>
            <w:vAlign w:val="center"/>
          </w:tcPr>
          <w:p>
            <w:pPr>
              <w:pStyle w:val="3"/>
              <w:snapToGrid w:val="0"/>
              <w:spacing w:after="0" w:line="252" w:lineRule="auto"/>
              <w:jc w:val="center"/>
              <w:rPr>
                <w:rFonts w:eastAsiaTheme="minorEastAsia"/>
                <w:szCs w:val="20"/>
                <w:lang w:val="en-GB" w:eastAsia="zh-CN"/>
              </w:rPr>
            </w:pPr>
            <w:r>
              <w:rPr>
                <w:rFonts w:eastAsiaTheme="minorEastAsia"/>
                <w:szCs w:val="20"/>
                <w:lang w:val="en-GB" w:eastAsia="zh-CN"/>
              </w:rPr>
              <w:t>Required beam number per tier</w:t>
            </w:r>
          </w:p>
        </w:tc>
        <w:tc>
          <w:tcPr>
            <w:tcW w:w="7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6</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12</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17</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22</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27</w:t>
            </w:r>
          </w:p>
        </w:tc>
        <w:tc>
          <w:tcPr>
            <w:tcW w:w="666"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32</w:t>
            </w:r>
          </w:p>
        </w:tc>
        <w:tc>
          <w:tcPr>
            <w:tcW w:w="651"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37</w:t>
            </w:r>
          </w:p>
        </w:tc>
        <w:tc>
          <w:tcPr>
            <w:tcW w:w="651"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42</w:t>
            </w:r>
          </w:p>
        </w:tc>
        <w:tc>
          <w:tcPr>
            <w:tcW w:w="652"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47</w:t>
            </w:r>
          </w:p>
        </w:tc>
        <w:tc>
          <w:tcPr>
            <w:tcW w:w="652"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51</w:t>
            </w:r>
          </w:p>
        </w:tc>
        <w:tc>
          <w:tcPr>
            <w:tcW w:w="652"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55</w:t>
            </w:r>
          </w:p>
        </w:tc>
        <w:tc>
          <w:tcPr>
            <w:tcW w:w="652" w:type="dxa"/>
            <w:vAlign w:val="center"/>
          </w:tcPr>
          <w:p>
            <w:pPr>
              <w:pStyle w:val="3"/>
              <w:snapToGrid w:val="0"/>
              <w:spacing w:after="0" w:line="252" w:lineRule="auto"/>
              <w:jc w:val="center"/>
              <w:rPr>
                <w:rFonts w:eastAsiaTheme="minorEastAsia"/>
                <w:szCs w:val="20"/>
                <w:lang w:val="en-GB" w:eastAsia="zh-CN"/>
              </w:rPr>
            </w:pPr>
            <w:r>
              <w:rPr>
                <w:rFonts w:eastAsia="楷体"/>
                <w:color w:val="000000"/>
                <w:szCs w:val="20"/>
              </w:rPr>
              <w:t>59</w:t>
            </w:r>
          </w:p>
        </w:tc>
        <w:tc>
          <w:tcPr>
            <w:tcW w:w="652" w:type="dxa"/>
            <w:vAlign w:val="center"/>
          </w:tcPr>
          <w:p>
            <w:pPr>
              <w:pStyle w:val="3"/>
              <w:snapToGrid w:val="0"/>
              <w:spacing w:after="0" w:line="252" w:lineRule="auto"/>
              <w:jc w:val="center"/>
              <w:rPr>
                <w:rFonts w:eastAsia="楷体"/>
                <w:color w:val="000000"/>
                <w:szCs w:val="20"/>
              </w:rPr>
            </w:pPr>
            <w:r>
              <w:rPr>
                <w:rFonts w:eastAsia="楷体"/>
                <w:color w:val="000000"/>
                <w:szCs w:val="20"/>
              </w:rPr>
              <w:t>63</w:t>
            </w:r>
          </w:p>
        </w:tc>
      </w:tr>
    </w:tbl>
    <w:p>
      <w:pPr>
        <w:pStyle w:val="3"/>
        <w:snapToGrid w:val="0"/>
        <w:spacing w:after="0" w:line="252" w:lineRule="auto"/>
        <w:rPr>
          <w:rFonts w:eastAsiaTheme="minorEastAsia"/>
          <w:lang w:val="en-GB" w:eastAsia="zh-CN"/>
        </w:rPr>
      </w:pPr>
    </w:p>
    <w:p>
      <w:pPr>
        <w:pStyle w:val="3"/>
        <w:spacing w:line="252" w:lineRule="auto"/>
        <w:rPr>
          <w:rFonts w:ascii="Times" w:hAnsi="Times" w:eastAsiaTheme="minorEastAsia"/>
          <w:b/>
          <w:lang w:val="en-GB" w:eastAsia="zh-CN"/>
        </w:rPr>
      </w:pPr>
      <w:r>
        <w:rPr>
          <w:rFonts w:hint="eastAsia" w:ascii="Times" w:hAnsi="Times" w:eastAsiaTheme="minorEastAsia"/>
          <w:b/>
          <w:lang w:val="en-GB" w:eastAsia="zh-CN"/>
        </w:rPr>
        <w:t>Pro</w:t>
      </w:r>
      <w:r>
        <w:rPr>
          <w:rFonts w:ascii="Times" w:hAnsi="Times" w:eastAsiaTheme="minorEastAsia"/>
          <w:b/>
          <w:lang w:val="en-GB" w:eastAsia="zh-CN"/>
        </w:rPr>
        <w:t xml:space="preserve">posal 2: For the required satellite beam number in system-level evaluation, two options can be further discussed: opt 1) </w:t>
      </w:r>
      <w:r>
        <w:rPr>
          <w:rFonts w:ascii="Times" w:hAnsi="Times" w:eastAsiaTheme="minorEastAsia"/>
          <w:b/>
          <w:bCs/>
          <w:lang w:val="en-GB" w:eastAsia="zh-CN"/>
        </w:rPr>
        <w:t>fixed beam area and opt 2) fixed beamwidth.</w:t>
      </w:r>
    </w:p>
    <w:p>
      <w:pPr>
        <w:pStyle w:val="3"/>
        <w:spacing w:line="252" w:lineRule="auto"/>
        <w:rPr>
          <w:rFonts w:eastAsiaTheme="minorEastAsia"/>
          <w:lang w:val="en-GB" w:eastAsia="zh-CN"/>
        </w:rPr>
      </w:pPr>
      <w:r>
        <w:rPr>
          <w:rFonts w:eastAsiaTheme="minorEastAsia"/>
          <w:lang w:val="en-GB" w:eastAsia="zh-CN"/>
        </w:rPr>
        <w:t xml:space="preserve">After the total required satellite beam number </w:t>
      </w:r>
      <m:oMath>
        <m:r>
          <w:rPr>
            <w:rFonts w:ascii="Cambria Math" w:hAnsi="Cambria Math" w:eastAsiaTheme="minorEastAsia"/>
            <w:lang w:val="en-GB" w:eastAsia="zh-CN"/>
          </w:rPr>
          <m:t>M</m:t>
        </m:r>
      </m:oMath>
      <w:r>
        <w:rPr>
          <w:rFonts w:eastAsiaTheme="minorEastAsia"/>
          <w:lang w:val="en-GB" w:eastAsia="zh-CN"/>
        </w:rPr>
        <w:t xml:space="preserve"> in system-level evaluation is determined, the following steps are used to evaluate the performance gain of dynamic/flexible beam hopping relative to semi-static beam hopping. For simplicity, only 19 satellite beams of the total </w:t>
      </w:r>
      <m:oMath>
        <m:r>
          <w:rPr>
            <w:rFonts w:ascii="Cambria Math" w:hAnsi="Cambria Math" w:eastAsiaTheme="minorEastAsia"/>
            <w:lang w:val="en-GB" w:eastAsia="zh-CN"/>
          </w:rPr>
          <m:t>M</m:t>
        </m:r>
      </m:oMath>
      <w:r>
        <w:rPr>
          <w:rFonts w:hint="eastAsia" w:eastAsiaTheme="minorEastAsia"/>
          <w:lang w:val="en-GB" w:eastAsia="zh-CN"/>
        </w:rPr>
        <w:t xml:space="preserve"> </w:t>
      </w:r>
      <w:r>
        <w:rPr>
          <w:rFonts w:eastAsiaTheme="minorEastAsia"/>
          <w:lang w:val="en-GB" w:eastAsia="zh-CN"/>
        </w:rPr>
        <w:t>satellite beams are considered in our system-level simulation.</w:t>
      </w:r>
    </w:p>
    <w:p>
      <w:pPr>
        <w:pStyle w:val="3"/>
        <w:spacing w:line="252" w:lineRule="auto"/>
        <w:rPr>
          <w:rFonts w:eastAsiaTheme="minorEastAsia"/>
          <w:lang w:val="en-GB" w:eastAsia="zh-CN"/>
        </w:rPr>
      </w:pPr>
      <w:r>
        <w:rPr>
          <w:rFonts w:eastAsiaTheme="minorEastAsia"/>
          <w:lang w:val="en-GB" w:eastAsia="zh-CN"/>
        </w:rPr>
        <w:t>S</w:t>
      </w:r>
      <w:r>
        <w:rPr>
          <w:rFonts w:hint="eastAsia" w:eastAsiaTheme="minorEastAsia"/>
          <w:lang w:val="en-GB" w:eastAsia="zh-CN"/>
        </w:rPr>
        <w:t>t</w:t>
      </w:r>
      <w:r>
        <w:rPr>
          <w:rFonts w:eastAsiaTheme="minorEastAsia"/>
          <w:lang w:val="en-GB" w:eastAsia="zh-CN"/>
        </w:rPr>
        <w:t xml:space="preserve">ep 1: Assume that the </w:t>
      </w:r>
      <w:r>
        <w:rPr>
          <w:rFonts w:hint="eastAsia" w:eastAsiaTheme="minorEastAsia"/>
          <w:lang w:val="en-GB" w:eastAsia="zh-CN"/>
        </w:rPr>
        <w:t>ac</w:t>
      </w:r>
      <w:r>
        <w:rPr>
          <w:rFonts w:eastAsiaTheme="minorEastAsia"/>
          <w:lang w:val="en-GB" w:eastAsia="zh-CN"/>
        </w:rPr>
        <w:t xml:space="preserve">tive beam number of the satellite at a given time is </w:t>
      </w:r>
      <m:oMath>
        <m:r>
          <w:rPr>
            <w:rFonts w:ascii="Cambria Math" w:hAnsi="Cambria Math" w:eastAsiaTheme="minorEastAsia"/>
            <w:lang w:val="en-GB" w:eastAsia="zh-CN"/>
          </w:rPr>
          <m:t>N</m:t>
        </m:r>
      </m:oMath>
      <w:r>
        <w:rPr>
          <w:rFonts w:eastAsiaTheme="minorEastAsia"/>
          <w:lang w:val="en-GB" w:eastAsia="zh-CN"/>
        </w:rPr>
        <w:t xml:space="preserve">, e.g., </w:t>
      </w:r>
      <m:oMath>
        <m:r>
          <w:rPr>
            <w:rFonts w:ascii="Cambria Math" w:hAnsi="Cambria Math" w:eastAsiaTheme="minorEastAsia"/>
            <w:lang w:val="en-GB" w:eastAsia="zh-CN"/>
          </w:rPr>
          <m:t>N=1/4/16</m:t>
        </m:r>
      </m:oMath>
      <w:r>
        <w:rPr>
          <w:rFonts w:eastAsiaTheme="minorEastAsia"/>
          <w:lang w:val="en-GB" w:eastAsia="zh-CN"/>
        </w:rPr>
        <w:t xml:space="preserve">, and the active time duration per satellite beam is </w:t>
      </w:r>
      <m:oMath>
        <m:r>
          <w:rPr>
            <w:rFonts w:ascii="Cambria Math" w:hAnsi="Cambria Math" w:eastAsiaTheme="minorEastAsia"/>
            <w:lang w:val="en-GB" w:eastAsia="zh-CN"/>
          </w:rPr>
          <m:t>X</m:t>
        </m:r>
      </m:oMath>
      <w:r>
        <w:rPr>
          <w:rFonts w:hint="eastAsia" w:eastAsiaTheme="minorEastAsia"/>
          <w:lang w:val="en-GB" w:eastAsia="zh-CN"/>
        </w:rPr>
        <w:t xml:space="preserve"> </w:t>
      </w:r>
      <w:r>
        <w:rPr>
          <w:rFonts w:eastAsiaTheme="minorEastAsia"/>
          <w:lang w:val="en-GB" w:eastAsia="zh-CN"/>
        </w:rPr>
        <w:t xml:space="preserve">slots, e.g., </w:t>
      </w:r>
      <m:oMath>
        <m:r>
          <w:rPr>
            <w:rFonts w:ascii="Cambria Math" w:hAnsi="Cambria Math" w:eastAsiaTheme="minorEastAsia"/>
            <w:lang w:val="en-GB" w:eastAsia="zh-CN"/>
          </w:rPr>
          <m:t>X=1</m:t>
        </m:r>
      </m:oMath>
      <w:r>
        <w:rPr>
          <w:rFonts w:hint="eastAsia" w:eastAsiaTheme="minorEastAsia"/>
          <w:lang w:val="en-GB" w:eastAsia="zh-CN"/>
        </w:rPr>
        <w:t>.</w:t>
      </w:r>
    </w:p>
    <w:p>
      <w:pPr>
        <w:pStyle w:val="3"/>
        <w:spacing w:line="252" w:lineRule="auto"/>
        <w:rPr>
          <w:rFonts w:eastAsiaTheme="minorEastAsia"/>
          <w:lang w:val="en-GB" w:eastAsia="zh-CN"/>
        </w:rPr>
      </w:pPr>
      <w:r>
        <w:rPr>
          <w:rFonts w:hint="eastAsia" w:eastAsiaTheme="minorEastAsia"/>
          <w:lang w:val="en-GB" w:eastAsia="zh-CN"/>
        </w:rPr>
        <w:t>S</w:t>
      </w:r>
      <w:r>
        <w:rPr>
          <w:rFonts w:eastAsiaTheme="minorEastAsia"/>
          <w:lang w:val="en-GB" w:eastAsia="zh-CN"/>
        </w:rPr>
        <w:t>tep 2: Perform system-level simulation with semi-static/dynamic beam-hopping pattern.</w:t>
      </w:r>
    </w:p>
    <w:p>
      <w:pPr>
        <w:pStyle w:val="3"/>
        <w:numPr>
          <w:ilvl w:val="0"/>
          <w:numId w:val="10"/>
        </w:numPr>
        <w:spacing w:line="252" w:lineRule="auto"/>
        <w:rPr>
          <w:rFonts w:eastAsiaTheme="minorEastAsia"/>
          <w:lang w:val="en-GB" w:eastAsia="zh-CN"/>
        </w:rPr>
      </w:pPr>
      <w:r>
        <w:rPr>
          <w:rFonts w:eastAsiaTheme="minorEastAsia"/>
          <w:lang w:val="en-GB" w:eastAsia="zh-CN"/>
        </w:rPr>
        <w:t xml:space="preserve">Step 2-1: For semi-static beam hopping, the beam </w:t>
      </w:r>
      <w:r>
        <w:rPr>
          <w:rFonts w:hint="eastAsia" w:eastAsiaTheme="minorEastAsia"/>
          <w:lang w:val="en-GB" w:eastAsia="zh-CN"/>
        </w:rPr>
        <w:t>hopping</w:t>
      </w:r>
      <w:r>
        <w:rPr>
          <w:rFonts w:eastAsiaTheme="minorEastAsia"/>
          <w:lang w:val="en-GB" w:eastAsia="zh-CN"/>
        </w:rPr>
        <w:t xml:space="preserve"> period is </w:t>
      </w:r>
      <m:oMath>
        <m:r>
          <w:rPr>
            <w:rFonts w:ascii="Cambria Math" w:hAnsi="Cambria Math" w:eastAsiaTheme="minorEastAsia"/>
            <w:lang w:val="en-GB" w:eastAsia="zh-CN"/>
          </w:rPr>
          <m:t>T=N∙X</m:t>
        </m:r>
      </m:oMath>
      <w:r>
        <w:rPr>
          <w:rFonts w:hint="eastAsia" w:eastAsiaTheme="minorEastAsia"/>
          <w:lang w:val="en-GB" w:eastAsia="zh-CN"/>
        </w:rPr>
        <w:t>,</w:t>
      </w:r>
      <w:r>
        <w:rPr>
          <w:rFonts w:eastAsiaTheme="minorEastAsia"/>
          <w:lang w:val="en-GB" w:eastAsia="zh-CN"/>
        </w:rPr>
        <w:t xml:space="preserve"> the total </w:t>
      </w:r>
      <m:oMath>
        <m:r>
          <w:rPr>
            <w:rFonts w:ascii="Cambria Math" w:hAnsi="Cambria Math" w:eastAsiaTheme="minorEastAsia"/>
            <w:lang w:val="en-GB" w:eastAsia="zh-CN"/>
          </w:rPr>
          <m:t>M</m:t>
        </m:r>
      </m:oMath>
      <w:r>
        <w:rPr>
          <w:rFonts w:hint="eastAsia" w:eastAsiaTheme="minorEastAsia"/>
          <w:lang w:val="en-GB" w:eastAsia="zh-CN"/>
        </w:rPr>
        <w:t xml:space="preserve"> </w:t>
      </w:r>
      <w:r>
        <w:rPr>
          <w:rFonts w:eastAsiaTheme="minorEastAsia"/>
          <w:lang w:val="en-GB" w:eastAsia="zh-CN"/>
        </w:rPr>
        <w:t>satellite beams are illuminated in sequence within the beam hopping period.</w:t>
      </w:r>
    </w:p>
    <w:p>
      <w:pPr>
        <w:pStyle w:val="3"/>
        <w:numPr>
          <w:ilvl w:val="0"/>
          <w:numId w:val="10"/>
        </w:numPr>
        <w:spacing w:line="252" w:lineRule="auto"/>
        <w:rPr>
          <w:rFonts w:eastAsiaTheme="minorEastAsia"/>
          <w:lang w:val="en-GB" w:eastAsia="zh-CN"/>
        </w:rPr>
      </w:pPr>
      <w:r>
        <w:rPr>
          <w:rFonts w:hint="eastAsia" w:eastAsiaTheme="minorEastAsia"/>
          <w:lang w:val="en-GB" w:eastAsia="zh-CN"/>
        </w:rPr>
        <w:t>S</w:t>
      </w:r>
      <w:r>
        <w:rPr>
          <w:rFonts w:eastAsiaTheme="minorEastAsia"/>
          <w:lang w:val="en-GB" w:eastAsia="zh-CN"/>
        </w:rPr>
        <w:t>tep 2-2: For dynamic beam hopping, the potential satellite beams are illuminated by contention based scheduling scheme when the packet is arriving.</w:t>
      </w:r>
    </w:p>
    <w:p>
      <w:pPr>
        <w:pStyle w:val="3"/>
        <w:spacing w:line="252" w:lineRule="auto"/>
        <w:rPr>
          <w:rFonts w:eastAsiaTheme="minorEastAsia"/>
          <w:lang w:eastAsia="zh-CN"/>
        </w:rPr>
      </w:pPr>
      <w:r>
        <w:rPr>
          <w:rFonts w:eastAsiaTheme="minorEastAsia"/>
          <w:lang w:val="en-GB" w:eastAsia="zh-CN"/>
        </w:rPr>
        <w:t xml:space="preserve">According to the above simulation procedure, the </w:t>
      </w:r>
      <w:bookmarkStart w:id="5" w:name="_Hlk158452934"/>
      <m:oMath>
        <m:r>
          <w:rPr>
            <w:rFonts w:ascii="Cambria Math" w:hAnsi="Cambria Math" w:eastAsiaTheme="minorEastAsia"/>
            <w:lang w:val="en-GB" w:eastAsia="zh-CN"/>
          </w:rPr>
          <m:t>ρ</m:t>
        </m:r>
      </m:oMath>
      <w:r>
        <w:rPr>
          <w:rFonts w:eastAsiaTheme="minorEastAsia"/>
          <w:lang w:val="en-GB" w:eastAsia="zh-CN"/>
        </w:rPr>
        <w:t xml:space="preserve"> (Ratio of mean served cell throughput and offered cell throughput, see TR36.889 [3])</w:t>
      </w:r>
      <w:bookmarkEnd w:id="5"/>
      <w:r>
        <w:rPr>
          <w:rFonts w:eastAsiaTheme="minorEastAsia"/>
          <w:lang w:val="en-GB" w:eastAsia="zh-CN"/>
        </w:rPr>
        <w:t xml:space="preserve"> comparison results between semi-static beam hopping and dynamic beam hopping are captured in Table 4. </w:t>
      </w:r>
      <w:r>
        <w:rPr>
          <w:rFonts w:eastAsiaTheme="minorEastAsia"/>
          <w:lang w:eastAsia="zh-CN"/>
        </w:rPr>
        <w:t xml:space="preserve">The SLS assumptions listed in Table 6.1.1.1-7 in TR 38.821 are taken as baseline, except the UE antenna gain of -5.5dBi and the FTP3 traffic model with packet size of 1kbits and </w:t>
      </w:r>
      <w:r>
        <w:rPr>
          <w:rFonts w:ascii="Times" w:hAnsi="Times" w:eastAsia="Batang"/>
          <w:iCs/>
          <w:szCs w:val="20"/>
          <w:lang w:val="en-GB"/>
        </w:rPr>
        <w:t>mean inter-arrival time of 200ms.</w:t>
      </w:r>
      <w:r>
        <w:rPr>
          <w:rFonts w:eastAsiaTheme="minorEastAsia"/>
          <w:lang w:eastAsia="zh-CN"/>
        </w:rPr>
        <w:t xml:space="preserve"> </w:t>
      </w:r>
    </w:p>
    <w:p>
      <w:pPr>
        <w:pStyle w:val="3"/>
        <w:spacing w:after="60" w:line="252" w:lineRule="auto"/>
        <w:jc w:val="center"/>
        <w:rPr>
          <w:rFonts w:eastAsia="等线"/>
          <w:kern w:val="2"/>
          <w:szCs w:val="20"/>
          <w:lang w:eastAsia="zh-CN"/>
        </w:rPr>
      </w:pPr>
      <w:r>
        <w:rPr>
          <w:rFonts w:hint="eastAsia" w:eastAsia="等线"/>
          <w:kern w:val="2"/>
          <w:szCs w:val="20"/>
          <w:lang w:eastAsia="zh-CN"/>
        </w:rPr>
        <w:t>T</w:t>
      </w:r>
      <w:r>
        <w:rPr>
          <w:rFonts w:eastAsia="等线"/>
          <w:kern w:val="2"/>
          <w:szCs w:val="20"/>
          <w:lang w:eastAsia="zh-CN"/>
        </w:rPr>
        <w:t xml:space="preserve">able 4. </w:t>
      </w:r>
      <w:r>
        <w:rPr>
          <w:rFonts w:eastAsiaTheme="minorEastAsia"/>
          <w:lang w:val="en-GB" w:eastAsia="zh-CN"/>
        </w:rPr>
        <w:t xml:space="preserve">The </w:t>
      </w:r>
      <m:oMath>
        <m:r>
          <w:rPr>
            <w:rFonts w:ascii="Cambria Math" w:hAnsi="Cambria Math" w:eastAsiaTheme="minorEastAsia"/>
            <w:lang w:val="en-GB" w:eastAsia="zh-CN"/>
          </w:rPr>
          <m:t>ρ</m:t>
        </m:r>
      </m:oMath>
      <w:r>
        <w:rPr>
          <w:rFonts w:eastAsiaTheme="minorEastAsia"/>
          <w:lang w:val="en-GB" w:eastAsia="zh-CN"/>
        </w:rPr>
        <w:t xml:space="preserve"> comparison results between semi-static beam hopping and dynamic beam hopping</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1294"/>
        <w:gridCol w:w="1294"/>
        <w:gridCol w:w="1295"/>
        <w:gridCol w:w="1295"/>
        <w:gridCol w:w="1295"/>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shd w:val="clear" w:color="auto" w:fill="C5E0B3" w:themeFill="accent6" w:themeFillTint="66"/>
            <w:vAlign w:val="center"/>
          </w:tcPr>
          <w:p>
            <w:pPr>
              <w:pStyle w:val="3"/>
              <w:spacing w:line="252" w:lineRule="auto"/>
              <w:jc w:val="center"/>
              <w:rPr>
                <w:rFonts w:eastAsiaTheme="minorEastAsia"/>
                <w:lang w:eastAsia="zh-CN"/>
              </w:rPr>
            </w:pPr>
            <w:r>
              <w:rPr>
                <w:rFonts w:eastAsiaTheme="minorEastAsia"/>
                <w:lang w:eastAsia="zh-CN"/>
              </w:rPr>
              <w:t>Target elevation angle</w:t>
            </w:r>
          </w:p>
        </w:tc>
        <w:tc>
          <w:tcPr>
            <w:tcW w:w="1294" w:type="dxa"/>
            <w:shd w:val="clear" w:color="auto" w:fill="C5E0B3" w:themeFill="accent6" w:themeFillTint="66"/>
            <w:vAlign w:val="center"/>
          </w:tcPr>
          <w:p>
            <w:pPr>
              <w:pStyle w:val="3"/>
              <w:spacing w:line="252" w:lineRule="auto"/>
              <w:jc w:val="center"/>
              <w:rPr>
                <w:rFonts w:eastAsiaTheme="minorEastAsia"/>
                <w:lang w:eastAsia="zh-CN"/>
              </w:rPr>
            </w:pPr>
            <w:r>
              <w:rPr>
                <w:rFonts w:eastAsiaTheme="minorEastAsia"/>
                <w:lang w:eastAsia="zh-CN"/>
              </w:rPr>
              <w:t>Beam layout method</w:t>
            </w:r>
          </w:p>
        </w:tc>
        <w:tc>
          <w:tcPr>
            <w:tcW w:w="1294" w:type="dxa"/>
            <w:shd w:val="clear" w:color="auto" w:fill="C5E0B3" w:themeFill="accent6" w:themeFillTint="66"/>
            <w:vAlign w:val="center"/>
          </w:tcPr>
          <w:p>
            <w:pPr>
              <w:pStyle w:val="3"/>
              <w:spacing w:line="252" w:lineRule="auto"/>
              <w:jc w:val="center"/>
              <w:rPr>
                <w:rFonts w:eastAsiaTheme="minorEastAsia"/>
                <w:lang w:eastAsia="zh-CN"/>
              </w:rPr>
            </w:pPr>
            <w:r>
              <w:rPr>
                <w:rFonts w:eastAsiaTheme="minorEastAsia"/>
                <w:lang w:eastAsia="zh-CN"/>
              </w:rPr>
              <w:t xml:space="preserve">Total required beam number </w:t>
            </w:r>
            <w:r>
              <w:rPr>
                <w:rFonts w:hint="eastAsia" w:eastAsiaTheme="minorEastAsia"/>
                <w:lang w:eastAsia="zh-CN"/>
              </w:rPr>
              <w:t>(</w:t>
            </w:r>
            <m:oMath>
              <m:r>
                <w:rPr>
                  <w:rFonts w:ascii="Cambria Math" w:hAnsi="Cambria Math" w:eastAsiaTheme="minorEastAsia"/>
                  <w:lang w:val="en-GB" w:eastAsia="zh-CN"/>
                </w:rPr>
                <m:t>M</m:t>
              </m:r>
            </m:oMath>
            <w:r>
              <w:rPr>
                <w:rFonts w:hint="eastAsia" w:eastAsiaTheme="minorEastAsia"/>
                <w:lang w:val="en-GB" w:eastAsia="zh-CN"/>
              </w:rPr>
              <w:t>)</w:t>
            </w:r>
          </w:p>
        </w:tc>
        <w:tc>
          <w:tcPr>
            <w:tcW w:w="1295" w:type="dxa"/>
            <w:shd w:val="clear" w:color="auto" w:fill="C5E0B3" w:themeFill="accent6" w:themeFillTint="66"/>
            <w:vAlign w:val="center"/>
          </w:tcPr>
          <w:p>
            <w:pPr>
              <w:pStyle w:val="3"/>
              <w:spacing w:line="252" w:lineRule="auto"/>
              <w:jc w:val="center"/>
              <w:rPr>
                <w:rFonts w:eastAsiaTheme="minorEastAsia"/>
                <w:lang w:eastAsia="zh-CN"/>
              </w:rPr>
            </w:pPr>
            <w:r>
              <w:rPr>
                <w:rFonts w:eastAsiaTheme="minorEastAsia"/>
                <w:lang w:eastAsia="zh-CN"/>
              </w:rPr>
              <w:t xml:space="preserve">Active beam number at a given time </w:t>
            </w:r>
            <w:r>
              <w:rPr>
                <w:rFonts w:hint="eastAsia" w:eastAsiaTheme="minorEastAsia"/>
                <w:lang w:eastAsia="zh-CN"/>
              </w:rPr>
              <w:t>(</w:t>
            </w:r>
            <m:oMath>
              <m:r>
                <w:rPr>
                  <w:rFonts w:ascii="Cambria Math" w:hAnsi="Cambria Math" w:eastAsiaTheme="minorEastAsia"/>
                  <w:lang w:val="en-GB" w:eastAsia="zh-CN"/>
                </w:rPr>
                <m:t>N</m:t>
              </m:r>
            </m:oMath>
            <w:r>
              <w:rPr>
                <w:rFonts w:hint="eastAsia" w:eastAsiaTheme="minorEastAsia"/>
                <w:lang w:val="en-GB" w:eastAsia="zh-CN"/>
              </w:rPr>
              <w:t>)</w:t>
            </w:r>
          </w:p>
        </w:tc>
        <w:tc>
          <w:tcPr>
            <w:tcW w:w="1295" w:type="dxa"/>
            <w:shd w:val="clear" w:color="auto" w:fill="C5E0B3" w:themeFill="accent6" w:themeFillTint="66"/>
            <w:vAlign w:val="center"/>
          </w:tcPr>
          <w:p>
            <w:pPr>
              <w:pStyle w:val="3"/>
              <w:spacing w:line="252" w:lineRule="auto"/>
              <w:jc w:val="center"/>
              <w:rPr>
                <w:rFonts w:eastAsiaTheme="minorEastAsia"/>
                <w:lang w:eastAsia="zh-CN"/>
              </w:rPr>
            </w:pPr>
            <w:r>
              <w:rPr>
                <w:rFonts w:eastAsiaTheme="minorEastAsia"/>
                <w:lang w:val="en-GB" w:eastAsia="zh-CN"/>
              </w:rPr>
              <w:t xml:space="preserve">beam </w:t>
            </w:r>
            <w:r>
              <w:rPr>
                <w:rFonts w:hint="eastAsia" w:eastAsiaTheme="minorEastAsia"/>
                <w:lang w:val="en-GB" w:eastAsia="zh-CN"/>
              </w:rPr>
              <w:t>hopping</w:t>
            </w:r>
            <w:r>
              <w:rPr>
                <w:rFonts w:eastAsiaTheme="minorEastAsia"/>
                <w:lang w:val="en-GB" w:eastAsia="zh-CN"/>
              </w:rPr>
              <w:t xml:space="preserve"> period (</w:t>
            </w:r>
            <m:oMath>
              <m:r>
                <w:rPr>
                  <w:rFonts w:ascii="Cambria Math" w:hAnsi="Cambria Math" w:eastAsiaTheme="minorEastAsia"/>
                  <w:lang w:val="en-GB" w:eastAsia="zh-CN"/>
                </w:rPr>
                <m:t>T</m:t>
              </m:r>
            </m:oMath>
            <w:r>
              <w:rPr>
                <w:rFonts w:eastAsiaTheme="minorEastAsia"/>
                <w:lang w:val="en-GB" w:eastAsia="zh-CN"/>
              </w:rPr>
              <w:t>)</w:t>
            </w:r>
          </w:p>
        </w:tc>
        <w:tc>
          <w:tcPr>
            <w:tcW w:w="1295" w:type="dxa"/>
            <w:shd w:val="clear" w:color="auto" w:fill="C5E0B3" w:themeFill="accent6" w:themeFillTint="66"/>
            <w:vAlign w:val="center"/>
          </w:tcPr>
          <w:p>
            <w:pPr>
              <w:pStyle w:val="3"/>
              <w:spacing w:line="252" w:lineRule="auto"/>
              <w:jc w:val="center"/>
              <w:rPr>
                <w:rFonts w:eastAsiaTheme="minorEastAsia"/>
                <w:lang w:eastAsia="zh-CN"/>
              </w:rPr>
            </w:pPr>
            <m:oMath>
              <m:r>
                <w:rPr>
                  <w:rFonts w:ascii="Cambria Math" w:hAnsi="Cambria Math" w:eastAsiaTheme="minorEastAsia"/>
                  <w:lang w:val="en-GB" w:eastAsia="zh-CN"/>
                </w:rPr>
                <m:t>ρ</m:t>
              </m:r>
            </m:oMath>
            <w:r>
              <w:rPr>
                <w:rFonts w:eastAsiaTheme="minorEastAsia"/>
                <w:lang w:eastAsia="zh-CN"/>
              </w:rPr>
              <w:t xml:space="preserve"> of semi-static beam hopping</w:t>
            </w:r>
          </w:p>
        </w:tc>
        <w:tc>
          <w:tcPr>
            <w:tcW w:w="1295" w:type="dxa"/>
            <w:shd w:val="clear" w:color="auto" w:fill="C5E0B3" w:themeFill="accent6" w:themeFillTint="66"/>
            <w:vAlign w:val="center"/>
          </w:tcPr>
          <w:p>
            <w:pPr>
              <w:pStyle w:val="3"/>
              <w:spacing w:line="252" w:lineRule="auto"/>
              <w:jc w:val="center"/>
              <w:rPr>
                <w:rFonts w:eastAsiaTheme="minorEastAsia"/>
                <w:lang w:eastAsia="zh-CN"/>
              </w:rPr>
            </w:pPr>
            <m:oMath>
              <m:r>
                <w:rPr>
                  <w:rFonts w:ascii="Cambria Math" w:hAnsi="Cambria Math" w:eastAsiaTheme="minorEastAsia"/>
                  <w:lang w:val="en-GB" w:eastAsia="zh-CN"/>
                </w:rPr>
                <m:t>ρ</m:t>
              </m:r>
            </m:oMath>
            <w:r>
              <w:rPr>
                <w:rFonts w:eastAsiaTheme="minorEastAsia"/>
                <w:lang w:eastAsia="zh-CN"/>
              </w:rPr>
              <w:t xml:space="preserve"> of dynamic beam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restart"/>
            <w:vAlign w:val="center"/>
          </w:tcPr>
          <w:p>
            <w:pPr>
              <w:pStyle w:val="3"/>
              <w:spacing w:line="252" w:lineRule="auto"/>
              <w:jc w:val="center"/>
              <w:rPr>
                <w:rFonts w:eastAsiaTheme="minorEastAsia"/>
                <w:lang w:eastAsia="zh-CN"/>
              </w:rPr>
            </w:pPr>
            <w:r>
              <w:rPr>
                <w:rFonts w:eastAsia="楷体"/>
              </w:rPr>
              <w:t>30</w:t>
            </w:r>
          </w:p>
        </w:tc>
        <w:tc>
          <w:tcPr>
            <w:tcW w:w="1294" w:type="dxa"/>
            <w:vMerge w:val="restart"/>
            <w:vAlign w:val="center"/>
          </w:tcPr>
          <w:p>
            <w:pPr>
              <w:pStyle w:val="3"/>
              <w:spacing w:line="252" w:lineRule="auto"/>
              <w:jc w:val="center"/>
              <w:rPr>
                <w:rFonts w:eastAsiaTheme="minorEastAsia"/>
                <w:lang w:eastAsia="zh-CN"/>
              </w:rPr>
            </w:pPr>
            <w:r>
              <w:rPr>
                <w:rFonts w:eastAsia="楷体"/>
              </w:rPr>
              <w:t>Fixed beam area</w:t>
            </w:r>
          </w:p>
        </w:tc>
        <w:tc>
          <w:tcPr>
            <w:tcW w:w="1294" w:type="dxa"/>
            <w:vMerge w:val="restart"/>
            <w:vAlign w:val="center"/>
          </w:tcPr>
          <w:p>
            <w:pPr>
              <w:pStyle w:val="3"/>
              <w:spacing w:line="252" w:lineRule="auto"/>
              <w:jc w:val="center"/>
              <w:rPr>
                <w:rFonts w:eastAsiaTheme="minorEastAsia"/>
                <w:lang w:eastAsia="zh-CN"/>
              </w:rPr>
            </w:pPr>
            <w:r>
              <w:rPr>
                <w:rFonts w:eastAsia="楷体"/>
              </w:rPr>
              <w:t>1168</w:t>
            </w:r>
          </w:p>
        </w:tc>
        <w:tc>
          <w:tcPr>
            <w:tcW w:w="1295" w:type="dxa"/>
            <w:vAlign w:val="center"/>
          </w:tcPr>
          <w:p>
            <w:pPr>
              <w:pStyle w:val="3"/>
              <w:spacing w:line="252" w:lineRule="auto"/>
              <w:jc w:val="center"/>
              <w:rPr>
                <w:rFonts w:eastAsiaTheme="minorEastAsia"/>
                <w:lang w:eastAsia="zh-CN"/>
              </w:rPr>
            </w:pPr>
            <w:r>
              <w:rPr>
                <w:rFonts w:eastAsia="楷体"/>
              </w:rPr>
              <w:t>1</w:t>
            </w:r>
          </w:p>
        </w:tc>
        <w:tc>
          <w:tcPr>
            <w:tcW w:w="1295" w:type="dxa"/>
            <w:vAlign w:val="center"/>
          </w:tcPr>
          <w:p>
            <w:pPr>
              <w:pStyle w:val="3"/>
              <w:spacing w:line="252" w:lineRule="auto"/>
              <w:jc w:val="center"/>
              <w:rPr>
                <w:rFonts w:eastAsiaTheme="minorEastAsia"/>
                <w:lang w:eastAsia="zh-CN"/>
              </w:rPr>
            </w:pPr>
            <w:r>
              <w:rPr>
                <w:rFonts w:eastAsia="楷体"/>
              </w:rPr>
              <w:t>1168</w:t>
            </w:r>
          </w:p>
        </w:tc>
        <w:tc>
          <w:tcPr>
            <w:tcW w:w="1295" w:type="dxa"/>
            <w:vAlign w:val="center"/>
          </w:tcPr>
          <w:p>
            <w:pPr>
              <w:pStyle w:val="3"/>
              <w:spacing w:line="252" w:lineRule="auto"/>
              <w:jc w:val="center"/>
              <w:rPr>
                <w:rFonts w:eastAsiaTheme="minorEastAsia"/>
                <w:lang w:eastAsia="zh-CN"/>
              </w:rPr>
            </w:pPr>
            <w:r>
              <w:rPr>
                <w:rFonts w:eastAsia="楷体"/>
              </w:rPr>
              <w:t>0.003</w:t>
            </w:r>
          </w:p>
        </w:tc>
        <w:tc>
          <w:tcPr>
            <w:tcW w:w="1295" w:type="dxa"/>
            <w:vAlign w:val="center"/>
          </w:tcPr>
          <w:p>
            <w:pPr>
              <w:pStyle w:val="3"/>
              <w:spacing w:line="252" w:lineRule="auto"/>
              <w:jc w:val="center"/>
              <w:rPr>
                <w:rFonts w:eastAsiaTheme="minorEastAsia"/>
                <w:lang w:eastAsia="zh-CN"/>
              </w:rPr>
            </w:pPr>
            <w:r>
              <w:rPr>
                <w:rFonts w:eastAsia="楷体"/>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5" w:type="dxa"/>
            <w:vAlign w:val="center"/>
          </w:tcPr>
          <w:p>
            <w:pPr>
              <w:pStyle w:val="3"/>
              <w:spacing w:line="252" w:lineRule="auto"/>
              <w:jc w:val="center"/>
              <w:rPr>
                <w:rFonts w:eastAsiaTheme="minorEastAsia"/>
                <w:lang w:eastAsia="zh-CN"/>
              </w:rPr>
            </w:pPr>
            <w:r>
              <w:rPr>
                <w:rFonts w:eastAsia="楷体"/>
              </w:rPr>
              <w:t>4</w:t>
            </w:r>
          </w:p>
        </w:tc>
        <w:tc>
          <w:tcPr>
            <w:tcW w:w="1295" w:type="dxa"/>
            <w:vAlign w:val="center"/>
          </w:tcPr>
          <w:p>
            <w:pPr>
              <w:pStyle w:val="3"/>
              <w:spacing w:line="252" w:lineRule="auto"/>
              <w:jc w:val="center"/>
              <w:rPr>
                <w:rFonts w:eastAsiaTheme="minorEastAsia"/>
                <w:lang w:eastAsia="zh-CN"/>
              </w:rPr>
            </w:pPr>
            <w:r>
              <w:rPr>
                <w:rFonts w:eastAsia="楷体"/>
              </w:rPr>
              <w:t>292</w:t>
            </w:r>
          </w:p>
        </w:tc>
        <w:tc>
          <w:tcPr>
            <w:tcW w:w="1295" w:type="dxa"/>
            <w:vAlign w:val="center"/>
          </w:tcPr>
          <w:p>
            <w:pPr>
              <w:pStyle w:val="3"/>
              <w:spacing w:line="252" w:lineRule="auto"/>
              <w:jc w:val="center"/>
              <w:rPr>
                <w:rFonts w:eastAsiaTheme="minorEastAsia"/>
                <w:lang w:eastAsia="zh-CN"/>
              </w:rPr>
            </w:pPr>
            <w:r>
              <w:rPr>
                <w:rFonts w:eastAsia="楷体"/>
              </w:rPr>
              <w:t>0.06</w:t>
            </w:r>
          </w:p>
        </w:tc>
        <w:tc>
          <w:tcPr>
            <w:tcW w:w="1295" w:type="dxa"/>
            <w:vAlign w:val="center"/>
          </w:tcPr>
          <w:p>
            <w:pPr>
              <w:pStyle w:val="3"/>
              <w:spacing w:line="252" w:lineRule="auto"/>
              <w:jc w:val="center"/>
              <w:rPr>
                <w:rFonts w:eastAsiaTheme="minorEastAsia"/>
                <w:lang w:eastAsia="zh-CN"/>
              </w:rPr>
            </w:pPr>
            <w:r>
              <w:rPr>
                <w:rFonts w:eastAsia="楷体"/>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5" w:type="dxa"/>
            <w:vAlign w:val="center"/>
          </w:tcPr>
          <w:p>
            <w:pPr>
              <w:pStyle w:val="3"/>
              <w:spacing w:line="252" w:lineRule="auto"/>
              <w:jc w:val="center"/>
              <w:rPr>
                <w:rFonts w:eastAsiaTheme="minorEastAsia"/>
                <w:lang w:eastAsia="zh-CN"/>
              </w:rPr>
            </w:pPr>
            <w:r>
              <w:rPr>
                <w:rFonts w:eastAsia="楷体"/>
              </w:rPr>
              <w:t>16</w:t>
            </w:r>
          </w:p>
        </w:tc>
        <w:tc>
          <w:tcPr>
            <w:tcW w:w="1295" w:type="dxa"/>
            <w:vAlign w:val="center"/>
          </w:tcPr>
          <w:p>
            <w:pPr>
              <w:pStyle w:val="3"/>
              <w:spacing w:line="252" w:lineRule="auto"/>
              <w:jc w:val="center"/>
              <w:rPr>
                <w:rFonts w:eastAsiaTheme="minorEastAsia"/>
                <w:lang w:eastAsia="zh-CN"/>
              </w:rPr>
            </w:pPr>
            <w:r>
              <w:rPr>
                <w:rFonts w:eastAsia="楷体"/>
              </w:rPr>
              <w:t>73</w:t>
            </w:r>
          </w:p>
        </w:tc>
        <w:tc>
          <w:tcPr>
            <w:tcW w:w="1295" w:type="dxa"/>
            <w:vAlign w:val="center"/>
          </w:tcPr>
          <w:p>
            <w:pPr>
              <w:pStyle w:val="3"/>
              <w:spacing w:line="252" w:lineRule="auto"/>
              <w:jc w:val="center"/>
              <w:rPr>
                <w:rFonts w:eastAsiaTheme="minorEastAsia"/>
                <w:lang w:eastAsia="zh-CN"/>
              </w:rPr>
            </w:pPr>
            <w:r>
              <w:rPr>
                <w:rFonts w:eastAsia="楷体"/>
              </w:rPr>
              <w:t>0.12</w:t>
            </w:r>
          </w:p>
        </w:tc>
        <w:tc>
          <w:tcPr>
            <w:tcW w:w="1295" w:type="dxa"/>
            <w:vAlign w:val="center"/>
          </w:tcPr>
          <w:p>
            <w:pPr>
              <w:pStyle w:val="3"/>
              <w:spacing w:line="252" w:lineRule="auto"/>
              <w:jc w:val="center"/>
              <w:rPr>
                <w:rFonts w:eastAsiaTheme="minorEastAsia"/>
                <w:lang w:eastAsia="zh-CN"/>
              </w:rPr>
            </w:pPr>
            <w:r>
              <w:rPr>
                <w:rFonts w:eastAsia="楷体"/>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restart"/>
            <w:vAlign w:val="center"/>
          </w:tcPr>
          <w:p>
            <w:pPr>
              <w:pStyle w:val="3"/>
              <w:spacing w:line="252" w:lineRule="auto"/>
              <w:jc w:val="center"/>
              <w:rPr>
                <w:rFonts w:eastAsiaTheme="minorEastAsia"/>
                <w:lang w:eastAsia="zh-CN"/>
              </w:rPr>
            </w:pPr>
            <w:r>
              <w:rPr>
                <w:rFonts w:eastAsia="楷体"/>
              </w:rPr>
              <w:t>Fixed beamwidth</w:t>
            </w:r>
          </w:p>
        </w:tc>
        <w:tc>
          <w:tcPr>
            <w:tcW w:w="1294" w:type="dxa"/>
            <w:vMerge w:val="restart"/>
            <w:vAlign w:val="center"/>
          </w:tcPr>
          <w:p>
            <w:pPr>
              <w:pStyle w:val="3"/>
              <w:spacing w:line="252" w:lineRule="auto"/>
              <w:jc w:val="center"/>
              <w:rPr>
                <w:rFonts w:eastAsiaTheme="minorEastAsia"/>
                <w:lang w:eastAsia="zh-CN"/>
              </w:rPr>
            </w:pPr>
            <w:r>
              <w:rPr>
                <w:rFonts w:eastAsia="楷体"/>
              </w:rPr>
              <w:t>471</w:t>
            </w:r>
          </w:p>
        </w:tc>
        <w:tc>
          <w:tcPr>
            <w:tcW w:w="1295" w:type="dxa"/>
            <w:vAlign w:val="center"/>
          </w:tcPr>
          <w:p>
            <w:pPr>
              <w:pStyle w:val="3"/>
              <w:spacing w:line="252" w:lineRule="auto"/>
              <w:jc w:val="center"/>
              <w:rPr>
                <w:rFonts w:eastAsiaTheme="minorEastAsia"/>
                <w:lang w:eastAsia="zh-CN"/>
              </w:rPr>
            </w:pPr>
            <w:r>
              <w:rPr>
                <w:rFonts w:eastAsia="楷体"/>
              </w:rPr>
              <w:t>1</w:t>
            </w:r>
          </w:p>
        </w:tc>
        <w:tc>
          <w:tcPr>
            <w:tcW w:w="1295" w:type="dxa"/>
            <w:vAlign w:val="center"/>
          </w:tcPr>
          <w:p>
            <w:pPr>
              <w:pStyle w:val="3"/>
              <w:spacing w:line="252" w:lineRule="auto"/>
              <w:jc w:val="center"/>
              <w:rPr>
                <w:rFonts w:eastAsiaTheme="minorEastAsia"/>
                <w:lang w:eastAsia="zh-CN"/>
              </w:rPr>
            </w:pPr>
            <w:r>
              <w:rPr>
                <w:rFonts w:eastAsia="楷体"/>
              </w:rPr>
              <w:t>471</w:t>
            </w:r>
          </w:p>
        </w:tc>
        <w:tc>
          <w:tcPr>
            <w:tcW w:w="1295" w:type="dxa"/>
            <w:vAlign w:val="center"/>
          </w:tcPr>
          <w:p>
            <w:pPr>
              <w:pStyle w:val="3"/>
              <w:spacing w:line="252" w:lineRule="auto"/>
              <w:jc w:val="center"/>
              <w:rPr>
                <w:rFonts w:eastAsiaTheme="minorEastAsia"/>
                <w:lang w:eastAsia="zh-CN"/>
              </w:rPr>
            </w:pPr>
            <w:r>
              <w:rPr>
                <w:rFonts w:eastAsia="楷体"/>
              </w:rPr>
              <w:t>0.13</w:t>
            </w:r>
          </w:p>
        </w:tc>
        <w:tc>
          <w:tcPr>
            <w:tcW w:w="1295" w:type="dxa"/>
            <w:vAlign w:val="center"/>
          </w:tcPr>
          <w:p>
            <w:pPr>
              <w:pStyle w:val="3"/>
              <w:spacing w:line="252" w:lineRule="auto"/>
              <w:jc w:val="center"/>
              <w:rPr>
                <w:rFonts w:eastAsiaTheme="minorEastAsia"/>
                <w:lang w:eastAsia="zh-CN"/>
              </w:rPr>
            </w:pPr>
            <w:r>
              <w:rPr>
                <w:rFonts w:eastAsia="楷体"/>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5" w:type="dxa"/>
            <w:vAlign w:val="center"/>
          </w:tcPr>
          <w:p>
            <w:pPr>
              <w:pStyle w:val="3"/>
              <w:spacing w:line="252" w:lineRule="auto"/>
              <w:jc w:val="center"/>
              <w:rPr>
                <w:rFonts w:eastAsiaTheme="minorEastAsia"/>
                <w:lang w:eastAsia="zh-CN"/>
              </w:rPr>
            </w:pPr>
            <w:r>
              <w:rPr>
                <w:rFonts w:eastAsia="楷体"/>
              </w:rPr>
              <w:t>4</w:t>
            </w:r>
          </w:p>
        </w:tc>
        <w:tc>
          <w:tcPr>
            <w:tcW w:w="1295" w:type="dxa"/>
            <w:vAlign w:val="center"/>
          </w:tcPr>
          <w:p>
            <w:pPr>
              <w:pStyle w:val="3"/>
              <w:spacing w:line="252" w:lineRule="auto"/>
              <w:jc w:val="center"/>
              <w:rPr>
                <w:rFonts w:eastAsiaTheme="minorEastAsia"/>
                <w:lang w:eastAsia="zh-CN"/>
              </w:rPr>
            </w:pPr>
            <w:r>
              <w:rPr>
                <w:rFonts w:eastAsia="楷体"/>
              </w:rPr>
              <w:t>117</w:t>
            </w:r>
          </w:p>
        </w:tc>
        <w:tc>
          <w:tcPr>
            <w:tcW w:w="1295" w:type="dxa"/>
            <w:vAlign w:val="center"/>
          </w:tcPr>
          <w:p>
            <w:pPr>
              <w:pStyle w:val="3"/>
              <w:spacing w:line="252" w:lineRule="auto"/>
              <w:jc w:val="center"/>
              <w:rPr>
                <w:rFonts w:eastAsiaTheme="minorEastAsia"/>
                <w:lang w:eastAsia="zh-CN"/>
              </w:rPr>
            </w:pPr>
            <w:r>
              <w:rPr>
                <w:rFonts w:eastAsia="楷体"/>
              </w:rPr>
              <w:t>0.25</w:t>
            </w:r>
          </w:p>
        </w:tc>
        <w:tc>
          <w:tcPr>
            <w:tcW w:w="1295" w:type="dxa"/>
            <w:vAlign w:val="center"/>
          </w:tcPr>
          <w:p>
            <w:pPr>
              <w:pStyle w:val="3"/>
              <w:spacing w:line="252" w:lineRule="auto"/>
              <w:jc w:val="center"/>
              <w:rPr>
                <w:rFonts w:eastAsiaTheme="minorEastAsia"/>
                <w:lang w:eastAsia="zh-CN"/>
              </w:rPr>
            </w:pPr>
            <w:r>
              <w:rPr>
                <w:rFonts w:eastAsia="楷体"/>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5" w:type="dxa"/>
            <w:vAlign w:val="center"/>
          </w:tcPr>
          <w:p>
            <w:pPr>
              <w:pStyle w:val="3"/>
              <w:spacing w:line="252" w:lineRule="auto"/>
              <w:jc w:val="center"/>
              <w:rPr>
                <w:rFonts w:eastAsiaTheme="minorEastAsia"/>
                <w:lang w:eastAsia="zh-CN"/>
              </w:rPr>
            </w:pPr>
            <w:r>
              <w:rPr>
                <w:rFonts w:eastAsia="楷体"/>
              </w:rPr>
              <w:t>16</w:t>
            </w:r>
          </w:p>
        </w:tc>
        <w:tc>
          <w:tcPr>
            <w:tcW w:w="1295" w:type="dxa"/>
            <w:vAlign w:val="center"/>
          </w:tcPr>
          <w:p>
            <w:pPr>
              <w:pStyle w:val="3"/>
              <w:spacing w:line="252" w:lineRule="auto"/>
              <w:jc w:val="center"/>
              <w:rPr>
                <w:rFonts w:eastAsiaTheme="minorEastAsia"/>
                <w:lang w:eastAsia="zh-CN"/>
              </w:rPr>
            </w:pPr>
            <w:r>
              <w:rPr>
                <w:rFonts w:eastAsia="楷体"/>
              </w:rPr>
              <w:t>29</w:t>
            </w:r>
          </w:p>
        </w:tc>
        <w:tc>
          <w:tcPr>
            <w:tcW w:w="1295" w:type="dxa"/>
            <w:vAlign w:val="center"/>
          </w:tcPr>
          <w:p>
            <w:pPr>
              <w:pStyle w:val="3"/>
              <w:spacing w:line="252" w:lineRule="auto"/>
              <w:jc w:val="center"/>
              <w:rPr>
                <w:rFonts w:eastAsiaTheme="minorEastAsia"/>
                <w:lang w:eastAsia="zh-CN"/>
              </w:rPr>
            </w:pPr>
            <w:r>
              <w:rPr>
                <w:rFonts w:eastAsia="楷体"/>
              </w:rPr>
              <w:t>0.38</w:t>
            </w:r>
          </w:p>
        </w:tc>
        <w:tc>
          <w:tcPr>
            <w:tcW w:w="1295" w:type="dxa"/>
            <w:vAlign w:val="center"/>
          </w:tcPr>
          <w:p>
            <w:pPr>
              <w:pStyle w:val="3"/>
              <w:spacing w:line="252" w:lineRule="auto"/>
              <w:jc w:val="center"/>
              <w:rPr>
                <w:rFonts w:eastAsiaTheme="minorEastAsia"/>
                <w:lang w:eastAsia="zh-CN"/>
              </w:rPr>
            </w:pPr>
            <w:r>
              <w:rPr>
                <w:rFonts w:eastAsia="楷体"/>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restart"/>
            <w:vAlign w:val="center"/>
          </w:tcPr>
          <w:p>
            <w:pPr>
              <w:pStyle w:val="3"/>
              <w:spacing w:line="252" w:lineRule="auto"/>
              <w:jc w:val="center"/>
              <w:rPr>
                <w:rFonts w:eastAsiaTheme="minorEastAsia"/>
                <w:lang w:eastAsia="zh-CN"/>
              </w:rPr>
            </w:pPr>
            <w:r>
              <w:rPr>
                <w:rFonts w:eastAsia="楷体"/>
              </w:rPr>
              <w:t>60</w:t>
            </w:r>
          </w:p>
        </w:tc>
        <w:tc>
          <w:tcPr>
            <w:tcW w:w="1294" w:type="dxa"/>
            <w:vMerge w:val="restart"/>
            <w:vAlign w:val="center"/>
          </w:tcPr>
          <w:p>
            <w:pPr>
              <w:pStyle w:val="3"/>
              <w:spacing w:line="252" w:lineRule="auto"/>
              <w:jc w:val="center"/>
              <w:rPr>
                <w:rFonts w:eastAsiaTheme="minorEastAsia"/>
                <w:lang w:eastAsia="zh-CN"/>
              </w:rPr>
            </w:pPr>
            <w:r>
              <w:rPr>
                <w:rFonts w:eastAsia="楷体"/>
              </w:rPr>
              <w:t>Fixed beam area</w:t>
            </w:r>
          </w:p>
        </w:tc>
        <w:tc>
          <w:tcPr>
            <w:tcW w:w="1294" w:type="dxa"/>
            <w:vMerge w:val="restart"/>
            <w:vAlign w:val="center"/>
          </w:tcPr>
          <w:p>
            <w:pPr>
              <w:pStyle w:val="3"/>
              <w:spacing w:line="252" w:lineRule="auto"/>
              <w:jc w:val="center"/>
              <w:rPr>
                <w:rFonts w:eastAsiaTheme="minorEastAsia"/>
                <w:lang w:eastAsia="zh-CN"/>
              </w:rPr>
            </w:pPr>
            <w:r>
              <w:rPr>
                <w:rFonts w:eastAsia="楷体"/>
              </w:rPr>
              <w:t>183</w:t>
            </w:r>
          </w:p>
        </w:tc>
        <w:tc>
          <w:tcPr>
            <w:tcW w:w="1295" w:type="dxa"/>
            <w:vAlign w:val="center"/>
          </w:tcPr>
          <w:p>
            <w:pPr>
              <w:pStyle w:val="3"/>
              <w:spacing w:line="252" w:lineRule="auto"/>
              <w:jc w:val="center"/>
              <w:rPr>
                <w:rFonts w:eastAsiaTheme="minorEastAsia"/>
                <w:lang w:eastAsia="zh-CN"/>
              </w:rPr>
            </w:pPr>
            <w:r>
              <w:rPr>
                <w:rFonts w:eastAsia="楷体"/>
              </w:rPr>
              <w:t>1</w:t>
            </w:r>
          </w:p>
        </w:tc>
        <w:tc>
          <w:tcPr>
            <w:tcW w:w="1295" w:type="dxa"/>
            <w:vAlign w:val="center"/>
          </w:tcPr>
          <w:p>
            <w:pPr>
              <w:pStyle w:val="3"/>
              <w:spacing w:line="252" w:lineRule="auto"/>
              <w:jc w:val="center"/>
              <w:rPr>
                <w:rFonts w:eastAsiaTheme="minorEastAsia"/>
                <w:lang w:eastAsia="zh-CN"/>
              </w:rPr>
            </w:pPr>
            <w:r>
              <w:rPr>
                <w:rFonts w:eastAsia="楷体"/>
              </w:rPr>
              <w:t>183</w:t>
            </w:r>
          </w:p>
        </w:tc>
        <w:tc>
          <w:tcPr>
            <w:tcW w:w="1295" w:type="dxa"/>
            <w:vAlign w:val="center"/>
          </w:tcPr>
          <w:p>
            <w:pPr>
              <w:pStyle w:val="3"/>
              <w:spacing w:line="252" w:lineRule="auto"/>
              <w:jc w:val="center"/>
              <w:rPr>
                <w:rFonts w:eastAsiaTheme="minorEastAsia"/>
                <w:lang w:eastAsia="zh-CN"/>
              </w:rPr>
            </w:pPr>
            <w:r>
              <w:rPr>
                <w:rFonts w:eastAsia="楷体"/>
              </w:rPr>
              <w:t>0.45</w:t>
            </w:r>
          </w:p>
        </w:tc>
        <w:tc>
          <w:tcPr>
            <w:tcW w:w="1295" w:type="dxa"/>
            <w:vAlign w:val="center"/>
          </w:tcPr>
          <w:p>
            <w:pPr>
              <w:pStyle w:val="3"/>
              <w:spacing w:line="252" w:lineRule="auto"/>
              <w:jc w:val="center"/>
              <w:rPr>
                <w:rFonts w:eastAsiaTheme="minorEastAsia"/>
                <w:lang w:eastAsia="zh-CN"/>
              </w:rPr>
            </w:pPr>
            <w:r>
              <w:rPr>
                <w:rFonts w:eastAsia="楷体"/>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5" w:type="dxa"/>
            <w:vAlign w:val="center"/>
          </w:tcPr>
          <w:p>
            <w:pPr>
              <w:pStyle w:val="3"/>
              <w:spacing w:line="252" w:lineRule="auto"/>
              <w:jc w:val="center"/>
              <w:rPr>
                <w:rFonts w:eastAsiaTheme="minorEastAsia"/>
                <w:lang w:eastAsia="zh-CN"/>
              </w:rPr>
            </w:pPr>
            <w:r>
              <w:rPr>
                <w:rFonts w:eastAsia="楷体"/>
              </w:rPr>
              <w:t>4</w:t>
            </w:r>
          </w:p>
        </w:tc>
        <w:tc>
          <w:tcPr>
            <w:tcW w:w="1295" w:type="dxa"/>
            <w:vAlign w:val="center"/>
          </w:tcPr>
          <w:p>
            <w:pPr>
              <w:pStyle w:val="3"/>
              <w:spacing w:line="252" w:lineRule="auto"/>
              <w:jc w:val="center"/>
              <w:rPr>
                <w:rFonts w:eastAsiaTheme="minorEastAsia"/>
                <w:lang w:eastAsia="zh-CN"/>
              </w:rPr>
            </w:pPr>
            <w:r>
              <w:rPr>
                <w:rFonts w:eastAsia="楷体"/>
              </w:rPr>
              <w:t>45</w:t>
            </w:r>
          </w:p>
        </w:tc>
        <w:tc>
          <w:tcPr>
            <w:tcW w:w="1295" w:type="dxa"/>
            <w:vAlign w:val="center"/>
          </w:tcPr>
          <w:p>
            <w:pPr>
              <w:pStyle w:val="3"/>
              <w:spacing w:line="252" w:lineRule="auto"/>
              <w:jc w:val="center"/>
              <w:rPr>
                <w:rFonts w:eastAsiaTheme="minorEastAsia"/>
                <w:lang w:eastAsia="zh-CN"/>
              </w:rPr>
            </w:pPr>
            <w:r>
              <w:rPr>
                <w:rFonts w:eastAsia="楷体"/>
              </w:rPr>
              <w:t>0.64</w:t>
            </w:r>
          </w:p>
        </w:tc>
        <w:tc>
          <w:tcPr>
            <w:tcW w:w="1295" w:type="dxa"/>
            <w:vAlign w:val="center"/>
          </w:tcPr>
          <w:p>
            <w:pPr>
              <w:pStyle w:val="3"/>
              <w:spacing w:line="252" w:lineRule="auto"/>
              <w:jc w:val="center"/>
              <w:rPr>
                <w:rFonts w:eastAsiaTheme="minorEastAsia"/>
                <w:lang w:eastAsia="zh-CN"/>
              </w:rPr>
            </w:pPr>
            <w:r>
              <w:rPr>
                <w:rFonts w:eastAsia="楷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5" w:type="dxa"/>
            <w:vAlign w:val="center"/>
          </w:tcPr>
          <w:p>
            <w:pPr>
              <w:pStyle w:val="3"/>
              <w:spacing w:line="252" w:lineRule="auto"/>
              <w:jc w:val="center"/>
              <w:rPr>
                <w:rFonts w:eastAsiaTheme="minorEastAsia"/>
                <w:lang w:eastAsia="zh-CN"/>
              </w:rPr>
            </w:pPr>
            <w:r>
              <w:rPr>
                <w:rFonts w:eastAsia="楷体"/>
              </w:rPr>
              <w:t>16</w:t>
            </w:r>
          </w:p>
        </w:tc>
        <w:tc>
          <w:tcPr>
            <w:tcW w:w="1295" w:type="dxa"/>
            <w:vAlign w:val="center"/>
          </w:tcPr>
          <w:p>
            <w:pPr>
              <w:pStyle w:val="3"/>
              <w:spacing w:line="252" w:lineRule="auto"/>
              <w:jc w:val="center"/>
              <w:rPr>
                <w:rFonts w:eastAsiaTheme="minorEastAsia"/>
                <w:lang w:eastAsia="zh-CN"/>
              </w:rPr>
            </w:pPr>
            <w:r>
              <w:rPr>
                <w:rFonts w:eastAsia="楷体"/>
              </w:rPr>
              <w:t>11</w:t>
            </w:r>
          </w:p>
        </w:tc>
        <w:tc>
          <w:tcPr>
            <w:tcW w:w="1295" w:type="dxa"/>
            <w:vAlign w:val="center"/>
          </w:tcPr>
          <w:p>
            <w:pPr>
              <w:pStyle w:val="3"/>
              <w:spacing w:line="252" w:lineRule="auto"/>
              <w:jc w:val="center"/>
              <w:rPr>
                <w:rFonts w:eastAsiaTheme="minorEastAsia"/>
                <w:lang w:eastAsia="zh-CN"/>
              </w:rPr>
            </w:pPr>
            <w:r>
              <w:rPr>
                <w:rFonts w:eastAsia="楷体"/>
              </w:rPr>
              <w:t>0.74</w:t>
            </w:r>
          </w:p>
        </w:tc>
        <w:tc>
          <w:tcPr>
            <w:tcW w:w="1295" w:type="dxa"/>
            <w:vAlign w:val="center"/>
          </w:tcPr>
          <w:p>
            <w:pPr>
              <w:pStyle w:val="3"/>
              <w:spacing w:line="252" w:lineRule="auto"/>
              <w:jc w:val="center"/>
              <w:rPr>
                <w:rFonts w:eastAsiaTheme="minorEastAsia"/>
                <w:lang w:eastAsia="zh-CN"/>
              </w:rPr>
            </w:pPr>
            <w:r>
              <w:rPr>
                <w:rFonts w:eastAsia="楷体"/>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restart"/>
            <w:vAlign w:val="center"/>
          </w:tcPr>
          <w:p>
            <w:pPr>
              <w:pStyle w:val="3"/>
              <w:spacing w:line="252" w:lineRule="auto"/>
              <w:jc w:val="center"/>
              <w:rPr>
                <w:rFonts w:eastAsiaTheme="minorEastAsia"/>
                <w:lang w:eastAsia="zh-CN"/>
              </w:rPr>
            </w:pPr>
            <w:r>
              <w:rPr>
                <w:rFonts w:eastAsia="楷体"/>
              </w:rPr>
              <w:t>Fixed beamwidth</w:t>
            </w:r>
          </w:p>
        </w:tc>
        <w:tc>
          <w:tcPr>
            <w:tcW w:w="1294" w:type="dxa"/>
            <w:vMerge w:val="restart"/>
            <w:vAlign w:val="center"/>
          </w:tcPr>
          <w:p>
            <w:pPr>
              <w:pStyle w:val="3"/>
              <w:spacing w:line="252" w:lineRule="auto"/>
              <w:jc w:val="center"/>
              <w:rPr>
                <w:rFonts w:eastAsiaTheme="minorEastAsia"/>
                <w:lang w:eastAsia="zh-CN"/>
              </w:rPr>
            </w:pPr>
            <w:r>
              <w:rPr>
                <w:rFonts w:eastAsia="楷体"/>
              </w:rPr>
              <w:t>154</w:t>
            </w:r>
          </w:p>
        </w:tc>
        <w:tc>
          <w:tcPr>
            <w:tcW w:w="1295" w:type="dxa"/>
            <w:vAlign w:val="center"/>
          </w:tcPr>
          <w:p>
            <w:pPr>
              <w:pStyle w:val="3"/>
              <w:spacing w:line="252" w:lineRule="auto"/>
              <w:jc w:val="center"/>
              <w:rPr>
                <w:rFonts w:eastAsiaTheme="minorEastAsia"/>
                <w:lang w:eastAsia="zh-CN"/>
              </w:rPr>
            </w:pPr>
            <w:r>
              <w:rPr>
                <w:rFonts w:eastAsia="楷体"/>
              </w:rPr>
              <w:t>1</w:t>
            </w:r>
          </w:p>
        </w:tc>
        <w:tc>
          <w:tcPr>
            <w:tcW w:w="1295" w:type="dxa"/>
            <w:vAlign w:val="center"/>
          </w:tcPr>
          <w:p>
            <w:pPr>
              <w:pStyle w:val="3"/>
              <w:spacing w:line="252" w:lineRule="auto"/>
              <w:jc w:val="center"/>
              <w:rPr>
                <w:rFonts w:eastAsiaTheme="minorEastAsia"/>
                <w:lang w:eastAsia="zh-CN"/>
              </w:rPr>
            </w:pPr>
            <w:r>
              <w:rPr>
                <w:rFonts w:eastAsia="楷体"/>
              </w:rPr>
              <w:t>154</w:t>
            </w:r>
          </w:p>
        </w:tc>
        <w:tc>
          <w:tcPr>
            <w:tcW w:w="1295" w:type="dxa"/>
            <w:vAlign w:val="center"/>
          </w:tcPr>
          <w:p>
            <w:pPr>
              <w:pStyle w:val="3"/>
              <w:spacing w:line="252" w:lineRule="auto"/>
              <w:jc w:val="center"/>
              <w:rPr>
                <w:rFonts w:eastAsiaTheme="minorEastAsia"/>
                <w:lang w:eastAsia="zh-CN"/>
              </w:rPr>
            </w:pPr>
            <w:r>
              <w:rPr>
                <w:rFonts w:eastAsia="楷体"/>
              </w:rPr>
              <w:t>0.54</w:t>
            </w:r>
          </w:p>
        </w:tc>
        <w:tc>
          <w:tcPr>
            <w:tcW w:w="1295" w:type="dxa"/>
            <w:vAlign w:val="center"/>
          </w:tcPr>
          <w:p>
            <w:pPr>
              <w:pStyle w:val="3"/>
              <w:spacing w:line="252" w:lineRule="auto"/>
              <w:jc w:val="center"/>
              <w:rPr>
                <w:rFonts w:eastAsiaTheme="minorEastAsia"/>
                <w:lang w:eastAsia="zh-CN"/>
              </w:rPr>
            </w:pPr>
            <w:r>
              <w:rPr>
                <w:rFonts w:eastAsia="楷体"/>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5" w:type="dxa"/>
            <w:vAlign w:val="center"/>
          </w:tcPr>
          <w:p>
            <w:pPr>
              <w:pStyle w:val="3"/>
              <w:spacing w:line="252" w:lineRule="auto"/>
              <w:jc w:val="center"/>
              <w:rPr>
                <w:rFonts w:eastAsiaTheme="minorEastAsia"/>
                <w:lang w:eastAsia="zh-CN"/>
              </w:rPr>
            </w:pPr>
            <w:r>
              <w:rPr>
                <w:rFonts w:eastAsia="楷体"/>
              </w:rPr>
              <w:t>4</w:t>
            </w:r>
          </w:p>
        </w:tc>
        <w:tc>
          <w:tcPr>
            <w:tcW w:w="1295" w:type="dxa"/>
            <w:vAlign w:val="center"/>
          </w:tcPr>
          <w:p>
            <w:pPr>
              <w:pStyle w:val="3"/>
              <w:spacing w:line="252" w:lineRule="auto"/>
              <w:jc w:val="center"/>
              <w:rPr>
                <w:rFonts w:eastAsiaTheme="minorEastAsia"/>
                <w:lang w:eastAsia="zh-CN"/>
              </w:rPr>
            </w:pPr>
            <w:r>
              <w:rPr>
                <w:rFonts w:eastAsia="楷体"/>
              </w:rPr>
              <w:t>38</w:t>
            </w:r>
          </w:p>
        </w:tc>
        <w:tc>
          <w:tcPr>
            <w:tcW w:w="1295" w:type="dxa"/>
            <w:vAlign w:val="center"/>
          </w:tcPr>
          <w:p>
            <w:pPr>
              <w:pStyle w:val="3"/>
              <w:spacing w:line="252" w:lineRule="auto"/>
              <w:jc w:val="center"/>
              <w:rPr>
                <w:rFonts w:eastAsiaTheme="minorEastAsia"/>
                <w:lang w:eastAsia="zh-CN"/>
              </w:rPr>
            </w:pPr>
            <w:r>
              <w:rPr>
                <w:rFonts w:eastAsia="楷体"/>
              </w:rPr>
              <w:t>0.68</w:t>
            </w:r>
          </w:p>
        </w:tc>
        <w:tc>
          <w:tcPr>
            <w:tcW w:w="1295" w:type="dxa"/>
            <w:vAlign w:val="center"/>
          </w:tcPr>
          <w:p>
            <w:pPr>
              <w:pStyle w:val="3"/>
              <w:spacing w:line="252" w:lineRule="auto"/>
              <w:jc w:val="center"/>
              <w:rPr>
                <w:rFonts w:eastAsiaTheme="minorEastAsia"/>
                <w:lang w:eastAsia="zh-CN"/>
              </w:rPr>
            </w:pPr>
            <w:r>
              <w:rPr>
                <w:rFonts w:eastAsia="楷体"/>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4" w:type="dxa"/>
            <w:vMerge w:val="continue"/>
            <w:vAlign w:val="center"/>
          </w:tcPr>
          <w:p>
            <w:pPr>
              <w:pStyle w:val="3"/>
              <w:spacing w:line="252" w:lineRule="auto"/>
              <w:jc w:val="center"/>
              <w:rPr>
                <w:rFonts w:eastAsiaTheme="minorEastAsia"/>
                <w:lang w:eastAsia="zh-CN"/>
              </w:rPr>
            </w:pPr>
          </w:p>
        </w:tc>
        <w:tc>
          <w:tcPr>
            <w:tcW w:w="1295" w:type="dxa"/>
            <w:vAlign w:val="center"/>
          </w:tcPr>
          <w:p>
            <w:pPr>
              <w:pStyle w:val="3"/>
              <w:spacing w:line="252" w:lineRule="auto"/>
              <w:jc w:val="center"/>
              <w:rPr>
                <w:rFonts w:eastAsia="楷体"/>
              </w:rPr>
            </w:pPr>
            <w:r>
              <w:rPr>
                <w:rFonts w:eastAsia="楷体"/>
              </w:rPr>
              <w:t>16</w:t>
            </w:r>
          </w:p>
        </w:tc>
        <w:tc>
          <w:tcPr>
            <w:tcW w:w="1295" w:type="dxa"/>
            <w:vAlign w:val="center"/>
          </w:tcPr>
          <w:p>
            <w:pPr>
              <w:pStyle w:val="3"/>
              <w:spacing w:line="252" w:lineRule="auto"/>
              <w:jc w:val="center"/>
              <w:rPr>
                <w:rFonts w:eastAsia="楷体"/>
              </w:rPr>
            </w:pPr>
            <w:r>
              <w:rPr>
                <w:rFonts w:eastAsia="楷体"/>
              </w:rPr>
              <w:t>9</w:t>
            </w:r>
          </w:p>
        </w:tc>
        <w:tc>
          <w:tcPr>
            <w:tcW w:w="1295" w:type="dxa"/>
            <w:vAlign w:val="center"/>
          </w:tcPr>
          <w:p>
            <w:pPr>
              <w:pStyle w:val="3"/>
              <w:spacing w:line="252" w:lineRule="auto"/>
              <w:jc w:val="center"/>
              <w:rPr>
                <w:rFonts w:eastAsia="楷体"/>
              </w:rPr>
            </w:pPr>
            <w:r>
              <w:rPr>
                <w:rFonts w:eastAsia="楷体"/>
              </w:rPr>
              <w:t>0.78</w:t>
            </w:r>
          </w:p>
        </w:tc>
        <w:tc>
          <w:tcPr>
            <w:tcW w:w="1295" w:type="dxa"/>
            <w:vAlign w:val="center"/>
          </w:tcPr>
          <w:p>
            <w:pPr>
              <w:pStyle w:val="3"/>
              <w:spacing w:line="252" w:lineRule="auto"/>
              <w:jc w:val="center"/>
              <w:rPr>
                <w:rFonts w:eastAsia="楷体"/>
              </w:rPr>
            </w:pPr>
            <w:r>
              <w:rPr>
                <w:rFonts w:eastAsia="楷体"/>
              </w:rPr>
              <w:t>0.97</w:t>
            </w:r>
          </w:p>
        </w:tc>
      </w:tr>
    </w:tbl>
    <w:p>
      <w:pPr>
        <w:pStyle w:val="3"/>
        <w:spacing w:line="252" w:lineRule="auto"/>
        <w:rPr>
          <w:rFonts w:ascii="Times" w:hAnsi="Times" w:eastAsiaTheme="minorEastAsia"/>
          <w:b/>
          <w:lang w:val="en-GB" w:eastAsia="zh-CN"/>
        </w:rPr>
      </w:pPr>
      <w:r>
        <w:rPr>
          <w:rFonts w:hint="eastAsia" w:ascii="Times" w:hAnsi="Times" w:eastAsiaTheme="minorEastAsia"/>
          <w:b/>
          <w:lang w:val="en-GB" w:eastAsia="zh-CN"/>
        </w:rPr>
        <w:t>Pro</w:t>
      </w:r>
      <w:r>
        <w:rPr>
          <w:rFonts w:ascii="Times" w:hAnsi="Times" w:eastAsiaTheme="minorEastAsia"/>
          <w:b/>
          <w:lang w:val="en-GB" w:eastAsia="zh-CN"/>
        </w:rPr>
        <w:t xml:space="preserve">posal 3:  </w:t>
      </w:r>
      <m:oMath>
        <w:bookmarkStart w:id="6" w:name="_Hlk158485035"/>
        <m:r>
          <m:rPr>
            <m:sty m:val="bi"/>
          </m:rPr>
          <w:rPr>
            <w:rFonts w:ascii="Cambria Math" w:hAnsi="Cambria Math" w:eastAsiaTheme="minorEastAsia"/>
            <w:lang w:val="en-GB" w:eastAsia="zh-CN"/>
          </w:rPr>
          <m:t>ρ</m:t>
        </m:r>
        <w:bookmarkEnd w:id="6"/>
      </m:oMath>
      <w:r>
        <w:rPr>
          <w:rFonts w:ascii="Times" w:hAnsi="Times" w:eastAsiaTheme="minorEastAsia"/>
          <w:b/>
          <w:lang w:val="en-GB" w:eastAsia="zh-CN"/>
        </w:rPr>
        <w:t xml:space="preserve"> (Ratio of mean served cell throughput and offered cell throughput, see TR36.889 [3]) can be used as the system-level evaluation metric of DL coverage</w:t>
      </w:r>
      <w:r>
        <w:rPr>
          <w:rFonts w:ascii="Times" w:hAnsi="Times" w:eastAsiaTheme="minorEastAsia"/>
          <w:b/>
          <w:bCs/>
          <w:lang w:val="en-GB" w:eastAsia="zh-CN"/>
        </w:rPr>
        <w:t>.</w:t>
      </w:r>
    </w:p>
    <w:p>
      <w:pPr>
        <w:pStyle w:val="3"/>
        <w:spacing w:line="252" w:lineRule="auto"/>
        <w:rPr>
          <w:rFonts w:eastAsiaTheme="minorEastAsia"/>
          <w:bCs/>
          <w:lang w:val="en-GB" w:eastAsia="zh-CN"/>
        </w:rPr>
      </w:pPr>
      <w:r>
        <w:rPr>
          <w:rFonts w:hint="eastAsia" w:eastAsiaTheme="minorEastAsia"/>
          <w:lang w:val="en-GB" w:eastAsia="zh-CN"/>
        </w:rPr>
        <w:t>T</w:t>
      </w:r>
      <w:r>
        <w:rPr>
          <w:rFonts w:eastAsiaTheme="minorEastAsia"/>
          <w:lang w:val="en-GB" w:eastAsia="zh-CN"/>
        </w:rPr>
        <w:t xml:space="preserve">able 4 shows that, for a given elevation angle target, the beam layout method with fixed beam area needs more satellite beams to cover from the nadir point to the target elevation angle, and the difference between these two beam layout methods decreases with the increase of the target elevation angle. In addition, </w:t>
      </w:r>
      <w:bookmarkStart w:id="7" w:name="_Hlk158485840"/>
      <w:r>
        <w:rPr>
          <w:rFonts w:eastAsiaTheme="minorEastAsia"/>
          <w:lang w:val="en-GB" w:eastAsia="zh-CN"/>
        </w:rPr>
        <w:t xml:space="preserve">dynamic beam hopping provides better performance than semi-static beam hopping in terms of </w:t>
      </w:r>
      <m:oMath>
        <m:r>
          <w:rPr>
            <w:rFonts w:ascii="Cambria Math" w:hAnsi="Cambria Math" w:eastAsiaTheme="minorEastAsia"/>
            <w:lang w:val="en-GB" w:eastAsia="zh-CN"/>
          </w:rPr>
          <m:t>ρ</m:t>
        </m:r>
      </m:oMath>
      <w:bookmarkEnd w:id="7"/>
      <w:r>
        <w:rPr>
          <w:rFonts w:hint="eastAsia" w:eastAsiaTheme="minorEastAsia"/>
          <w:bCs/>
          <w:lang w:val="en-GB" w:eastAsia="zh-CN"/>
        </w:rPr>
        <w:t>.</w:t>
      </w:r>
      <w:r>
        <w:rPr>
          <w:rFonts w:eastAsiaTheme="minorEastAsia"/>
          <w:bCs/>
          <w:lang w:val="en-GB" w:eastAsia="zh-CN"/>
        </w:rPr>
        <w:t xml:space="preserve"> Also, </w:t>
      </w:r>
      <w:bookmarkStart w:id="8" w:name="_Hlk158485866"/>
      <w:r>
        <w:rPr>
          <w:rFonts w:eastAsiaTheme="minorEastAsia"/>
          <w:bCs/>
          <w:lang w:val="en-GB" w:eastAsia="zh-CN"/>
        </w:rPr>
        <w:t>increasing the simultaneously active beam number obtains obvious gains for both semi-static beam hopping and dynamic beam hopping.</w:t>
      </w:r>
      <w:bookmarkEnd w:id="8"/>
    </w:p>
    <w:p>
      <w:pPr>
        <w:pStyle w:val="3"/>
        <w:spacing w:line="252" w:lineRule="auto"/>
        <w:rPr>
          <w:rFonts w:ascii="Times" w:hAnsi="Times" w:eastAsia="Batang"/>
          <w:b/>
          <w:lang w:val="en-GB"/>
        </w:rPr>
      </w:pPr>
      <w:r>
        <w:rPr>
          <w:rFonts w:ascii="Times" w:hAnsi="Times" w:eastAsia="Batang"/>
          <w:b/>
          <w:lang w:val="en-GB"/>
        </w:rPr>
        <w:t>Observation 2</w:t>
      </w:r>
      <w:r>
        <w:rPr>
          <w:rFonts w:hint="eastAsia" w:ascii="Times" w:hAnsi="Times" w:eastAsia="Batang"/>
          <w:b/>
          <w:lang w:val="en-GB"/>
        </w:rPr>
        <w:t>:</w:t>
      </w:r>
      <w:r>
        <w:rPr>
          <w:rFonts w:ascii="Times" w:hAnsi="Times" w:eastAsia="Batang"/>
          <w:b/>
          <w:lang w:val="en-GB"/>
        </w:rPr>
        <w:t xml:space="preserve"> F</w:t>
      </w:r>
      <w:r>
        <w:rPr>
          <w:rFonts w:eastAsiaTheme="minorEastAsia"/>
          <w:b/>
          <w:lang w:val="en-GB" w:eastAsia="zh-CN"/>
        </w:rPr>
        <w:t>or a given elevation angle target, the beam layout method with fixed beam area needs more satellite beams to cover from the nadir point to the target elevation angle, and the difference decreases with the increase of the target elevation angle.</w:t>
      </w:r>
    </w:p>
    <w:p>
      <w:pPr>
        <w:pStyle w:val="3"/>
        <w:spacing w:line="252" w:lineRule="auto"/>
        <w:rPr>
          <w:rFonts w:ascii="Times" w:hAnsi="Times" w:eastAsiaTheme="minorEastAsia"/>
          <w:b/>
          <w:lang w:val="en-GB" w:eastAsia="zh-CN"/>
        </w:rPr>
      </w:pPr>
      <w:r>
        <w:rPr>
          <w:rFonts w:ascii="Times" w:hAnsi="Times" w:eastAsia="Batang"/>
          <w:b/>
          <w:lang w:val="en-GB"/>
        </w:rPr>
        <w:t>Observation 3</w:t>
      </w:r>
      <w:r>
        <w:rPr>
          <w:rFonts w:hint="eastAsia" w:ascii="Times" w:hAnsi="Times" w:eastAsia="Batang"/>
          <w:b/>
          <w:lang w:val="en-GB"/>
        </w:rPr>
        <w:t>:</w:t>
      </w:r>
      <w:r>
        <w:rPr>
          <w:rFonts w:ascii="Times" w:hAnsi="Times" w:eastAsia="Batang"/>
          <w:b/>
          <w:lang w:val="en-GB"/>
        </w:rPr>
        <w:t xml:space="preserve"> Dynamic beam hopping provides better performance than semi-static beam hopping in terms of </w:t>
      </w:r>
      <m:oMath>
        <m:r>
          <m:rPr>
            <m:sty m:val="bi"/>
          </m:rPr>
          <w:rPr>
            <w:rFonts w:ascii="Cambria Math" w:hAnsi="Cambria Math" w:eastAsia="Batang"/>
            <w:lang w:val="en-GB"/>
          </w:rPr>
          <m:t>ρ</m:t>
        </m:r>
      </m:oMath>
      <w:r>
        <w:rPr>
          <w:rFonts w:hint="eastAsia" w:ascii="Times" w:hAnsi="Times" w:eastAsiaTheme="minorEastAsia"/>
          <w:b/>
          <w:bCs/>
          <w:lang w:val="en-GB" w:eastAsia="zh-CN"/>
        </w:rPr>
        <w:t>.</w:t>
      </w:r>
    </w:p>
    <w:p>
      <w:pPr>
        <w:pStyle w:val="3"/>
        <w:spacing w:line="252" w:lineRule="auto"/>
        <w:rPr>
          <w:rFonts w:ascii="Times" w:hAnsi="Times" w:eastAsia="Batang"/>
          <w:b/>
          <w:lang w:val="en-GB"/>
        </w:rPr>
      </w:pPr>
      <w:r>
        <w:rPr>
          <w:rFonts w:ascii="Times" w:hAnsi="Times" w:eastAsia="Batang"/>
          <w:b/>
          <w:lang w:val="en-GB"/>
        </w:rPr>
        <w:t>Observation 4</w:t>
      </w:r>
      <w:r>
        <w:rPr>
          <w:rFonts w:hint="eastAsia" w:ascii="Times" w:hAnsi="Times" w:eastAsia="Batang"/>
          <w:b/>
          <w:lang w:val="en-GB"/>
        </w:rPr>
        <w:t>:</w:t>
      </w:r>
      <w:r>
        <w:rPr>
          <w:rFonts w:ascii="Times" w:hAnsi="Times" w:eastAsia="Batang"/>
          <w:b/>
          <w:lang w:val="en-GB"/>
        </w:rPr>
        <w:t xml:space="preserve"> </w:t>
      </w:r>
      <w:r>
        <w:rPr>
          <w:rFonts w:ascii="Times" w:hAnsi="Times" w:eastAsia="Batang"/>
          <w:b/>
          <w:bCs/>
          <w:lang w:val="en-GB"/>
        </w:rPr>
        <w:t>Increasing the simultaneously active beam number obtains obvious gains for both semi-static beam hopping and dynamic beam hopping.</w:t>
      </w:r>
    </w:p>
    <w:p>
      <w:pPr>
        <w:pStyle w:val="3"/>
        <w:spacing w:line="252" w:lineRule="auto"/>
        <w:rPr>
          <w:rFonts w:eastAsiaTheme="minorEastAsia"/>
          <w:lang w:val="en-GB"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szCs w:val="20"/>
        </w:rPr>
        <w:t>In this contribution, we provide our view</w:t>
      </w:r>
      <w:r>
        <w:rPr>
          <w:rFonts w:eastAsia="等线"/>
          <w:szCs w:val="20"/>
          <w:lang w:eastAsia="zh-CN"/>
        </w:rPr>
        <w:t xml:space="preserve"> and analysis on link level and system level evaluation method for downlink coverage in NTN scenario</w:t>
      </w:r>
      <w:r>
        <w:rPr>
          <w:szCs w:val="20"/>
        </w:rPr>
        <w:t>. The following observations and proposals are made:</w:t>
      </w:r>
    </w:p>
    <w:p>
      <w:pPr>
        <w:pStyle w:val="3"/>
        <w:spacing w:line="252" w:lineRule="auto"/>
        <w:rPr>
          <w:rFonts w:ascii="Times" w:hAnsi="Times" w:eastAsiaTheme="minorEastAsia"/>
          <w:b/>
          <w:lang w:val="en-GB" w:eastAsia="zh-CN"/>
        </w:rPr>
      </w:pPr>
      <w:r>
        <w:rPr>
          <w:rFonts w:hint="eastAsia" w:ascii="Times" w:hAnsi="Times" w:eastAsiaTheme="minorEastAsia"/>
          <w:b/>
          <w:lang w:val="en-GB" w:eastAsia="zh-CN"/>
        </w:rPr>
        <w:t>Pro</w:t>
      </w:r>
      <w:r>
        <w:rPr>
          <w:rFonts w:ascii="Times" w:hAnsi="Times" w:eastAsiaTheme="minorEastAsia"/>
          <w:b/>
          <w:lang w:val="en-GB" w:eastAsia="zh-CN"/>
        </w:rPr>
        <w:t>posal 1: F</w:t>
      </w:r>
      <w:r>
        <w:rPr>
          <w:rFonts w:hint="eastAsia" w:ascii="Times" w:hAnsi="Times" w:eastAsiaTheme="minorEastAsia"/>
          <w:b/>
          <w:lang w:val="en-GB" w:eastAsia="zh-CN"/>
        </w:rPr>
        <w:t>o</w:t>
      </w:r>
      <w:r>
        <w:rPr>
          <w:rFonts w:ascii="Times" w:hAnsi="Times" w:eastAsiaTheme="minorEastAsia"/>
          <w:b/>
          <w:lang w:val="en-GB" w:eastAsia="zh-CN"/>
        </w:rPr>
        <w:t>r link level evaluation in FR1-NTN, the simulation assumptions in R18 NTN Coverage Enhancement and satellite payload parameters in TR38.821 are reused.</w:t>
      </w:r>
    </w:p>
    <w:p>
      <w:pPr>
        <w:pStyle w:val="3"/>
        <w:spacing w:line="252" w:lineRule="auto"/>
        <w:rPr>
          <w:rFonts w:ascii="Times" w:hAnsi="Times" w:eastAsiaTheme="minorEastAsia"/>
          <w:b/>
          <w:lang w:val="en-GB" w:eastAsia="zh-CN"/>
        </w:rPr>
      </w:pPr>
      <w:r>
        <w:rPr>
          <w:rFonts w:hint="eastAsia" w:ascii="Times" w:hAnsi="Times" w:eastAsiaTheme="minorEastAsia"/>
          <w:b/>
          <w:lang w:val="en-GB" w:eastAsia="zh-CN"/>
        </w:rPr>
        <w:t>Pro</w:t>
      </w:r>
      <w:r>
        <w:rPr>
          <w:rFonts w:ascii="Times" w:hAnsi="Times" w:eastAsiaTheme="minorEastAsia"/>
          <w:b/>
          <w:lang w:val="en-GB" w:eastAsia="zh-CN"/>
        </w:rPr>
        <w:t xml:space="preserve">posal 2: For the required satellite beam number in system-level evaluation, two options can be further discussed: opt 1) </w:t>
      </w:r>
      <w:r>
        <w:rPr>
          <w:rFonts w:ascii="Times" w:hAnsi="Times" w:eastAsiaTheme="minorEastAsia"/>
          <w:b/>
          <w:bCs/>
          <w:lang w:val="en-GB" w:eastAsia="zh-CN"/>
        </w:rPr>
        <w:t>fixed beam area and opt 2) fixed beamwidth.</w:t>
      </w:r>
    </w:p>
    <w:p>
      <w:pPr>
        <w:pStyle w:val="3"/>
        <w:spacing w:line="252" w:lineRule="auto"/>
        <w:rPr>
          <w:rFonts w:ascii="Times" w:hAnsi="Times" w:eastAsiaTheme="minorEastAsia"/>
          <w:b/>
          <w:lang w:val="en-GB" w:eastAsia="zh-CN"/>
        </w:rPr>
      </w:pPr>
      <w:r>
        <w:rPr>
          <w:rFonts w:hint="eastAsia" w:ascii="Times" w:hAnsi="Times" w:eastAsiaTheme="minorEastAsia"/>
          <w:b/>
          <w:lang w:val="en-GB" w:eastAsia="zh-CN"/>
        </w:rPr>
        <w:t>Pro</w:t>
      </w:r>
      <w:r>
        <w:rPr>
          <w:rFonts w:ascii="Times" w:hAnsi="Times" w:eastAsiaTheme="minorEastAsia"/>
          <w:b/>
          <w:lang w:val="en-GB" w:eastAsia="zh-CN"/>
        </w:rPr>
        <w:t xml:space="preserve">posal 3:  </w:t>
      </w:r>
      <m:oMath>
        <m:r>
          <m:rPr>
            <m:sty m:val="bi"/>
          </m:rPr>
          <w:rPr>
            <w:rFonts w:ascii="Cambria Math" w:hAnsi="Cambria Math" w:eastAsiaTheme="minorEastAsia"/>
            <w:lang w:val="en-GB" w:eastAsia="zh-CN"/>
          </w:rPr>
          <m:t>ρ</m:t>
        </m:r>
      </m:oMath>
      <w:r>
        <w:rPr>
          <w:rFonts w:ascii="Times" w:hAnsi="Times" w:eastAsiaTheme="minorEastAsia"/>
          <w:b/>
          <w:lang w:val="en-GB" w:eastAsia="zh-CN"/>
        </w:rPr>
        <w:t xml:space="preserve"> (Ratio of mean served cell throughput and offered cell throughput, see TR36.889 [3]) can be used as the system-level evaluation metric of DL coverage</w:t>
      </w:r>
      <w:r>
        <w:rPr>
          <w:rFonts w:ascii="Times" w:hAnsi="Times" w:eastAsiaTheme="minorEastAsia"/>
          <w:b/>
          <w:bCs/>
          <w:lang w:val="en-GB" w:eastAsia="zh-CN"/>
        </w:rPr>
        <w:t>.</w:t>
      </w:r>
    </w:p>
    <w:p>
      <w:pPr>
        <w:pStyle w:val="3"/>
        <w:spacing w:after="0" w:line="252" w:lineRule="auto"/>
        <w:rPr>
          <w:rFonts w:ascii="Times" w:hAnsi="Times" w:eastAsia="Batang"/>
          <w:b/>
          <w:lang w:val="en-GB"/>
        </w:rPr>
      </w:pPr>
      <w:r>
        <w:rPr>
          <w:rFonts w:ascii="Times" w:hAnsi="Times" w:eastAsia="Batang"/>
          <w:b/>
          <w:lang w:val="en-GB"/>
        </w:rPr>
        <w:t>Observation 1</w:t>
      </w:r>
      <w:r>
        <w:rPr>
          <w:rFonts w:hint="eastAsia" w:ascii="Times" w:hAnsi="Times" w:eastAsia="Batang"/>
          <w:b/>
          <w:lang w:val="en-GB"/>
        </w:rPr>
        <w:t>:</w:t>
      </w:r>
      <w:r>
        <w:rPr>
          <w:rFonts w:ascii="Times" w:hAnsi="Times" w:eastAsia="Batang"/>
          <w:b/>
          <w:lang w:val="en-GB"/>
        </w:rPr>
        <w:t xml:space="preserve"> For link level evaluation of physical downlink channels, when EIRP reduction is not considered:</w:t>
      </w:r>
    </w:p>
    <w:p>
      <w:pPr>
        <w:pStyle w:val="3"/>
        <w:numPr>
          <w:ilvl w:val="0"/>
          <w:numId w:val="9"/>
        </w:numPr>
        <w:spacing w:after="0" w:line="252" w:lineRule="auto"/>
        <w:rPr>
          <w:rFonts w:ascii="Times" w:hAnsi="Times" w:eastAsia="Batang"/>
          <w:b/>
        </w:rPr>
      </w:pPr>
      <w:r>
        <w:rPr>
          <w:rFonts w:ascii="Times" w:hAnsi="Times" w:eastAsiaTheme="minorEastAsia"/>
          <w:b/>
          <w:lang w:eastAsia="zh-CN"/>
        </w:rPr>
        <w:t xml:space="preserve">For LEO600-set1, Msg2 PDSCH and PDCCH </w:t>
      </w:r>
      <w:r>
        <w:rPr>
          <w:rFonts w:hint="eastAsia" w:ascii="Times" w:hAnsi="Times" w:eastAsiaTheme="minorEastAsia"/>
          <w:b/>
          <w:lang w:eastAsia="zh-CN"/>
        </w:rPr>
        <w:t>provide</w:t>
      </w:r>
      <w:r>
        <w:rPr>
          <w:rFonts w:ascii="Times" w:hAnsi="Times" w:eastAsiaTheme="minorEastAsia"/>
          <w:b/>
          <w:lang w:eastAsia="zh-CN"/>
        </w:rPr>
        <w:t xml:space="preserve"> </w:t>
      </w:r>
      <w:r>
        <w:rPr>
          <w:rFonts w:hint="eastAsia" w:ascii="Times" w:hAnsi="Times" w:eastAsiaTheme="minorEastAsia"/>
          <w:b/>
          <w:lang w:val="en-US" w:eastAsia="zh-CN"/>
        </w:rPr>
        <w:t>approximately</w:t>
      </w:r>
      <w:r>
        <w:rPr>
          <w:rFonts w:ascii="Times" w:hAnsi="Times" w:eastAsiaTheme="minorEastAsia"/>
          <w:b/>
          <w:lang w:eastAsia="zh-CN"/>
        </w:rPr>
        <w:t xml:space="preserve"> 6dB SNR link margin.</w:t>
      </w:r>
    </w:p>
    <w:p>
      <w:pPr>
        <w:pStyle w:val="3"/>
        <w:numPr>
          <w:ilvl w:val="0"/>
          <w:numId w:val="9"/>
        </w:numPr>
        <w:spacing w:after="0" w:line="252" w:lineRule="auto"/>
        <w:rPr>
          <w:rFonts w:ascii="Times" w:hAnsi="Times" w:eastAsia="Batang"/>
          <w:b/>
        </w:rPr>
      </w:pPr>
      <w:r>
        <w:rPr>
          <w:rFonts w:hint="eastAsia" w:ascii="Times" w:hAnsi="Times" w:eastAsiaTheme="minorEastAsia"/>
          <w:b/>
          <w:lang w:val="en-US" w:eastAsia="zh-CN"/>
        </w:rPr>
        <w:t>For GEO-set1, no link margin is observed.</w:t>
      </w:r>
    </w:p>
    <w:p>
      <w:pPr>
        <w:pStyle w:val="3"/>
        <w:numPr>
          <w:ilvl w:val="0"/>
          <w:numId w:val="9"/>
        </w:numPr>
        <w:spacing w:after="0" w:line="252" w:lineRule="auto"/>
        <w:rPr>
          <w:rFonts w:ascii="Times" w:hAnsi="Times" w:eastAsia="Batang"/>
          <w:b/>
        </w:rPr>
      </w:pPr>
      <w:r>
        <w:rPr>
          <w:rFonts w:ascii="Times" w:hAnsi="Times" w:eastAsiaTheme="minorEastAsia"/>
          <w:b/>
          <w:lang w:eastAsia="zh-CN"/>
        </w:rPr>
        <w:t xml:space="preserve">For GEO-set2, Msg2 PDSCH </w:t>
      </w:r>
      <w:r>
        <w:rPr>
          <w:rFonts w:hint="eastAsia" w:ascii="Times" w:hAnsi="Times" w:eastAsiaTheme="minorEastAsia"/>
          <w:b/>
          <w:lang w:eastAsia="zh-CN"/>
        </w:rPr>
        <w:t>a</w:t>
      </w:r>
      <w:r>
        <w:rPr>
          <w:rFonts w:ascii="Times" w:hAnsi="Times" w:eastAsiaTheme="minorEastAsia"/>
          <w:b/>
          <w:lang w:eastAsia="zh-CN"/>
        </w:rPr>
        <w:t>nd PDCCH have about 6dB coverage gap to be compensated.</w:t>
      </w:r>
    </w:p>
    <w:p>
      <w:pPr>
        <w:pStyle w:val="3"/>
        <w:numPr>
          <w:ilvl w:val="0"/>
          <w:numId w:val="9"/>
        </w:numPr>
        <w:spacing w:after="0" w:line="252" w:lineRule="auto"/>
        <w:rPr>
          <w:rFonts w:ascii="Times" w:hAnsi="Times" w:eastAsia="Batang"/>
          <w:b/>
        </w:rPr>
      </w:pPr>
      <w:r>
        <w:rPr>
          <w:rFonts w:hint="eastAsia" w:ascii="Times" w:hAnsi="Times" w:eastAsiaTheme="minorEastAsia"/>
          <w:b/>
          <w:lang w:val="en-US" w:eastAsia="zh-CN"/>
        </w:rPr>
        <w:t xml:space="preserve">Without considering retransmission, in LEO600-set1 case, Msg4 </w:t>
      </w:r>
      <w:r>
        <w:rPr>
          <w:rFonts w:ascii="Times" w:hAnsi="Times" w:eastAsiaTheme="minorEastAsia"/>
          <w:b/>
          <w:lang w:eastAsia="zh-CN"/>
        </w:rPr>
        <w:t xml:space="preserve"> </w:t>
      </w:r>
      <w:r>
        <w:rPr>
          <w:rFonts w:hint="eastAsia" w:ascii="Times" w:hAnsi="Times" w:eastAsiaTheme="minorEastAsia"/>
          <w:b/>
          <w:lang w:val="en-US" w:eastAsia="zh-CN"/>
        </w:rPr>
        <w:t xml:space="preserve">PDSCH has approximately 3dB link margin and has coverage gap for GEO case. </w:t>
      </w:r>
    </w:p>
    <w:p>
      <w:pPr>
        <w:pStyle w:val="3"/>
        <w:numPr>
          <w:numId w:val="0"/>
        </w:numPr>
        <w:spacing w:after="0" w:line="252" w:lineRule="auto"/>
        <w:ind w:left="567" w:leftChars="0"/>
        <w:rPr>
          <w:rFonts w:ascii="Times" w:hAnsi="Times" w:eastAsia="Batang"/>
          <w:b/>
        </w:rPr>
      </w:pPr>
    </w:p>
    <w:p>
      <w:pPr>
        <w:pStyle w:val="3"/>
        <w:spacing w:line="252" w:lineRule="auto"/>
        <w:rPr>
          <w:rFonts w:ascii="Times" w:hAnsi="Times" w:eastAsia="Batang"/>
          <w:b/>
          <w:lang w:val="en-GB"/>
        </w:rPr>
      </w:pPr>
      <w:r>
        <w:rPr>
          <w:rFonts w:ascii="Times" w:hAnsi="Times" w:eastAsia="Batang"/>
          <w:b/>
          <w:lang w:val="en-GB"/>
        </w:rPr>
        <w:t>Observation 2</w:t>
      </w:r>
      <w:r>
        <w:rPr>
          <w:rFonts w:hint="eastAsia" w:ascii="Times" w:hAnsi="Times" w:eastAsia="Batang"/>
          <w:b/>
          <w:lang w:val="en-GB"/>
        </w:rPr>
        <w:t>:</w:t>
      </w:r>
      <w:r>
        <w:rPr>
          <w:rFonts w:ascii="Times" w:hAnsi="Times" w:eastAsia="Batang"/>
          <w:b/>
          <w:lang w:val="en-GB"/>
        </w:rPr>
        <w:t xml:space="preserve"> F</w:t>
      </w:r>
      <w:r>
        <w:rPr>
          <w:rFonts w:eastAsiaTheme="minorEastAsia"/>
          <w:b/>
          <w:lang w:val="en-GB" w:eastAsia="zh-CN"/>
        </w:rPr>
        <w:t>or a given elevation angle target, the beam layout method with fixed beam area needs more satellite beams to cover from the nadir point to the target elevation angle, and the difference decreases with the increase of the target elevation angle.</w:t>
      </w:r>
    </w:p>
    <w:p>
      <w:pPr>
        <w:pStyle w:val="3"/>
        <w:spacing w:line="252" w:lineRule="auto"/>
        <w:rPr>
          <w:rFonts w:ascii="Times" w:hAnsi="Times" w:eastAsiaTheme="minorEastAsia"/>
          <w:b/>
          <w:lang w:val="en-GB" w:eastAsia="zh-CN"/>
        </w:rPr>
      </w:pPr>
      <w:r>
        <w:rPr>
          <w:rFonts w:ascii="Times" w:hAnsi="Times" w:eastAsia="Batang"/>
          <w:b/>
          <w:lang w:val="en-GB"/>
        </w:rPr>
        <w:t>Observation 3</w:t>
      </w:r>
      <w:r>
        <w:rPr>
          <w:rFonts w:hint="eastAsia" w:ascii="Times" w:hAnsi="Times" w:eastAsia="Batang"/>
          <w:b/>
          <w:lang w:val="en-GB"/>
        </w:rPr>
        <w:t>:</w:t>
      </w:r>
      <w:r>
        <w:rPr>
          <w:rFonts w:ascii="Times" w:hAnsi="Times" w:eastAsia="Batang"/>
          <w:b/>
          <w:lang w:val="en-GB"/>
        </w:rPr>
        <w:t xml:space="preserve"> Dynamic beam hopping provides better performance than semi-static beam hopping in terms of </w:t>
      </w:r>
      <m:oMath>
        <m:r>
          <m:rPr>
            <m:sty m:val="bi"/>
          </m:rPr>
          <w:rPr>
            <w:rFonts w:ascii="Cambria Math" w:hAnsi="Cambria Math" w:eastAsia="Batang"/>
            <w:lang w:val="en-GB"/>
          </w:rPr>
          <m:t>ρ</m:t>
        </m:r>
      </m:oMath>
      <w:r>
        <w:rPr>
          <w:rFonts w:hint="eastAsia" w:ascii="Times" w:hAnsi="Times" w:eastAsiaTheme="minorEastAsia"/>
          <w:b/>
          <w:bCs/>
          <w:lang w:val="en-GB" w:eastAsia="zh-CN"/>
        </w:rPr>
        <w:t>.</w:t>
      </w:r>
    </w:p>
    <w:p>
      <w:pPr>
        <w:pStyle w:val="3"/>
        <w:spacing w:line="252" w:lineRule="auto"/>
        <w:rPr>
          <w:rFonts w:ascii="Times" w:hAnsi="Times" w:eastAsia="Batang"/>
          <w:b/>
          <w:lang w:val="en-GB"/>
        </w:rPr>
      </w:pPr>
      <w:r>
        <w:rPr>
          <w:rFonts w:ascii="Times" w:hAnsi="Times" w:eastAsia="Batang"/>
          <w:b/>
          <w:lang w:val="en-GB"/>
        </w:rPr>
        <w:t>Observation 4</w:t>
      </w:r>
      <w:r>
        <w:rPr>
          <w:rFonts w:hint="eastAsia" w:ascii="Times" w:hAnsi="Times" w:eastAsia="Batang"/>
          <w:b/>
          <w:lang w:val="en-GB"/>
        </w:rPr>
        <w:t>:</w:t>
      </w:r>
      <w:r>
        <w:rPr>
          <w:rFonts w:ascii="Times" w:hAnsi="Times" w:eastAsia="Batang"/>
          <w:b/>
          <w:lang w:val="en-GB"/>
        </w:rPr>
        <w:t xml:space="preserve"> </w:t>
      </w:r>
      <w:r>
        <w:rPr>
          <w:rFonts w:ascii="Times" w:hAnsi="Times" w:eastAsia="Batang"/>
          <w:b/>
          <w:bCs/>
          <w:lang w:val="en-GB"/>
        </w:rPr>
        <w:t>Increasing the simultaneously activ</w:t>
      </w:r>
      <w:bookmarkStart w:id="9" w:name="_GoBack"/>
      <w:bookmarkEnd w:id="9"/>
      <w:r>
        <w:rPr>
          <w:rFonts w:ascii="Times" w:hAnsi="Times" w:eastAsia="Batang"/>
          <w:b/>
          <w:bCs/>
          <w:lang w:val="en-GB"/>
        </w:rPr>
        <w:t>e beam number obtains obvious gains for both semi-static beam hopping and dynamic beam hopping.</w:t>
      </w:r>
    </w:p>
    <w:p>
      <w:pPr>
        <w:pStyle w:val="3"/>
        <w:spacing w:line="252" w:lineRule="auto"/>
        <w:rPr>
          <w:rFonts w:ascii="Times" w:hAnsi="Times" w:eastAsia="Batang"/>
          <w:b/>
          <w:lang w:val="en-GB"/>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jc w:val="left"/>
        <w:rPr>
          <w:rFonts w:eastAsia="宋体"/>
          <w:szCs w:val="20"/>
          <w:lang w:val="en-GB" w:eastAsia="zh-CN"/>
        </w:rPr>
      </w:pPr>
      <w:r>
        <w:rPr>
          <w:rFonts w:eastAsia="宋体"/>
          <w:szCs w:val="20"/>
          <w:lang w:eastAsia="zh-CN"/>
        </w:rPr>
        <w:t>[1]       RP-234078, “</w:t>
      </w:r>
      <w:r>
        <w:rPr>
          <w:rFonts w:eastAsia="宋体"/>
          <w:szCs w:val="20"/>
          <w:lang w:val="en-GB" w:eastAsia="zh-CN"/>
        </w:rPr>
        <w:t>New WID: Non-Terrestrial Networks (NTN) for NR Phase 3</w:t>
      </w:r>
      <w:r>
        <w:rPr>
          <w:rFonts w:eastAsia="宋体"/>
          <w:szCs w:val="20"/>
          <w:lang w:eastAsia="zh-CN"/>
        </w:rPr>
        <w:t xml:space="preserve">”, Huawei, RAN#102, </w:t>
      </w:r>
      <w:r>
        <w:rPr>
          <w:rFonts w:eastAsia="宋体"/>
          <w:szCs w:val="20"/>
          <w:lang w:val="en-GB" w:eastAsia="zh-CN"/>
        </w:rPr>
        <w:t>December 11-15, 2023</w:t>
      </w:r>
    </w:p>
    <w:p>
      <w:pPr>
        <w:pStyle w:val="3"/>
        <w:ind w:left="600" w:hanging="600" w:hangingChars="300"/>
        <w:rPr>
          <w:rFonts w:eastAsia="宋体"/>
          <w:szCs w:val="20"/>
          <w:lang w:eastAsia="zh-CN"/>
        </w:rPr>
      </w:pPr>
      <w:r>
        <w:rPr>
          <w:rFonts w:eastAsia="宋体"/>
          <w:szCs w:val="20"/>
          <w:lang w:eastAsia="zh-CN"/>
        </w:rPr>
        <w:t>[2]       3GPP TR 38.821, Solutions for NR to support non-terrestrial networks (NTN)</w:t>
      </w:r>
    </w:p>
    <w:p>
      <w:pPr>
        <w:pStyle w:val="3"/>
        <w:ind w:left="600" w:hanging="600" w:hangingChars="300"/>
        <w:rPr>
          <w:rFonts w:eastAsia="宋体"/>
          <w:szCs w:val="20"/>
          <w:lang w:eastAsia="zh-CN"/>
        </w:rPr>
      </w:pPr>
      <w:r>
        <w:rPr>
          <w:rFonts w:eastAsia="宋体"/>
          <w:szCs w:val="20"/>
          <w:lang w:eastAsia="zh-CN"/>
        </w:rPr>
        <w:t xml:space="preserve">[3]       3GPP TR 36.889, </w:t>
      </w:r>
      <w:r>
        <w:t>Study on Licensed-Assisted Access to Unlicensed Spectrum</w:t>
      </w:r>
    </w:p>
    <w:p>
      <w:pPr>
        <w:pStyle w:val="3"/>
        <w:ind w:left="600" w:hanging="600" w:hangingChars="300"/>
        <w:jc w:val="left"/>
        <w:rPr>
          <w:rFonts w:eastAsia="宋体"/>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Simulation assumptions</w:t>
      </w:r>
    </w:p>
    <w:p>
      <w:pPr>
        <w:jc w:val="center"/>
      </w:pPr>
      <w:r>
        <w:rPr>
          <w:rFonts w:hint="eastAsia" w:eastAsia="等线"/>
          <w:kern w:val="2"/>
          <w:szCs w:val="20"/>
          <w:lang w:eastAsia="zh-CN"/>
        </w:rPr>
        <w:t>T</w:t>
      </w:r>
      <w:r>
        <w:rPr>
          <w:rFonts w:eastAsia="等线"/>
          <w:kern w:val="2"/>
          <w:szCs w:val="20"/>
          <w:lang w:eastAsia="zh-CN"/>
        </w:rPr>
        <w:t xml:space="preserve">able 5. </w:t>
      </w:r>
      <w:r>
        <w:t>LLS parameters for PDCCH</w:t>
      </w:r>
    </w:p>
    <w:tbl>
      <w:tblPr>
        <w:tblStyle w:val="20"/>
        <w:tblW w:w="77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5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 w:hRule="atLeast"/>
          <w:tblHeader/>
          <w:jc w:val="center"/>
        </w:trPr>
        <w:tc>
          <w:tcPr>
            <w:tcW w:w="2626" w:type="dxa"/>
            <w:tcBorders>
              <w:top w:val="single" w:color="auto" w:sz="4" w:space="0"/>
              <w:left w:val="single" w:color="auto" w:sz="4" w:space="0"/>
              <w:bottom w:val="single" w:color="auto" w:sz="4" w:space="0"/>
              <w:right w:val="single" w:color="auto" w:sz="4" w:space="0"/>
            </w:tcBorders>
            <w:shd w:val="clear" w:color="auto" w:fill="F2F2F2"/>
            <w:vAlign w:val="center"/>
          </w:tcPr>
          <w:p>
            <w:pPr>
              <w:rPr>
                <w:b/>
                <w:szCs w:val="20"/>
              </w:rPr>
            </w:pPr>
            <w:r>
              <w:rPr>
                <w:b/>
                <w:szCs w:val="20"/>
              </w:rPr>
              <w:t>Assumptions</w:t>
            </w:r>
          </w:p>
        </w:tc>
        <w:tc>
          <w:tcPr>
            <w:tcW w:w="5166" w:type="dxa"/>
            <w:tcBorders>
              <w:top w:val="single" w:color="auto" w:sz="4" w:space="0"/>
              <w:left w:val="single" w:color="auto" w:sz="4" w:space="0"/>
              <w:bottom w:val="single" w:color="auto" w:sz="4" w:space="0"/>
              <w:right w:val="single" w:color="auto" w:sz="4" w:space="0"/>
            </w:tcBorders>
            <w:shd w:val="clear" w:color="auto" w:fill="F2F2F2"/>
            <w:vAlign w:val="center"/>
          </w:tcPr>
          <w:p>
            <w:pPr>
              <w:rPr>
                <w:b/>
                <w:szCs w:val="20"/>
              </w:rPr>
            </w:pPr>
            <w:r>
              <w:rPr>
                <w:b/>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7"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Carrier Frequency</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7"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System bandwidth</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3</w:t>
            </w:r>
            <w:r>
              <w:rPr>
                <w:szCs w:val="20"/>
              </w:rPr>
              <w:t>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Channel model</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NTN-TDL-C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Subcarrier spacing</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1</w:t>
            </w:r>
            <w:r>
              <w:rPr>
                <w:szCs w:val="20"/>
              </w:rPr>
              <w:t>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Channel estimation</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Realistic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B</w:t>
            </w:r>
            <w:r>
              <w:rPr>
                <w:szCs w:val="20"/>
              </w:rPr>
              <w:t>S antenna configuration</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1 T</w:t>
            </w:r>
            <w:r>
              <w:rPr>
                <w:rFonts w:hint="eastAsia"/>
                <w:szCs w:val="20"/>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U</w:t>
            </w:r>
            <w:r>
              <w:rPr>
                <w:szCs w:val="20"/>
              </w:rPr>
              <w:t>E antenna configuration</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w:t>
            </w:r>
            <w:r>
              <w:rPr>
                <w:szCs w:val="20"/>
              </w:rPr>
              <w:t>1,1,2)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U</w:t>
            </w:r>
            <w:r>
              <w:rPr>
                <w:szCs w:val="20"/>
              </w:rPr>
              <w:t>E speed</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3</w:t>
            </w:r>
            <w:r>
              <w:rPr>
                <w:szCs w:val="20"/>
              </w:rPr>
              <w:t xml:space="preserve">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szCs w:val="20"/>
              </w:rPr>
              <w:t>Aggregation level</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1</w:t>
            </w:r>
            <w:r>
              <w:rPr>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P</w:t>
            </w:r>
            <w:r>
              <w:rPr>
                <w:szCs w:val="20"/>
              </w:rPr>
              <w:t>ayload</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4</w:t>
            </w:r>
            <w:r>
              <w:rPr>
                <w:szCs w:val="20"/>
              </w:rPr>
              <w:t>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C</w:t>
            </w:r>
            <w:r>
              <w:rPr>
                <w:szCs w:val="20"/>
              </w:rPr>
              <w:t>ORESET size</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2</w:t>
            </w:r>
            <w:r>
              <w:rPr>
                <w:szCs w:val="20"/>
              </w:rPr>
              <w:t xml:space="preserve"> symbols, 48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B</w:t>
            </w:r>
            <w:r>
              <w:rPr>
                <w:szCs w:val="20"/>
              </w:rPr>
              <w:t>LER</w:t>
            </w:r>
          </w:p>
        </w:tc>
        <w:tc>
          <w:tcPr>
            <w:tcW w:w="5166" w:type="dxa"/>
            <w:tcBorders>
              <w:top w:val="single" w:color="auto" w:sz="4" w:space="0"/>
              <w:left w:val="single" w:color="auto" w:sz="4" w:space="0"/>
              <w:bottom w:val="single" w:color="auto" w:sz="4" w:space="0"/>
              <w:right w:val="single" w:color="auto" w:sz="4" w:space="0"/>
            </w:tcBorders>
            <w:vAlign w:val="center"/>
          </w:tcPr>
          <w:p>
            <w:pPr>
              <w:snapToGrid w:val="0"/>
              <w:rPr>
                <w:szCs w:val="20"/>
              </w:rPr>
            </w:pPr>
            <w:r>
              <w:rPr>
                <w:rFonts w:hint="eastAsia"/>
                <w:szCs w:val="20"/>
              </w:rPr>
              <w:t>1</w:t>
            </w:r>
            <w:r>
              <w:rPr>
                <w:szCs w:val="20"/>
              </w:rPr>
              <w:t>% BLER</w:t>
            </w:r>
          </w:p>
        </w:tc>
      </w:tr>
    </w:tbl>
    <w:p>
      <w:pPr>
        <w:pStyle w:val="3"/>
        <w:snapToGrid w:val="0"/>
        <w:spacing w:after="0"/>
        <w:rPr>
          <w:rFonts w:eastAsiaTheme="minorEastAsia"/>
          <w:lang w:eastAsia="zh-CN"/>
        </w:rPr>
      </w:pPr>
    </w:p>
    <w:p>
      <w:pPr>
        <w:jc w:val="center"/>
      </w:pPr>
      <w:r>
        <w:rPr>
          <w:rFonts w:hint="eastAsia" w:eastAsia="等线"/>
          <w:kern w:val="2"/>
          <w:szCs w:val="20"/>
          <w:lang w:eastAsia="zh-CN"/>
        </w:rPr>
        <w:t>T</w:t>
      </w:r>
      <w:r>
        <w:rPr>
          <w:rFonts w:eastAsia="等线"/>
          <w:kern w:val="2"/>
          <w:szCs w:val="20"/>
          <w:lang w:eastAsia="zh-CN"/>
        </w:rPr>
        <w:t xml:space="preserve">able 6. </w:t>
      </w:r>
      <w:r>
        <w:t>LLS parameters for PDSCH</w:t>
      </w:r>
    </w:p>
    <w:tbl>
      <w:tblPr>
        <w:tblStyle w:val="20"/>
        <w:tblW w:w="78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7"/>
        <w:gridCol w:w="5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 w:hRule="atLeast"/>
          <w:jc w:val="center"/>
        </w:trPr>
        <w:tc>
          <w:tcPr>
            <w:tcW w:w="2627" w:type="dxa"/>
            <w:tcBorders>
              <w:top w:val="single" w:color="auto" w:sz="4" w:space="0"/>
              <w:left w:val="single" w:color="auto" w:sz="4" w:space="0"/>
              <w:bottom w:val="single" w:color="auto" w:sz="4" w:space="0"/>
              <w:right w:val="single" w:color="auto" w:sz="4" w:space="0"/>
            </w:tcBorders>
            <w:shd w:val="clear" w:color="auto" w:fill="F2F2F2"/>
            <w:vAlign w:val="center"/>
          </w:tcPr>
          <w:p>
            <w:pPr>
              <w:rPr>
                <w:b/>
                <w:szCs w:val="20"/>
              </w:rPr>
            </w:pPr>
            <w:r>
              <w:rPr>
                <w:b/>
                <w:szCs w:val="20"/>
              </w:rPr>
              <w:t>Assumptions</w:t>
            </w:r>
          </w:p>
        </w:tc>
        <w:tc>
          <w:tcPr>
            <w:tcW w:w="5266" w:type="dxa"/>
            <w:tcBorders>
              <w:top w:val="single" w:color="auto" w:sz="4" w:space="0"/>
              <w:left w:val="single" w:color="auto" w:sz="4" w:space="0"/>
              <w:bottom w:val="single" w:color="auto" w:sz="4" w:space="0"/>
              <w:right w:val="single" w:color="auto" w:sz="4" w:space="0"/>
            </w:tcBorders>
            <w:shd w:val="clear" w:color="auto" w:fill="F2F2F2"/>
            <w:vAlign w:val="center"/>
          </w:tcPr>
          <w:p>
            <w:pPr>
              <w:rPr>
                <w:b/>
                <w:szCs w:val="20"/>
              </w:rPr>
            </w:pPr>
            <w:r>
              <w:rPr>
                <w:b/>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Frequency</w:t>
            </w:r>
          </w:p>
        </w:tc>
        <w:tc>
          <w:tcPr>
            <w:tcW w:w="5266" w:type="dxa"/>
            <w:shd w:val="clear" w:color="auto" w:fill="auto"/>
            <w:vAlign w:val="center"/>
          </w:tcPr>
          <w:p>
            <w:pPr>
              <w:rPr>
                <w:szCs w:val="20"/>
              </w:rPr>
            </w:pPr>
            <w:r>
              <w:rPr>
                <w:rFonts w:hint="eastAsia"/>
                <w:szCs w:val="20"/>
              </w:rPr>
              <w:t>2</w:t>
            </w:r>
            <w:r>
              <w:rPr>
                <w:szCs w:val="20"/>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Waveform</w:t>
            </w:r>
          </w:p>
        </w:tc>
        <w:tc>
          <w:tcPr>
            <w:tcW w:w="5266" w:type="dxa"/>
            <w:shd w:val="clear" w:color="auto" w:fill="auto"/>
            <w:vAlign w:val="center"/>
          </w:tcPr>
          <w:p>
            <w:pPr>
              <w:rPr>
                <w:szCs w:val="20"/>
              </w:rPr>
            </w:pPr>
            <w:r>
              <w:rPr>
                <w:szCs w:val="20"/>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Subcarrier spacing</w:t>
            </w:r>
          </w:p>
        </w:tc>
        <w:tc>
          <w:tcPr>
            <w:tcW w:w="5266" w:type="dxa"/>
            <w:shd w:val="clear" w:color="auto" w:fill="auto"/>
            <w:vAlign w:val="center"/>
          </w:tcPr>
          <w:p>
            <w:pPr>
              <w:rPr>
                <w:szCs w:val="20"/>
              </w:rPr>
            </w:pPr>
            <w:r>
              <w:rPr>
                <w:szCs w:val="20"/>
              </w:rPr>
              <w:t>15</w:t>
            </w:r>
            <w:r>
              <w:rPr>
                <w:rFonts w:hint="eastAsia"/>
                <w:szCs w:val="20"/>
              </w:rPr>
              <w:t>k</w:t>
            </w:r>
            <w:r>
              <w:rPr>
                <w:szCs w:val="20"/>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BLER</w:t>
            </w:r>
          </w:p>
        </w:tc>
        <w:tc>
          <w:tcPr>
            <w:tcW w:w="5266" w:type="dxa"/>
            <w:shd w:val="clear" w:color="auto" w:fill="auto"/>
            <w:vAlign w:val="center"/>
          </w:tcPr>
          <w:p>
            <w:pPr>
              <w:rPr>
                <w:color w:val="000000" w:themeColor="text1"/>
                <w:szCs w:val="20"/>
                <w14:textFill>
                  <w14:solidFill>
                    <w14:schemeClr w14:val="tx1"/>
                  </w14:solidFill>
                </w14:textFill>
              </w:rPr>
            </w:pPr>
            <w:r>
              <w:rPr>
                <w:color w:val="000000" w:themeColor="text1"/>
                <w:szCs w:val="20"/>
                <w14:textFill>
                  <w14:solidFill>
                    <w14:schemeClr w14:val="tx1"/>
                  </w14:solidFill>
                </w14:textFill>
              </w:rPr>
              <w:t>10% 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S</w:t>
            </w:r>
            <w:r>
              <w:rPr>
                <w:rFonts w:hint="eastAsia"/>
                <w:szCs w:val="20"/>
              </w:rPr>
              <w:t>ystem</w:t>
            </w:r>
            <w:r>
              <w:rPr>
                <w:szCs w:val="20"/>
              </w:rPr>
              <w:t xml:space="preserve"> bandwidth</w:t>
            </w:r>
          </w:p>
        </w:tc>
        <w:tc>
          <w:tcPr>
            <w:tcW w:w="5266" w:type="dxa"/>
            <w:shd w:val="clear" w:color="auto" w:fill="auto"/>
            <w:vAlign w:val="center"/>
          </w:tcPr>
          <w:p>
            <w:pPr>
              <w:rPr>
                <w:szCs w:val="20"/>
              </w:rPr>
            </w:pPr>
            <w:r>
              <w:rPr>
                <w:szCs w:val="20"/>
              </w:rPr>
              <w:t>3</w:t>
            </w:r>
            <w:r>
              <w:rPr>
                <w:rFonts w:hint="eastAsia"/>
                <w:szCs w:val="20"/>
              </w:rPr>
              <w:t>0</w:t>
            </w:r>
            <w:r>
              <w:rPr>
                <w:szCs w:val="20"/>
              </w:rPr>
              <w:t>MH</w:t>
            </w:r>
            <w:r>
              <w:rPr>
                <w:rFonts w:hint="eastAsia"/>
                <w:szCs w:val="20"/>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 xml:space="preserve">Channel model </w:t>
            </w:r>
          </w:p>
        </w:tc>
        <w:tc>
          <w:tcPr>
            <w:tcW w:w="5266" w:type="dxa"/>
            <w:shd w:val="clear" w:color="auto" w:fill="auto"/>
            <w:vAlign w:val="center"/>
          </w:tcPr>
          <w:p>
            <w:pPr>
              <w:rPr>
                <w:szCs w:val="20"/>
              </w:rPr>
            </w:pPr>
            <w:r>
              <w:rPr>
                <w:szCs w:val="20"/>
              </w:rPr>
              <w:t>NTN-TDL-C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rFonts w:hint="eastAsia"/>
                <w:szCs w:val="20"/>
              </w:rPr>
              <w:t>B</w:t>
            </w:r>
            <w:r>
              <w:rPr>
                <w:szCs w:val="20"/>
              </w:rPr>
              <w:t>S antenna configuration</w:t>
            </w:r>
          </w:p>
        </w:tc>
        <w:tc>
          <w:tcPr>
            <w:tcW w:w="5266" w:type="dxa"/>
            <w:shd w:val="clear" w:color="auto" w:fill="auto"/>
            <w:vAlign w:val="center"/>
          </w:tcPr>
          <w:p>
            <w:pPr>
              <w:rPr>
                <w:szCs w:val="20"/>
              </w:rPr>
            </w:pPr>
            <w:r>
              <w:rPr>
                <w:szCs w:val="20"/>
              </w:rPr>
              <w:t>1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rFonts w:hint="eastAsia"/>
                <w:szCs w:val="20"/>
              </w:rPr>
              <w:t>U</w:t>
            </w:r>
            <w:r>
              <w:rPr>
                <w:szCs w:val="20"/>
              </w:rPr>
              <w:t>E antenna configuration</w:t>
            </w:r>
          </w:p>
        </w:tc>
        <w:tc>
          <w:tcPr>
            <w:tcW w:w="5266" w:type="dxa"/>
            <w:shd w:val="clear" w:color="auto" w:fill="auto"/>
            <w:vAlign w:val="center"/>
          </w:tcPr>
          <w:p>
            <w:pPr>
              <w:rPr>
                <w:szCs w:val="20"/>
              </w:rPr>
            </w:pPr>
            <w:r>
              <w:rPr>
                <w:rFonts w:hint="eastAsia"/>
                <w:szCs w:val="20"/>
              </w:rPr>
              <w:t>(</w:t>
            </w:r>
            <w:r>
              <w:rPr>
                <w:szCs w:val="20"/>
              </w:rPr>
              <w:t>1,1,2)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UE velocity</w:t>
            </w:r>
          </w:p>
        </w:tc>
        <w:tc>
          <w:tcPr>
            <w:tcW w:w="5266" w:type="dxa"/>
            <w:shd w:val="clear" w:color="auto" w:fill="auto"/>
            <w:vAlign w:val="center"/>
          </w:tcPr>
          <w:p>
            <w:pPr>
              <w:rPr>
                <w:szCs w:val="20"/>
              </w:rPr>
            </w:pPr>
            <w:r>
              <w:rPr>
                <w:szCs w:val="20"/>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rFonts w:hint="eastAsia"/>
                <w:szCs w:val="20"/>
              </w:rPr>
              <w:t>M</w:t>
            </w:r>
            <w:r>
              <w:rPr>
                <w:szCs w:val="20"/>
              </w:rPr>
              <w:t>CS</w:t>
            </w:r>
          </w:p>
        </w:tc>
        <w:tc>
          <w:tcPr>
            <w:tcW w:w="5266" w:type="dxa"/>
            <w:shd w:val="clear" w:color="auto" w:fill="auto"/>
            <w:vAlign w:val="center"/>
          </w:tcPr>
          <w:p>
            <w:pPr>
              <w:rPr>
                <w:szCs w:val="20"/>
              </w:rPr>
            </w:pPr>
            <w:r>
              <w:rPr>
                <w:szCs w:val="20"/>
              </w:rPr>
              <w:t>MCS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rFonts w:hint="eastAsia"/>
                <w:szCs w:val="20"/>
              </w:rPr>
              <w:t>T</w:t>
            </w:r>
            <w:r>
              <w:rPr>
                <w:szCs w:val="20"/>
              </w:rPr>
              <w:t>BS</w:t>
            </w:r>
          </w:p>
        </w:tc>
        <w:tc>
          <w:tcPr>
            <w:tcW w:w="5266" w:type="dxa"/>
            <w:shd w:val="clear" w:color="auto" w:fill="auto"/>
            <w:vAlign w:val="center"/>
          </w:tcPr>
          <w:p>
            <w:pPr>
              <w:rPr>
                <w:szCs w:val="20"/>
              </w:rPr>
            </w:pPr>
            <w:r>
              <w:rPr>
                <w:szCs w:val="20"/>
              </w:rPr>
              <w:t xml:space="preserve">Msg2 PDSCH: 56bits. </w:t>
            </w:r>
          </w:p>
          <w:p>
            <w:pPr>
              <w:rPr>
                <w:rFonts w:eastAsiaTheme="minorEastAsia"/>
                <w:szCs w:val="20"/>
                <w:lang w:eastAsia="zh-CN"/>
              </w:rPr>
            </w:pPr>
            <w:r>
              <w:rPr>
                <w:rFonts w:hint="eastAsia" w:eastAsiaTheme="minorEastAsia"/>
                <w:szCs w:val="20"/>
                <w:lang w:eastAsia="zh-CN"/>
              </w:rPr>
              <w:t>M</w:t>
            </w:r>
            <w:r>
              <w:rPr>
                <w:rFonts w:eastAsiaTheme="minorEastAsia"/>
                <w:szCs w:val="20"/>
                <w:lang w:eastAsia="zh-CN"/>
              </w:rPr>
              <w:t>sg4 PDSCH: 1040bits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PRBs</w:t>
            </w:r>
          </w:p>
        </w:tc>
        <w:tc>
          <w:tcPr>
            <w:tcW w:w="5266" w:type="dxa"/>
            <w:shd w:val="clear" w:color="auto" w:fill="auto"/>
            <w:vAlign w:val="center"/>
          </w:tcPr>
          <w:p>
            <w:pPr>
              <w:rPr>
                <w:rFonts w:eastAsiaTheme="minorEastAsia"/>
                <w:szCs w:val="20"/>
                <w:lang w:eastAsia="zh-CN"/>
              </w:rPr>
            </w:pPr>
            <w:r>
              <w:rPr>
                <w:rFonts w:hint="eastAsia" w:eastAsiaTheme="minorEastAsia"/>
                <w:szCs w:val="20"/>
                <w:lang w:eastAsia="zh-CN"/>
              </w:rPr>
              <w:t>M</w:t>
            </w:r>
            <w:r>
              <w:rPr>
                <w:rFonts w:eastAsiaTheme="minorEastAsia"/>
                <w:szCs w:val="20"/>
                <w:lang w:eastAsia="zh-CN"/>
              </w:rPr>
              <w:t>sg2 PDSCH: 3 PRBs.</w:t>
            </w:r>
          </w:p>
          <w:p>
            <w:pPr>
              <w:rPr>
                <w:szCs w:val="20"/>
              </w:rPr>
            </w:pPr>
            <w:r>
              <w:rPr>
                <w:szCs w:val="20"/>
              </w:rPr>
              <w:t>Msg4 PDSCH: 33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PDSCH duration</w:t>
            </w:r>
          </w:p>
        </w:tc>
        <w:tc>
          <w:tcPr>
            <w:tcW w:w="5266" w:type="dxa"/>
            <w:shd w:val="clear" w:color="auto" w:fill="auto"/>
            <w:vAlign w:val="center"/>
          </w:tcPr>
          <w:p>
            <w:pPr>
              <w:rPr>
                <w:szCs w:val="20"/>
              </w:rPr>
            </w:pPr>
            <w:r>
              <w:rPr>
                <w:rFonts w:hint="eastAsia"/>
                <w:szCs w:val="20"/>
              </w:rPr>
              <w:t>1</w:t>
            </w:r>
            <w:r>
              <w:rPr>
                <w:szCs w:val="20"/>
              </w:rPr>
              <w:t>1 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DMRS configuration</w:t>
            </w:r>
          </w:p>
        </w:tc>
        <w:tc>
          <w:tcPr>
            <w:tcW w:w="5266" w:type="dxa"/>
            <w:shd w:val="clear" w:color="auto" w:fill="auto"/>
            <w:vAlign w:val="center"/>
          </w:tcPr>
          <w:p>
            <w:pPr>
              <w:pStyle w:val="16"/>
              <w:spacing w:before="0" w:beforeAutospacing="0" w:after="0" w:afterAutospacing="0"/>
              <w:rPr>
                <w:rFonts w:ascii="Times New Roman" w:hAnsi="Times New Roman" w:eastAsia="Times New Roman" w:cs="Times New Roman"/>
                <w:sz w:val="20"/>
                <w:szCs w:val="20"/>
                <w:lang w:eastAsia="en-US"/>
              </w:rPr>
            </w:pPr>
            <w:r>
              <w:rPr>
                <w:rFonts w:ascii="Times New Roman" w:hAnsi="Times New Roman" w:eastAsia="Times New Roman" w:cs="Times New Roman"/>
                <w:sz w:val="20"/>
                <w:szCs w:val="20"/>
                <w:lang w:eastAsia="en-US"/>
              </w:rPr>
              <w:t>Type I, 1 DMRS symbol, no multiplexing with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szCs w:val="20"/>
              </w:rPr>
            </w:pPr>
            <w:r>
              <w:rPr>
                <w:szCs w:val="20"/>
              </w:rPr>
              <w:t>R</w:t>
            </w:r>
            <w:r>
              <w:rPr>
                <w:rFonts w:hint="eastAsia"/>
                <w:szCs w:val="20"/>
              </w:rPr>
              <w:t>ep</w:t>
            </w:r>
          </w:p>
        </w:tc>
        <w:tc>
          <w:tcPr>
            <w:tcW w:w="5266" w:type="dxa"/>
            <w:shd w:val="clear" w:color="auto" w:fill="auto"/>
            <w:vAlign w:val="center"/>
          </w:tcPr>
          <w:p>
            <w:pPr>
              <w:pStyle w:val="16"/>
              <w:spacing w:before="0" w:beforeAutospacing="0" w:after="0" w:afterAutospacing="0"/>
              <w:rPr>
                <w:rFonts w:ascii="Times New Roman" w:hAnsi="Times New Roman" w:eastAsia="Times New Roman" w:cs="Times New Roman"/>
                <w:sz w:val="20"/>
                <w:szCs w:val="20"/>
                <w:lang w:eastAsia="en-US"/>
              </w:rPr>
            </w:pPr>
            <w:r>
              <w:rPr>
                <w:rFonts w:ascii="Times New Roman" w:hAnsi="Times New Roman" w:eastAsia="Times New Roman" w:cs="Times New Roman"/>
                <w:sz w:val="20"/>
                <w:szCs w:val="20"/>
                <w:lang w:eastAsia="en-US"/>
              </w:rPr>
              <w:t>wo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7" w:type="dxa"/>
            <w:shd w:val="clear" w:color="auto" w:fill="auto"/>
            <w:vAlign w:val="center"/>
          </w:tcPr>
          <w:p>
            <w:pPr>
              <w:rPr>
                <w:rFonts w:eastAsiaTheme="minorEastAsia"/>
                <w:szCs w:val="20"/>
                <w:lang w:eastAsia="zh-CN"/>
              </w:rPr>
            </w:pPr>
            <w:r>
              <w:rPr>
                <w:rFonts w:eastAsiaTheme="minorEastAsia"/>
                <w:szCs w:val="20"/>
                <w:lang w:eastAsia="zh-CN"/>
              </w:rPr>
              <w:t>Frequency hopping</w:t>
            </w:r>
          </w:p>
        </w:tc>
        <w:tc>
          <w:tcPr>
            <w:tcW w:w="5266" w:type="dxa"/>
            <w:shd w:val="clear" w:color="auto" w:fill="auto"/>
            <w:vAlign w:val="center"/>
          </w:tcPr>
          <w:p>
            <w:pPr>
              <w:pStyle w:val="16"/>
              <w:spacing w:before="0" w:beforeAutospacing="0" w:after="0" w:afterAutospacing="0"/>
              <w:rPr>
                <w:rFonts w:ascii="Times New Roman" w:hAnsi="Times New Roman" w:cs="Times New Roman" w:eastAsiaTheme="minorEastAsia"/>
                <w:sz w:val="20"/>
                <w:szCs w:val="20"/>
              </w:rPr>
            </w:pPr>
            <w:r>
              <w:rPr>
                <w:rFonts w:hint="eastAsia" w:ascii="Times New Roman" w:hAnsi="Times New Roman" w:cs="Times New Roman" w:eastAsiaTheme="minorEastAsia"/>
                <w:sz w:val="20"/>
                <w:szCs w:val="20"/>
              </w:rPr>
              <w:t>w</w:t>
            </w:r>
            <w:r>
              <w:rPr>
                <w:rFonts w:ascii="Times New Roman" w:hAnsi="Times New Roman" w:cs="Times New Roman" w:eastAsiaTheme="minorEastAsia"/>
                <w:sz w:val="20"/>
                <w:szCs w:val="20"/>
              </w:rPr>
              <w:t>o</w:t>
            </w:r>
          </w:p>
        </w:tc>
      </w:tr>
    </w:tbl>
    <w:p>
      <w:pPr>
        <w:pStyle w:val="3"/>
        <w:snapToGrid w:val="0"/>
        <w:spacing w:after="0"/>
        <w:rPr>
          <w:rFonts w:eastAsiaTheme="minorEastAsia"/>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OPPO Sans">
    <w:altName w:val="宋体"/>
    <w:panose1 w:val="00020600040101010101"/>
    <w:charset w:val="86"/>
    <w:family w:val="roman"/>
    <w:pitch w:val="default"/>
    <w:sig w:usb0="00000000" w:usb1="00000000" w:usb2="00000016" w:usb3="00000000" w:csb0="0004009F"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66A0A61"/>
    <w:multiLevelType w:val="multilevel"/>
    <w:tmpl w:val="166A0A61"/>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EAF528E"/>
    <w:multiLevelType w:val="multilevel"/>
    <w:tmpl w:val="4EAF528E"/>
    <w:lvl w:ilvl="0" w:tentative="0">
      <w:start w:val="1"/>
      <w:numFmt w:val="bullet"/>
      <w:lvlText w:val="-"/>
      <w:lvlJc w:val="left"/>
      <w:pPr>
        <w:ind w:left="987" w:hanging="420"/>
      </w:pPr>
      <w:rPr>
        <w:rFonts w:hint="default" w:ascii="Times New Roman" w:hAnsi="Times New Roman" w:cs="Times New Roman"/>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7">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9"/>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7"/>
  </w:num>
  <w:num w:numId="4">
    <w:abstractNumId w:val="3"/>
  </w:num>
  <w:num w:numId="5">
    <w:abstractNumId w:val="1"/>
  </w:num>
  <w:num w:numId="6">
    <w:abstractNumId w:val="5"/>
  </w:num>
  <w:num w:numId="7">
    <w:abstractNumId w:val="8"/>
  </w:num>
  <w:num w:numId="8">
    <w:abstractNumId w:val="4"/>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68B"/>
    <w:rsid w:val="00020BFD"/>
    <w:rsid w:val="00020DAE"/>
    <w:rsid w:val="0002224F"/>
    <w:rsid w:val="00023600"/>
    <w:rsid w:val="00023704"/>
    <w:rsid w:val="00023BB9"/>
    <w:rsid w:val="000249A4"/>
    <w:rsid w:val="000251AF"/>
    <w:rsid w:val="00025675"/>
    <w:rsid w:val="00025970"/>
    <w:rsid w:val="00025F10"/>
    <w:rsid w:val="00026443"/>
    <w:rsid w:val="00026E34"/>
    <w:rsid w:val="000270A8"/>
    <w:rsid w:val="000270CD"/>
    <w:rsid w:val="0002743B"/>
    <w:rsid w:val="0003036B"/>
    <w:rsid w:val="0003093B"/>
    <w:rsid w:val="0003267C"/>
    <w:rsid w:val="00032E98"/>
    <w:rsid w:val="000348BB"/>
    <w:rsid w:val="0003579A"/>
    <w:rsid w:val="0003585C"/>
    <w:rsid w:val="00036E0F"/>
    <w:rsid w:val="000400B7"/>
    <w:rsid w:val="000409CB"/>
    <w:rsid w:val="00040C2A"/>
    <w:rsid w:val="000412D4"/>
    <w:rsid w:val="000417AA"/>
    <w:rsid w:val="00043728"/>
    <w:rsid w:val="000439FC"/>
    <w:rsid w:val="00044953"/>
    <w:rsid w:val="00044EE0"/>
    <w:rsid w:val="00045B6E"/>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75B3D"/>
    <w:rsid w:val="00081BD6"/>
    <w:rsid w:val="000829B6"/>
    <w:rsid w:val="0008457F"/>
    <w:rsid w:val="000850E7"/>
    <w:rsid w:val="000865B1"/>
    <w:rsid w:val="00086808"/>
    <w:rsid w:val="00086DA8"/>
    <w:rsid w:val="00086F4C"/>
    <w:rsid w:val="000871A0"/>
    <w:rsid w:val="00087DDE"/>
    <w:rsid w:val="000900DB"/>
    <w:rsid w:val="0009037F"/>
    <w:rsid w:val="00090F1F"/>
    <w:rsid w:val="00091A81"/>
    <w:rsid w:val="00091CF0"/>
    <w:rsid w:val="00091D81"/>
    <w:rsid w:val="00091DBD"/>
    <w:rsid w:val="0009473C"/>
    <w:rsid w:val="00096C0A"/>
    <w:rsid w:val="000A11A8"/>
    <w:rsid w:val="000A1FAF"/>
    <w:rsid w:val="000A2B2C"/>
    <w:rsid w:val="000A2BEF"/>
    <w:rsid w:val="000A46AA"/>
    <w:rsid w:val="000A69E6"/>
    <w:rsid w:val="000B0466"/>
    <w:rsid w:val="000B0890"/>
    <w:rsid w:val="000B0DCC"/>
    <w:rsid w:val="000B18AE"/>
    <w:rsid w:val="000B1DF3"/>
    <w:rsid w:val="000B2BE5"/>
    <w:rsid w:val="000B32DE"/>
    <w:rsid w:val="000B4D63"/>
    <w:rsid w:val="000B6CB5"/>
    <w:rsid w:val="000C0584"/>
    <w:rsid w:val="000C0FB6"/>
    <w:rsid w:val="000C1603"/>
    <w:rsid w:val="000C273D"/>
    <w:rsid w:val="000C283F"/>
    <w:rsid w:val="000C4326"/>
    <w:rsid w:val="000C584C"/>
    <w:rsid w:val="000C79D9"/>
    <w:rsid w:val="000C7DD3"/>
    <w:rsid w:val="000D0DC3"/>
    <w:rsid w:val="000D1226"/>
    <w:rsid w:val="000D217D"/>
    <w:rsid w:val="000D3D83"/>
    <w:rsid w:val="000D4ED9"/>
    <w:rsid w:val="000E04AF"/>
    <w:rsid w:val="000E0C43"/>
    <w:rsid w:val="000E179B"/>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69A0"/>
    <w:rsid w:val="0012764B"/>
    <w:rsid w:val="00132C3D"/>
    <w:rsid w:val="001377A2"/>
    <w:rsid w:val="00137A71"/>
    <w:rsid w:val="00137BCF"/>
    <w:rsid w:val="00137E9B"/>
    <w:rsid w:val="00140CB9"/>
    <w:rsid w:val="0014296E"/>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4D5"/>
    <w:rsid w:val="00185CCB"/>
    <w:rsid w:val="0018612B"/>
    <w:rsid w:val="00190520"/>
    <w:rsid w:val="0019117C"/>
    <w:rsid w:val="001914F0"/>
    <w:rsid w:val="00191505"/>
    <w:rsid w:val="00193370"/>
    <w:rsid w:val="00193BCA"/>
    <w:rsid w:val="00193CD9"/>
    <w:rsid w:val="00194673"/>
    <w:rsid w:val="00195725"/>
    <w:rsid w:val="00195844"/>
    <w:rsid w:val="001958D2"/>
    <w:rsid w:val="00195E91"/>
    <w:rsid w:val="00196536"/>
    <w:rsid w:val="001A05FF"/>
    <w:rsid w:val="001A21C8"/>
    <w:rsid w:val="001A524D"/>
    <w:rsid w:val="001A56FC"/>
    <w:rsid w:val="001A5DC7"/>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CFB"/>
    <w:rsid w:val="001C4F58"/>
    <w:rsid w:val="001C5D99"/>
    <w:rsid w:val="001C6DB5"/>
    <w:rsid w:val="001C7659"/>
    <w:rsid w:val="001D2DD1"/>
    <w:rsid w:val="001D324A"/>
    <w:rsid w:val="001D3BDC"/>
    <w:rsid w:val="001D4691"/>
    <w:rsid w:val="001D5302"/>
    <w:rsid w:val="001D705B"/>
    <w:rsid w:val="001D7AE2"/>
    <w:rsid w:val="001D7C73"/>
    <w:rsid w:val="001D7CBD"/>
    <w:rsid w:val="001E0D70"/>
    <w:rsid w:val="001E207B"/>
    <w:rsid w:val="001E5A56"/>
    <w:rsid w:val="001F1EEA"/>
    <w:rsid w:val="001F22E9"/>
    <w:rsid w:val="001F3F1A"/>
    <w:rsid w:val="001F4A09"/>
    <w:rsid w:val="001F5DA1"/>
    <w:rsid w:val="0020073A"/>
    <w:rsid w:val="00201EFA"/>
    <w:rsid w:val="00202388"/>
    <w:rsid w:val="00203A86"/>
    <w:rsid w:val="00203DF5"/>
    <w:rsid w:val="002050D7"/>
    <w:rsid w:val="00205B20"/>
    <w:rsid w:val="00205F28"/>
    <w:rsid w:val="0020659C"/>
    <w:rsid w:val="00210A41"/>
    <w:rsid w:val="00210A7F"/>
    <w:rsid w:val="0021107B"/>
    <w:rsid w:val="002117A5"/>
    <w:rsid w:val="00214874"/>
    <w:rsid w:val="00220846"/>
    <w:rsid w:val="00220A76"/>
    <w:rsid w:val="00221316"/>
    <w:rsid w:val="00223CEA"/>
    <w:rsid w:val="002248B2"/>
    <w:rsid w:val="00225B6B"/>
    <w:rsid w:val="00226307"/>
    <w:rsid w:val="00227974"/>
    <w:rsid w:val="002303D1"/>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4789F"/>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2C6C"/>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97FC8"/>
    <w:rsid w:val="002A1382"/>
    <w:rsid w:val="002A2429"/>
    <w:rsid w:val="002A299D"/>
    <w:rsid w:val="002A2E47"/>
    <w:rsid w:val="002A51CB"/>
    <w:rsid w:val="002A55C7"/>
    <w:rsid w:val="002A56A5"/>
    <w:rsid w:val="002A5BD2"/>
    <w:rsid w:val="002A5EDA"/>
    <w:rsid w:val="002A7E34"/>
    <w:rsid w:val="002B0E36"/>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0D6A"/>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698"/>
    <w:rsid w:val="00311CEC"/>
    <w:rsid w:val="00312284"/>
    <w:rsid w:val="00312DCD"/>
    <w:rsid w:val="003139F4"/>
    <w:rsid w:val="003156F3"/>
    <w:rsid w:val="00315A9B"/>
    <w:rsid w:val="003218A0"/>
    <w:rsid w:val="00322A9D"/>
    <w:rsid w:val="00324767"/>
    <w:rsid w:val="003247A3"/>
    <w:rsid w:val="003250F6"/>
    <w:rsid w:val="003257FE"/>
    <w:rsid w:val="003268EB"/>
    <w:rsid w:val="0032732A"/>
    <w:rsid w:val="00331169"/>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726"/>
    <w:rsid w:val="003608B3"/>
    <w:rsid w:val="00362412"/>
    <w:rsid w:val="003627AB"/>
    <w:rsid w:val="0036399C"/>
    <w:rsid w:val="00365CB3"/>
    <w:rsid w:val="00366185"/>
    <w:rsid w:val="0036720E"/>
    <w:rsid w:val="00367925"/>
    <w:rsid w:val="00371F6E"/>
    <w:rsid w:val="0037248B"/>
    <w:rsid w:val="003725BA"/>
    <w:rsid w:val="00373F42"/>
    <w:rsid w:val="00376A77"/>
    <w:rsid w:val="00380A33"/>
    <w:rsid w:val="00380CA5"/>
    <w:rsid w:val="00380F64"/>
    <w:rsid w:val="0038120A"/>
    <w:rsid w:val="00381456"/>
    <w:rsid w:val="00385293"/>
    <w:rsid w:val="0038551F"/>
    <w:rsid w:val="0038600A"/>
    <w:rsid w:val="00386838"/>
    <w:rsid w:val="00390E6A"/>
    <w:rsid w:val="00392CD9"/>
    <w:rsid w:val="003931D5"/>
    <w:rsid w:val="00393FC0"/>
    <w:rsid w:val="0039549A"/>
    <w:rsid w:val="0039627D"/>
    <w:rsid w:val="0039689B"/>
    <w:rsid w:val="00397814"/>
    <w:rsid w:val="003A11FC"/>
    <w:rsid w:val="003A165D"/>
    <w:rsid w:val="003A22D0"/>
    <w:rsid w:val="003A2742"/>
    <w:rsid w:val="003A34C8"/>
    <w:rsid w:val="003A7D23"/>
    <w:rsid w:val="003B0262"/>
    <w:rsid w:val="003B067A"/>
    <w:rsid w:val="003B09F2"/>
    <w:rsid w:val="003B6473"/>
    <w:rsid w:val="003B7B1F"/>
    <w:rsid w:val="003C156C"/>
    <w:rsid w:val="003C194F"/>
    <w:rsid w:val="003C1FAD"/>
    <w:rsid w:val="003C251E"/>
    <w:rsid w:val="003C26C4"/>
    <w:rsid w:val="003C2A80"/>
    <w:rsid w:val="003C4051"/>
    <w:rsid w:val="003C48E9"/>
    <w:rsid w:val="003C5458"/>
    <w:rsid w:val="003C59AB"/>
    <w:rsid w:val="003C6C18"/>
    <w:rsid w:val="003C6ED0"/>
    <w:rsid w:val="003C6F9D"/>
    <w:rsid w:val="003D0FEE"/>
    <w:rsid w:val="003D1711"/>
    <w:rsid w:val="003D1ADA"/>
    <w:rsid w:val="003D2BAF"/>
    <w:rsid w:val="003D34F5"/>
    <w:rsid w:val="003D3F27"/>
    <w:rsid w:val="003D4228"/>
    <w:rsid w:val="003D47B0"/>
    <w:rsid w:val="003D63C4"/>
    <w:rsid w:val="003E013F"/>
    <w:rsid w:val="003E0D3F"/>
    <w:rsid w:val="003E1462"/>
    <w:rsid w:val="003E4DB4"/>
    <w:rsid w:val="003E54E4"/>
    <w:rsid w:val="003E566B"/>
    <w:rsid w:val="003E57D9"/>
    <w:rsid w:val="003F054D"/>
    <w:rsid w:val="003F15B5"/>
    <w:rsid w:val="003F31F5"/>
    <w:rsid w:val="003F32AB"/>
    <w:rsid w:val="003F5DD0"/>
    <w:rsid w:val="003F65E9"/>
    <w:rsid w:val="00400DD2"/>
    <w:rsid w:val="00401A8E"/>
    <w:rsid w:val="00402B0E"/>
    <w:rsid w:val="00402C54"/>
    <w:rsid w:val="00403E3C"/>
    <w:rsid w:val="004048E4"/>
    <w:rsid w:val="00404A9D"/>
    <w:rsid w:val="004052EB"/>
    <w:rsid w:val="004062A1"/>
    <w:rsid w:val="004071B7"/>
    <w:rsid w:val="00407803"/>
    <w:rsid w:val="00407C35"/>
    <w:rsid w:val="00410268"/>
    <w:rsid w:val="0041143B"/>
    <w:rsid w:val="004137B5"/>
    <w:rsid w:val="00414B70"/>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0CDC"/>
    <w:rsid w:val="00451089"/>
    <w:rsid w:val="004528B2"/>
    <w:rsid w:val="00452FBA"/>
    <w:rsid w:val="00455177"/>
    <w:rsid w:val="00456A14"/>
    <w:rsid w:val="0045704F"/>
    <w:rsid w:val="0046184C"/>
    <w:rsid w:val="00463FAF"/>
    <w:rsid w:val="00464B4F"/>
    <w:rsid w:val="004661EE"/>
    <w:rsid w:val="0047091E"/>
    <w:rsid w:val="004715A4"/>
    <w:rsid w:val="004715E9"/>
    <w:rsid w:val="00472165"/>
    <w:rsid w:val="00472AB0"/>
    <w:rsid w:val="00472CB6"/>
    <w:rsid w:val="00475237"/>
    <w:rsid w:val="004801D4"/>
    <w:rsid w:val="004809E1"/>
    <w:rsid w:val="004842D4"/>
    <w:rsid w:val="00484463"/>
    <w:rsid w:val="00484838"/>
    <w:rsid w:val="00484B58"/>
    <w:rsid w:val="00485E5B"/>
    <w:rsid w:val="00485F40"/>
    <w:rsid w:val="00490179"/>
    <w:rsid w:val="004904FB"/>
    <w:rsid w:val="0049345D"/>
    <w:rsid w:val="00494800"/>
    <w:rsid w:val="00495D0E"/>
    <w:rsid w:val="004968ED"/>
    <w:rsid w:val="00496E26"/>
    <w:rsid w:val="0049766B"/>
    <w:rsid w:val="004A00A4"/>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D7D40"/>
    <w:rsid w:val="004E1571"/>
    <w:rsid w:val="004E267C"/>
    <w:rsid w:val="004E2AAF"/>
    <w:rsid w:val="004E3171"/>
    <w:rsid w:val="004E3297"/>
    <w:rsid w:val="004E3494"/>
    <w:rsid w:val="004E3609"/>
    <w:rsid w:val="004E3E12"/>
    <w:rsid w:val="004E5ACB"/>
    <w:rsid w:val="004E773B"/>
    <w:rsid w:val="004F0B21"/>
    <w:rsid w:val="004F11FF"/>
    <w:rsid w:val="004F2122"/>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5AD5"/>
    <w:rsid w:val="005263C9"/>
    <w:rsid w:val="00526D5C"/>
    <w:rsid w:val="00527592"/>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0D87"/>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DCF"/>
    <w:rsid w:val="005B4EA7"/>
    <w:rsid w:val="005B64F4"/>
    <w:rsid w:val="005B7038"/>
    <w:rsid w:val="005B7248"/>
    <w:rsid w:val="005B7535"/>
    <w:rsid w:val="005C0CBB"/>
    <w:rsid w:val="005C14E1"/>
    <w:rsid w:val="005C1F59"/>
    <w:rsid w:val="005C2D45"/>
    <w:rsid w:val="005C3859"/>
    <w:rsid w:val="005C3FBA"/>
    <w:rsid w:val="005C3FDF"/>
    <w:rsid w:val="005C481C"/>
    <w:rsid w:val="005C4B21"/>
    <w:rsid w:val="005C4F0F"/>
    <w:rsid w:val="005C53D8"/>
    <w:rsid w:val="005C5CA3"/>
    <w:rsid w:val="005C7591"/>
    <w:rsid w:val="005C7CD6"/>
    <w:rsid w:val="005D0D26"/>
    <w:rsid w:val="005D0DB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5137"/>
    <w:rsid w:val="00606A01"/>
    <w:rsid w:val="00607F29"/>
    <w:rsid w:val="0061200A"/>
    <w:rsid w:val="006123A5"/>
    <w:rsid w:val="00612D55"/>
    <w:rsid w:val="006130AA"/>
    <w:rsid w:val="00613BBD"/>
    <w:rsid w:val="00614C12"/>
    <w:rsid w:val="0061588E"/>
    <w:rsid w:val="00616C30"/>
    <w:rsid w:val="00617CEF"/>
    <w:rsid w:val="00617EA7"/>
    <w:rsid w:val="0062006E"/>
    <w:rsid w:val="00626A99"/>
    <w:rsid w:val="00627664"/>
    <w:rsid w:val="00630834"/>
    <w:rsid w:val="00630920"/>
    <w:rsid w:val="00631861"/>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47CB3"/>
    <w:rsid w:val="0065196A"/>
    <w:rsid w:val="006520A4"/>
    <w:rsid w:val="006521A2"/>
    <w:rsid w:val="006524E4"/>
    <w:rsid w:val="00653767"/>
    <w:rsid w:val="00654255"/>
    <w:rsid w:val="00654AEA"/>
    <w:rsid w:val="0066003B"/>
    <w:rsid w:val="006614C5"/>
    <w:rsid w:val="0066179B"/>
    <w:rsid w:val="006617F8"/>
    <w:rsid w:val="0066300E"/>
    <w:rsid w:val="00663040"/>
    <w:rsid w:val="00665CF6"/>
    <w:rsid w:val="0066600C"/>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884"/>
    <w:rsid w:val="006D0D9B"/>
    <w:rsid w:val="006D2E96"/>
    <w:rsid w:val="006D6C9A"/>
    <w:rsid w:val="006D735C"/>
    <w:rsid w:val="006E0A9E"/>
    <w:rsid w:val="006E1953"/>
    <w:rsid w:val="006E3896"/>
    <w:rsid w:val="006E420C"/>
    <w:rsid w:val="006E5B15"/>
    <w:rsid w:val="006E5D7B"/>
    <w:rsid w:val="006F103E"/>
    <w:rsid w:val="006F2664"/>
    <w:rsid w:val="006F295E"/>
    <w:rsid w:val="006F2961"/>
    <w:rsid w:val="006F3B71"/>
    <w:rsid w:val="006F3F49"/>
    <w:rsid w:val="006F459C"/>
    <w:rsid w:val="006F49D8"/>
    <w:rsid w:val="006F5CDA"/>
    <w:rsid w:val="006F6F3D"/>
    <w:rsid w:val="006F730A"/>
    <w:rsid w:val="00700688"/>
    <w:rsid w:val="007019ED"/>
    <w:rsid w:val="0070277F"/>
    <w:rsid w:val="00702CF2"/>
    <w:rsid w:val="00702E64"/>
    <w:rsid w:val="00703F8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70F"/>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4C40"/>
    <w:rsid w:val="0073625D"/>
    <w:rsid w:val="007425B4"/>
    <w:rsid w:val="0074265A"/>
    <w:rsid w:val="00742DEE"/>
    <w:rsid w:val="00743655"/>
    <w:rsid w:val="007447BE"/>
    <w:rsid w:val="0074514E"/>
    <w:rsid w:val="00747476"/>
    <w:rsid w:val="00747837"/>
    <w:rsid w:val="007500D8"/>
    <w:rsid w:val="00750610"/>
    <w:rsid w:val="00750B65"/>
    <w:rsid w:val="007511E3"/>
    <w:rsid w:val="007521C2"/>
    <w:rsid w:val="0075220F"/>
    <w:rsid w:val="0075429C"/>
    <w:rsid w:val="0075442C"/>
    <w:rsid w:val="00756273"/>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893"/>
    <w:rsid w:val="00786AAD"/>
    <w:rsid w:val="007873EC"/>
    <w:rsid w:val="00790952"/>
    <w:rsid w:val="007917DF"/>
    <w:rsid w:val="00791DCD"/>
    <w:rsid w:val="0079213B"/>
    <w:rsid w:val="00793D29"/>
    <w:rsid w:val="00794C5C"/>
    <w:rsid w:val="00795B6A"/>
    <w:rsid w:val="007973B4"/>
    <w:rsid w:val="007A0399"/>
    <w:rsid w:val="007A05B0"/>
    <w:rsid w:val="007A0875"/>
    <w:rsid w:val="007A112D"/>
    <w:rsid w:val="007A1397"/>
    <w:rsid w:val="007A1BE1"/>
    <w:rsid w:val="007A214C"/>
    <w:rsid w:val="007A2152"/>
    <w:rsid w:val="007A2770"/>
    <w:rsid w:val="007A34E4"/>
    <w:rsid w:val="007A5036"/>
    <w:rsid w:val="007A5BA6"/>
    <w:rsid w:val="007A5F82"/>
    <w:rsid w:val="007A7277"/>
    <w:rsid w:val="007A7CC1"/>
    <w:rsid w:val="007B102D"/>
    <w:rsid w:val="007B146C"/>
    <w:rsid w:val="007B1674"/>
    <w:rsid w:val="007B28D9"/>
    <w:rsid w:val="007B30F4"/>
    <w:rsid w:val="007B3ACF"/>
    <w:rsid w:val="007B52FA"/>
    <w:rsid w:val="007B5BD3"/>
    <w:rsid w:val="007B5DA2"/>
    <w:rsid w:val="007B7207"/>
    <w:rsid w:val="007C0CBE"/>
    <w:rsid w:val="007C1F2D"/>
    <w:rsid w:val="007C2E91"/>
    <w:rsid w:val="007C34D4"/>
    <w:rsid w:val="007D02BC"/>
    <w:rsid w:val="007D03DC"/>
    <w:rsid w:val="007D1335"/>
    <w:rsid w:val="007D16AC"/>
    <w:rsid w:val="007D25EF"/>
    <w:rsid w:val="007D29EB"/>
    <w:rsid w:val="007D3BE8"/>
    <w:rsid w:val="007D4262"/>
    <w:rsid w:val="007D4BC6"/>
    <w:rsid w:val="007D5C6B"/>
    <w:rsid w:val="007D63F6"/>
    <w:rsid w:val="007D719A"/>
    <w:rsid w:val="007D7A11"/>
    <w:rsid w:val="007D7B00"/>
    <w:rsid w:val="007D7B5D"/>
    <w:rsid w:val="007E0188"/>
    <w:rsid w:val="007E05C1"/>
    <w:rsid w:val="007E15AF"/>
    <w:rsid w:val="007E201F"/>
    <w:rsid w:val="007E220B"/>
    <w:rsid w:val="007E22F0"/>
    <w:rsid w:val="007E3302"/>
    <w:rsid w:val="007E48DD"/>
    <w:rsid w:val="007E6F4B"/>
    <w:rsid w:val="007E70F0"/>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082C"/>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1DC7"/>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4471"/>
    <w:rsid w:val="00845082"/>
    <w:rsid w:val="00846E49"/>
    <w:rsid w:val="00847120"/>
    <w:rsid w:val="00847EAF"/>
    <w:rsid w:val="00850A52"/>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4474"/>
    <w:rsid w:val="00875B02"/>
    <w:rsid w:val="00875D15"/>
    <w:rsid w:val="0087610B"/>
    <w:rsid w:val="00876E3C"/>
    <w:rsid w:val="008774EC"/>
    <w:rsid w:val="00877F24"/>
    <w:rsid w:val="00880679"/>
    <w:rsid w:val="00882D8B"/>
    <w:rsid w:val="008855F5"/>
    <w:rsid w:val="008859EE"/>
    <w:rsid w:val="00885DF1"/>
    <w:rsid w:val="00886BAC"/>
    <w:rsid w:val="00887428"/>
    <w:rsid w:val="00890C66"/>
    <w:rsid w:val="008916E2"/>
    <w:rsid w:val="0089171C"/>
    <w:rsid w:val="008919A9"/>
    <w:rsid w:val="00892CA1"/>
    <w:rsid w:val="00893489"/>
    <w:rsid w:val="00893DD3"/>
    <w:rsid w:val="00894241"/>
    <w:rsid w:val="00894952"/>
    <w:rsid w:val="00895148"/>
    <w:rsid w:val="00895AE0"/>
    <w:rsid w:val="00896BBC"/>
    <w:rsid w:val="008A17D9"/>
    <w:rsid w:val="008A1880"/>
    <w:rsid w:val="008A392E"/>
    <w:rsid w:val="008A5450"/>
    <w:rsid w:val="008A65F7"/>
    <w:rsid w:val="008A79CA"/>
    <w:rsid w:val="008B1718"/>
    <w:rsid w:val="008B1E59"/>
    <w:rsid w:val="008B5057"/>
    <w:rsid w:val="008B5A8C"/>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66A"/>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571"/>
    <w:rsid w:val="00936FC2"/>
    <w:rsid w:val="00942299"/>
    <w:rsid w:val="00943C4B"/>
    <w:rsid w:val="00944311"/>
    <w:rsid w:val="00944850"/>
    <w:rsid w:val="00946C56"/>
    <w:rsid w:val="00947105"/>
    <w:rsid w:val="00947487"/>
    <w:rsid w:val="00947853"/>
    <w:rsid w:val="009536E6"/>
    <w:rsid w:val="0095492C"/>
    <w:rsid w:val="00955200"/>
    <w:rsid w:val="00956752"/>
    <w:rsid w:val="00956CC0"/>
    <w:rsid w:val="00957B21"/>
    <w:rsid w:val="00960108"/>
    <w:rsid w:val="0096147E"/>
    <w:rsid w:val="009615D4"/>
    <w:rsid w:val="0096183A"/>
    <w:rsid w:val="00962284"/>
    <w:rsid w:val="009633DE"/>
    <w:rsid w:val="00964312"/>
    <w:rsid w:val="0096588A"/>
    <w:rsid w:val="0096644E"/>
    <w:rsid w:val="00967E0F"/>
    <w:rsid w:val="0097489A"/>
    <w:rsid w:val="00976A4F"/>
    <w:rsid w:val="00980254"/>
    <w:rsid w:val="00981595"/>
    <w:rsid w:val="0098280E"/>
    <w:rsid w:val="00982AD7"/>
    <w:rsid w:val="009836AA"/>
    <w:rsid w:val="00983C20"/>
    <w:rsid w:val="009845DD"/>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0774"/>
    <w:rsid w:val="009A2B06"/>
    <w:rsid w:val="009A359B"/>
    <w:rsid w:val="009A4408"/>
    <w:rsid w:val="009A52E9"/>
    <w:rsid w:val="009A5492"/>
    <w:rsid w:val="009A60E8"/>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1FBD"/>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7EE"/>
    <w:rsid w:val="009F7B94"/>
    <w:rsid w:val="00A00007"/>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4E4F"/>
    <w:rsid w:val="00A258FA"/>
    <w:rsid w:val="00A26739"/>
    <w:rsid w:val="00A26B28"/>
    <w:rsid w:val="00A30E24"/>
    <w:rsid w:val="00A3142F"/>
    <w:rsid w:val="00A324FF"/>
    <w:rsid w:val="00A3283B"/>
    <w:rsid w:val="00A32D1A"/>
    <w:rsid w:val="00A33298"/>
    <w:rsid w:val="00A33C29"/>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5B63"/>
    <w:rsid w:val="00A56351"/>
    <w:rsid w:val="00A60C8D"/>
    <w:rsid w:val="00A61262"/>
    <w:rsid w:val="00A61D7E"/>
    <w:rsid w:val="00A63304"/>
    <w:rsid w:val="00A638A1"/>
    <w:rsid w:val="00A6392C"/>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065"/>
    <w:rsid w:val="00A90CCC"/>
    <w:rsid w:val="00A91389"/>
    <w:rsid w:val="00A96282"/>
    <w:rsid w:val="00A97888"/>
    <w:rsid w:val="00AA0B6B"/>
    <w:rsid w:val="00AA1648"/>
    <w:rsid w:val="00AA1E91"/>
    <w:rsid w:val="00AA2A5A"/>
    <w:rsid w:val="00AA3A06"/>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C7C1E"/>
    <w:rsid w:val="00AD1D9A"/>
    <w:rsid w:val="00AD3174"/>
    <w:rsid w:val="00AD4B09"/>
    <w:rsid w:val="00AD4C1D"/>
    <w:rsid w:val="00AD58B3"/>
    <w:rsid w:val="00AD59A6"/>
    <w:rsid w:val="00AD5FC1"/>
    <w:rsid w:val="00AD7BE2"/>
    <w:rsid w:val="00AD7E4B"/>
    <w:rsid w:val="00AE148E"/>
    <w:rsid w:val="00AE2390"/>
    <w:rsid w:val="00AE3877"/>
    <w:rsid w:val="00AE455E"/>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066"/>
    <w:rsid w:val="00B05D97"/>
    <w:rsid w:val="00B060FA"/>
    <w:rsid w:val="00B07708"/>
    <w:rsid w:val="00B10366"/>
    <w:rsid w:val="00B11069"/>
    <w:rsid w:val="00B11402"/>
    <w:rsid w:val="00B114A2"/>
    <w:rsid w:val="00B126DD"/>
    <w:rsid w:val="00B14D4C"/>
    <w:rsid w:val="00B1520A"/>
    <w:rsid w:val="00B15818"/>
    <w:rsid w:val="00B1677D"/>
    <w:rsid w:val="00B16F93"/>
    <w:rsid w:val="00B17EAE"/>
    <w:rsid w:val="00B20871"/>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460"/>
    <w:rsid w:val="00B517F0"/>
    <w:rsid w:val="00B526F4"/>
    <w:rsid w:val="00B5404E"/>
    <w:rsid w:val="00B5481B"/>
    <w:rsid w:val="00B57105"/>
    <w:rsid w:val="00B57883"/>
    <w:rsid w:val="00B60EDD"/>
    <w:rsid w:val="00B61E2D"/>
    <w:rsid w:val="00B62C3E"/>
    <w:rsid w:val="00B6336C"/>
    <w:rsid w:val="00B66648"/>
    <w:rsid w:val="00B66923"/>
    <w:rsid w:val="00B71718"/>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11B"/>
    <w:rsid w:val="00BA4452"/>
    <w:rsid w:val="00BA44A3"/>
    <w:rsid w:val="00BA4CA7"/>
    <w:rsid w:val="00BA643C"/>
    <w:rsid w:val="00BA6B0C"/>
    <w:rsid w:val="00BA6DF3"/>
    <w:rsid w:val="00BA7273"/>
    <w:rsid w:val="00BB1993"/>
    <w:rsid w:val="00BB32D5"/>
    <w:rsid w:val="00BB3976"/>
    <w:rsid w:val="00BB3F8C"/>
    <w:rsid w:val="00BC0538"/>
    <w:rsid w:val="00BC4A2A"/>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42DF"/>
    <w:rsid w:val="00BE5EF1"/>
    <w:rsid w:val="00BE6481"/>
    <w:rsid w:val="00BE7213"/>
    <w:rsid w:val="00BE7254"/>
    <w:rsid w:val="00BF0539"/>
    <w:rsid w:val="00BF1854"/>
    <w:rsid w:val="00BF1D86"/>
    <w:rsid w:val="00BF2503"/>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1035"/>
    <w:rsid w:val="00C22A42"/>
    <w:rsid w:val="00C260E0"/>
    <w:rsid w:val="00C26BE7"/>
    <w:rsid w:val="00C30E37"/>
    <w:rsid w:val="00C32ADB"/>
    <w:rsid w:val="00C33321"/>
    <w:rsid w:val="00C34558"/>
    <w:rsid w:val="00C34671"/>
    <w:rsid w:val="00C378BD"/>
    <w:rsid w:val="00C4319B"/>
    <w:rsid w:val="00C439EB"/>
    <w:rsid w:val="00C43BFF"/>
    <w:rsid w:val="00C43D3B"/>
    <w:rsid w:val="00C4547A"/>
    <w:rsid w:val="00C466D8"/>
    <w:rsid w:val="00C477DC"/>
    <w:rsid w:val="00C50119"/>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0F79"/>
    <w:rsid w:val="00CA22AF"/>
    <w:rsid w:val="00CA27F3"/>
    <w:rsid w:val="00CA2821"/>
    <w:rsid w:val="00CA4071"/>
    <w:rsid w:val="00CA5B18"/>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363"/>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66F"/>
    <w:rsid w:val="00CF0D50"/>
    <w:rsid w:val="00CF0E5E"/>
    <w:rsid w:val="00CF27F8"/>
    <w:rsid w:val="00CF2F28"/>
    <w:rsid w:val="00CF3E60"/>
    <w:rsid w:val="00CF4A9E"/>
    <w:rsid w:val="00CF536B"/>
    <w:rsid w:val="00CF5FC3"/>
    <w:rsid w:val="00D00E2F"/>
    <w:rsid w:val="00D0230A"/>
    <w:rsid w:val="00D02AF7"/>
    <w:rsid w:val="00D03CAC"/>
    <w:rsid w:val="00D065D0"/>
    <w:rsid w:val="00D06E34"/>
    <w:rsid w:val="00D07ECA"/>
    <w:rsid w:val="00D102E2"/>
    <w:rsid w:val="00D112AC"/>
    <w:rsid w:val="00D11665"/>
    <w:rsid w:val="00D13606"/>
    <w:rsid w:val="00D15A6F"/>
    <w:rsid w:val="00D15F23"/>
    <w:rsid w:val="00D1740D"/>
    <w:rsid w:val="00D179DB"/>
    <w:rsid w:val="00D17B75"/>
    <w:rsid w:val="00D2062A"/>
    <w:rsid w:val="00D2070E"/>
    <w:rsid w:val="00D22354"/>
    <w:rsid w:val="00D22A11"/>
    <w:rsid w:val="00D24A65"/>
    <w:rsid w:val="00D25688"/>
    <w:rsid w:val="00D25AE7"/>
    <w:rsid w:val="00D26A3C"/>
    <w:rsid w:val="00D26DAF"/>
    <w:rsid w:val="00D30D93"/>
    <w:rsid w:val="00D31AC4"/>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AE4"/>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4EAE"/>
    <w:rsid w:val="00D7592B"/>
    <w:rsid w:val="00D80170"/>
    <w:rsid w:val="00D804F2"/>
    <w:rsid w:val="00D80827"/>
    <w:rsid w:val="00D81D3B"/>
    <w:rsid w:val="00D82FA7"/>
    <w:rsid w:val="00D8337F"/>
    <w:rsid w:val="00D8595F"/>
    <w:rsid w:val="00D859A9"/>
    <w:rsid w:val="00D85CE4"/>
    <w:rsid w:val="00D85DC9"/>
    <w:rsid w:val="00D870BF"/>
    <w:rsid w:val="00D87B71"/>
    <w:rsid w:val="00D901AC"/>
    <w:rsid w:val="00D91913"/>
    <w:rsid w:val="00D9474C"/>
    <w:rsid w:val="00D9706C"/>
    <w:rsid w:val="00DA07AE"/>
    <w:rsid w:val="00DA4004"/>
    <w:rsid w:val="00DA6CD1"/>
    <w:rsid w:val="00DA75E3"/>
    <w:rsid w:val="00DA795C"/>
    <w:rsid w:val="00DA7A1D"/>
    <w:rsid w:val="00DB03F4"/>
    <w:rsid w:val="00DB2595"/>
    <w:rsid w:val="00DB354C"/>
    <w:rsid w:val="00DB3B1D"/>
    <w:rsid w:val="00DB3EEF"/>
    <w:rsid w:val="00DB4E3F"/>
    <w:rsid w:val="00DB67F0"/>
    <w:rsid w:val="00DB7452"/>
    <w:rsid w:val="00DB7F02"/>
    <w:rsid w:val="00DC01F6"/>
    <w:rsid w:val="00DC1A59"/>
    <w:rsid w:val="00DC2E40"/>
    <w:rsid w:val="00DC31CE"/>
    <w:rsid w:val="00DC3E4F"/>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076"/>
    <w:rsid w:val="00DF3850"/>
    <w:rsid w:val="00DF4455"/>
    <w:rsid w:val="00DF7382"/>
    <w:rsid w:val="00DF7EBC"/>
    <w:rsid w:val="00E00557"/>
    <w:rsid w:val="00E019C2"/>
    <w:rsid w:val="00E02DE6"/>
    <w:rsid w:val="00E02E2E"/>
    <w:rsid w:val="00E0460E"/>
    <w:rsid w:val="00E057CE"/>
    <w:rsid w:val="00E06E24"/>
    <w:rsid w:val="00E07388"/>
    <w:rsid w:val="00E07ADF"/>
    <w:rsid w:val="00E1146D"/>
    <w:rsid w:val="00E11D8C"/>
    <w:rsid w:val="00E11E84"/>
    <w:rsid w:val="00E1208E"/>
    <w:rsid w:val="00E1263E"/>
    <w:rsid w:val="00E12717"/>
    <w:rsid w:val="00E12E6C"/>
    <w:rsid w:val="00E1460C"/>
    <w:rsid w:val="00E14797"/>
    <w:rsid w:val="00E16032"/>
    <w:rsid w:val="00E16540"/>
    <w:rsid w:val="00E166CC"/>
    <w:rsid w:val="00E16C43"/>
    <w:rsid w:val="00E16E28"/>
    <w:rsid w:val="00E16FC8"/>
    <w:rsid w:val="00E17E92"/>
    <w:rsid w:val="00E20364"/>
    <w:rsid w:val="00E2341A"/>
    <w:rsid w:val="00E239C6"/>
    <w:rsid w:val="00E239F5"/>
    <w:rsid w:val="00E241C1"/>
    <w:rsid w:val="00E266C4"/>
    <w:rsid w:val="00E271D4"/>
    <w:rsid w:val="00E277DA"/>
    <w:rsid w:val="00E27AE3"/>
    <w:rsid w:val="00E30927"/>
    <w:rsid w:val="00E309E3"/>
    <w:rsid w:val="00E317DF"/>
    <w:rsid w:val="00E328AA"/>
    <w:rsid w:val="00E331E7"/>
    <w:rsid w:val="00E33FCB"/>
    <w:rsid w:val="00E34E58"/>
    <w:rsid w:val="00E35BCC"/>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234E"/>
    <w:rsid w:val="00E7474A"/>
    <w:rsid w:val="00E74EED"/>
    <w:rsid w:val="00E77093"/>
    <w:rsid w:val="00E8093C"/>
    <w:rsid w:val="00E81609"/>
    <w:rsid w:val="00E83573"/>
    <w:rsid w:val="00E84405"/>
    <w:rsid w:val="00E85233"/>
    <w:rsid w:val="00E860E7"/>
    <w:rsid w:val="00E86DDC"/>
    <w:rsid w:val="00E87BC2"/>
    <w:rsid w:val="00E87D88"/>
    <w:rsid w:val="00E90523"/>
    <w:rsid w:val="00E912AC"/>
    <w:rsid w:val="00E947C9"/>
    <w:rsid w:val="00E952EA"/>
    <w:rsid w:val="00E95628"/>
    <w:rsid w:val="00E95847"/>
    <w:rsid w:val="00E96D99"/>
    <w:rsid w:val="00E96F1D"/>
    <w:rsid w:val="00EA06B0"/>
    <w:rsid w:val="00EA0BCC"/>
    <w:rsid w:val="00EA18AE"/>
    <w:rsid w:val="00EA264F"/>
    <w:rsid w:val="00EA3C5F"/>
    <w:rsid w:val="00EA41C3"/>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009"/>
    <w:rsid w:val="00EB5367"/>
    <w:rsid w:val="00EB5B43"/>
    <w:rsid w:val="00EB6439"/>
    <w:rsid w:val="00EB7AA8"/>
    <w:rsid w:val="00EC29AC"/>
    <w:rsid w:val="00EC6D03"/>
    <w:rsid w:val="00EC6E8A"/>
    <w:rsid w:val="00EC6EB9"/>
    <w:rsid w:val="00EC7775"/>
    <w:rsid w:val="00ED2D78"/>
    <w:rsid w:val="00ED3B80"/>
    <w:rsid w:val="00ED405B"/>
    <w:rsid w:val="00ED4499"/>
    <w:rsid w:val="00ED56F6"/>
    <w:rsid w:val="00ED6E67"/>
    <w:rsid w:val="00ED6FCA"/>
    <w:rsid w:val="00ED76A0"/>
    <w:rsid w:val="00ED77EF"/>
    <w:rsid w:val="00EE0947"/>
    <w:rsid w:val="00EE1D08"/>
    <w:rsid w:val="00EE3D45"/>
    <w:rsid w:val="00EE415A"/>
    <w:rsid w:val="00EE416F"/>
    <w:rsid w:val="00EF02A8"/>
    <w:rsid w:val="00EF51AF"/>
    <w:rsid w:val="00EF5C8E"/>
    <w:rsid w:val="00EF66D2"/>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1A31"/>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2F4"/>
    <w:rsid w:val="00F42758"/>
    <w:rsid w:val="00F42C02"/>
    <w:rsid w:val="00F42C6A"/>
    <w:rsid w:val="00F4531E"/>
    <w:rsid w:val="00F453AF"/>
    <w:rsid w:val="00F45619"/>
    <w:rsid w:val="00F46A7C"/>
    <w:rsid w:val="00F475D1"/>
    <w:rsid w:val="00F520C6"/>
    <w:rsid w:val="00F524FA"/>
    <w:rsid w:val="00F560AE"/>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619D"/>
    <w:rsid w:val="00F87491"/>
    <w:rsid w:val="00F87DBD"/>
    <w:rsid w:val="00F901B7"/>
    <w:rsid w:val="00F90389"/>
    <w:rsid w:val="00F909F5"/>
    <w:rsid w:val="00F91630"/>
    <w:rsid w:val="00F922E7"/>
    <w:rsid w:val="00F93C83"/>
    <w:rsid w:val="00F956CB"/>
    <w:rsid w:val="00F95AAB"/>
    <w:rsid w:val="00F96551"/>
    <w:rsid w:val="00FA0ECC"/>
    <w:rsid w:val="00FA18F5"/>
    <w:rsid w:val="00FA324F"/>
    <w:rsid w:val="00FA3394"/>
    <w:rsid w:val="00FA427C"/>
    <w:rsid w:val="00FA4349"/>
    <w:rsid w:val="00FA482B"/>
    <w:rsid w:val="00FA75FD"/>
    <w:rsid w:val="00FB0996"/>
    <w:rsid w:val="00FB0A3E"/>
    <w:rsid w:val="00FB1BBD"/>
    <w:rsid w:val="00FB2994"/>
    <w:rsid w:val="00FB2BA4"/>
    <w:rsid w:val="00FB315A"/>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1FB"/>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8B9"/>
    <w:rsid w:val="00FF6A91"/>
    <w:rsid w:val="00FF7715"/>
    <w:rsid w:val="00FF78C0"/>
    <w:rsid w:val="00FF7C29"/>
    <w:rsid w:val="036E2480"/>
    <w:rsid w:val="134277FC"/>
    <w:rsid w:val="3DF40D35"/>
    <w:rsid w:val="5C3A26DF"/>
    <w:rsid w:val="6C876B27"/>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NO"/>
    <w:basedOn w:val="1"/>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character" w:customStyle="1" w:styleId="96">
    <w:name w:val="Placeholder Text"/>
    <w:basedOn w:val="17"/>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datastoreItem>
</file>

<file path=customXml/itemProps3.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2320</Words>
  <Characters>13230</Characters>
  <Lines>110</Lines>
  <Paragraphs>31</Paragraphs>
  <TotalTime>0</TotalTime>
  <ScaleCrop>false</ScaleCrop>
  <LinksUpToDate>false</LinksUpToDate>
  <CharactersWithSpaces>15519</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2024-02-18T09:27:37Z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