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hint="default"/>
          <w:b/>
          <w:kern w:val="2"/>
          <w:shd w:val="clear" w:color="auto" w:fill="F7CAAC"/>
          <w:lang w:val="en-US" w:eastAsia="zh-CN"/>
        </w:rPr>
      </w:pPr>
      <w:bookmarkStart w:id="0" w:name="_Ref129681862"/>
      <w:bookmarkStart w:id="1" w:name="_Ref124589705"/>
      <w:r>
        <w:rPr>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w:t>
      </w:r>
      <w:r>
        <w:rPr>
          <w:rFonts w:hint="eastAsia"/>
          <w:b/>
          <w:bCs/>
          <w:lang w:val="en-US" w:eastAsia="zh-CN"/>
        </w:rPr>
        <w:t>6</w:t>
      </w:r>
      <w:r>
        <w:rPr>
          <w:b/>
          <w:kern w:val="2"/>
          <w:lang w:eastAsia="zh-CN"/>
        </w:rPr>
        <w:tab/>
      </w:r>
      <w:r>
        <w:rPr>
          <w:b/>
          <w:kern w:val="2"/>
          <w:lang w:eastAsia="zh-CN"/>
        </w:rPr>
        <w:t xml:space="preserve">  </w:t>
      </w:r>
      <w:r>
        <w:rPr>
          <w:rFonts w:hint="eastAsia"/>
          <w:b/>
          <w:color w:val="auto"/>
          <w:kern w:val="2"/>
          <w:lang w:val="en-US" w:eastAsia="zh-CN"/>
        </w:rPr>
        <w:t>R1-2400501</w:t>
      </w:r>
    </w:p>
    <w:p>
      <w:pPr>
        <w:rPr>
          <w:rFonts w:hint="eastAsia" w:eastAsia="宋体"/>
          <w:b/>
          <w:bCs/>
          <w:color w:val="auto"/>
          <w:vertAlign w:val="superscript"/>
          <w:lang w:val="en-US" w:eastAsia="zh-CN"/>
        </w:rPr>
      </w:pPr>
      <w:r>
        <w:rPr>
          <w:rFonts w:hint="eastAsia"/>
          <w:b/>
          <w:color w:val="auto"/>
          <w:kern w:val="2"/>
        </w:rPr>
        <w:t>Athens, Greece, February 16</w:t>
      </w:r>
      <w:r>
        <w:rPr>
          <w:rFonts w:hint="eastAsia"/>
          <w:b/>
          <w:color w:val="auto"/>
          <w:kern w:val="2"/>
          <w:vertAlign w:val="superscript"/>
        </w:rPr>
        <w:t>th</w:t>
      </w:r>
      <w:r>
        <w:rPr>
          <w:rFonts w:hint="eastAsia"/>
          <w:b/>
          <w:color w:val="auto"/>
          <w:kern w:val="2"/>
        </w:rPr>
        <w:t xml:space="preserve"> – March 1</w:t>
      </w:r>
      <w:r>
        <w:rPr>
          <w:rFonts w:hint="eastAsia"/>
          <w:b/>
          <w:color w:val="auto"/>
          <w:kern w:val="2"/>
          <w:vertAlign w:val="superscript"/>
        </w:rPr>
        <w:t>st</w:t>
      </w:r>
      <w:r>
        <w:rPr>
          <w:rFonts w:hint="eastAsia"/>
          <w:b/>
          <w:color w:val="auto"/>
          <w:kern w:val="2"/>
        </w:rPr>
        <w:t>, 2024</w:t>
      </w:r>
    </w:p>
    <w:p>
      <w:pPr>
        <w:pBdr>
          <w:top w:val="single" w:color="auto" w:sz="4" w:space="1"/>
        </w:pBdr>
        <w:spacing w:after="0"/>
        <w:jc w:val="left"/>
        <w:rPr>
          <w:b/>
          <w:kern w:val="2"/>
          <w:sz w:val="16"/>
          <w:szCs w:val="16"/>
          <w:lang w:eastAsia="zh-CN"/>
        </w:rPr>
      </w:pPr>
    </w:p>
    <w:p>
      <w:pPr>
        <w:spacing w:after="60"/>
        <w:ind w:left="1555" w:hanging="1555"/>
        <w:jc w:val="left"/>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9.1.3</w:t>
      </w:r>
    </w:p>
    <w:p>
      <w:pPr>
        <w:spacing w:after="60"/>
        <w:ind w:left="1555" w:hanging="1555"/>
        <w:jc w:val="left"/>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Comba</w:t>
      </w:r>
    </w:p>
    <w:p>
      <w:pPr>
        <w:spacing w:after="60"/>
        <w:ind w:left="1555" w:hanging="1555"/>
        <w:jc w:val="left"/>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AI/ML for CSI compression</w:t>
      </w:r>
      <w:r>
        <w:rPr>
          <w:rFonts w:hint="eastAsia"/>
          <w:b/>
          <w:kern w:val="2"/>
          <w:lang w:val="en-US" w:eastAsia="zh-CN"/>
        </w:rPr>
        <w:tab/>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w:t>
      </w:r>
      <w:bookmarkStart w:id="19" w:name="_GoBack"/>
      <w:bookmarkEnd w:id="19"/>
    </w:p>
    <w:p>
      <w:pPr>
        <w:pBdr>
          <w:bottom w:val="single" w:color="auto" w:sz="4" w:space="1"/>
        </w:pBdr>
        <w:spacing w:after="0"/>
        <w:jc w:val="left"/>
        <w:rPr>
          <w:b/>
          <w:kern w:val="2"/>
          <w:sz w:val="16"/>
          <w:szCs w:val="16"/>
          <w:lang w:eastAsia="zh-CN"/>
        </w:rPr>
      </w:pPr>
    </w:p>
    <w:p>
      <w:pPr>
        <w:pStyle w:val="2"/>
        <w:bidi w:val="0"/>
        <w:ind w:left="432" w:leftChars="0" w:hanging="432" w:firstLineChars="0"/>
      </w:pPr>
      <w:r>
        <w:t>Introduction</w:t>
      </w:r>
      <w:bookmarkEnd w:id="0"/>
      <w:bookmarkEnd w:id="1"/>
    </w:p>
    <w:p>
      <w:pPr>
        <w:bidi w:val="0"/>
        <w:rPr>
          <w:rFonts w:hint="eastAsia" w:eastAsia="宋体"/>
          <w:lang w:val="en-US" w:eastAsia="zh-CN"/>
        </w:rPr>
      </w:pPr>
      <w:r>
        <w:rPr>
          <w:lang w:eastAsia="zh-CN"/>
        </w:rPr>
        <w:t xml:space="preserve">After </w:t>
      </w:r>
      <w:r>
        <w:t>the RAN1#11</w:t>
      </w:r>
      <w:r>
        <w:rPr>
          <w:rFonts w:hint="eastAsia" w:eastAsia="宋体"/>
          <w:lang w:val="en-US" w:eastAsia="zh-CN"/>
        </w:rPr>
        <w:t>5</w:t>
      </w:r>
      <w:r>
        <w:t xml:space="preserve"> meeting</w:t>
      </w:r>
      <w:r>
        <w:rPr>
          <w:rFonts w:hint="eastAsia" w:eastAsia="宋体"/>
          <w:lang w:val="en-US" w:eastAsia="zh-CN"/>
        </w:rPr>
        <w:t>, most of aspects have been studied for the CSI feedback enhancement. But Ran1 hasn</w:t>
      </w:r>
      <w:r>
        <w:rPr>
          <w:rFonts w:hint="default" w:eastAsia="宋体"/>
          <w:lang w:val="en-US" w:eastAsia="zh-CN"/>
        </w:rPr>
        <w:t>’</w:t>
      </w:r>
      <w:r>
        <w:rPr>
          <w:rFonts w:hint="eastAsia" w:eastAsia="宋体"/>
          <w:lang w:val="en-US" w:eastAsia="zh-CN"/>
        </w:rPr>
        <w:t>t reached a consensus on the recommendation of CSI compression for the normative network. the following aspects are the reasons:</w:t>
      </w:r>
    </w:p>
    <w:p>
      <w:pPr>
        <w:numPr>
          <w:ilvl w:val="0"/>
          <w:numId w:val="3"/>
        </w:numPr>
        <w:bidi w:val="0"/>
      </w:pPr>
      <w:r>
        <w:t>Trade-off between performance and complexity/overhead.</w:t>
      </w:r>
    </w:p>
    <w:p>
      <w:pPr>
        <w:numPr>
          <w:ilvl w:val="0"/>
          <w:numId w:val="3"/>
        </w:numPr>
        <w:bidi w:val="0"/>
      </w:pPr>
      <w:r>
        <w:t>Issues related to inter-vendor training collaboration.</w:t>
      </w:r>
    </w:p>
    <w:p>
      <w:pPr>
        <w:numPr>
          <w:ilvl w:val="0"/>
          <w:numId w:val="0"/>
        </w:numPr>
        <w:bidi w:val="0"/>
        <w:rPr>
          <w:rFonts w:hint="eastAsia"/>
          <w:lang w:val="en-US" w:eastAsia="zh-CN"/>
        </w:rPr>
      </w:pPr>
      <w:r>
        <w:rPr>
          <w:rFonts w:hint="eastAsia"/>
          <w:lang w:val="en-US" w:eastAsia="zh-CN"/>
        </w:rPr>
        <w:t xml:space="preserve">Other aspects that require further study/conclusion are captured in the conclusion of TR38.843. This contribution will continue studying other aspects </w:t>
      </w:r>
      <w:r>
        <w:rPr>
          <w:rFonts w:hint="eastAsia"/>
          <w:lang w:val="en-US" w:eastAsia="ja-JP"/>
        </w:rPr>
        <w:t>on CSI compression</w:t>
      </w:r>
      <w:r>
        <w:rPr>
          <w:rFonts w:hint="eastAsia"/>
          <w:lang w:val="en-US" w:eastAsia="zh-CN"/>
        </w:rPr>
        <w:t xml:space="preserve">. </w:t>
      </w:r>
    </w:p>
    <w:tbl>
      <w:tblPr>
        <w:tblStyle w:val="1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533"/>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9" w:type="dxa"/>
            <w:shd w:val="clear" w:color="auto" w:fill="auto"/>
            <w:noWrap w:val="0"/>
            <w:vAlign w:val="top"/>
          </w:tcPr>
          <w:p>
            <w:pPr>
              <w:rPr>
                <w:rFonts w:eastAsia="Calibri"/>
                <w:lang w:val="de-DE"/>
              </w:rPr>
            </w:pPr>
            <w:r>
              <w:rPr>
                <w:rFonts w:eastAsia="Calibri"/>
                <w:lang w:val="de-DE"/>
              </w:rPr>
              <w:t>======================= Start of text proposal to TR 38.843 v1.2.0 ====================</w:t>
            </w:r>
          </w:p>
          <w:p>
            <w:pPr>
              <w:keepNext/>
              <w:keepLines/>
              <w:spacing w:before="120"/>
              <w:ind w:left="1418" w:hanging="1418"/>
              <w:outlineLvl w:val="3"/>
              <w:rPr>
                <w:rFonts w:hint="default" w:ascii="Arial" w:hAnsi="Arial" w:eastAsia="MS Mincho"/>
                <w:sz w:val="24"/>
                <w:lang w:val="en-US"/>
              </w:rPr>
            </w:pPr>
            <w:r>
              <w:rPr>
                <w:rFonts w:ascii="Arial" w:hAnsi="Arial" w:eastAsia="MS Mincho"/>
                <w:sz w:val="24"/>
                <w:lang w:val="de-DE"/>
              </w:rPr>
              <w:t>6.</w:t>
            </w:r>
            <w:r>
              <w:rPr>
                <w:rFonts w:hint="eastAsia" w:ascii="Arial" w:hAnsi="Arial"/>
                <w:sz w:val="24"/>
                <w:lang w:val="en-US" w:eastAsia="zh-CN"/>
              </w:rPr>
              <w:t>2</w:t>
            </w:r>
            <w:r>
              <w:rPr>
                <w:rFonts w:ascii="Arial" w:hAnsi="Arial" w:eastAsia="MS Mincho"/>
                <w:sz w:val="24"/>
                <w:lang w:val="de-DE"/>
              </w:rPr>
              <w:t>.2.</w:t>
            </w:r>
            <w:r>
              <w:rPr>
                <w:rFonts w:hint="eastAsia" w:ascii="Arial" w:hAnsi="Arial"/>
                <w:sz w:val="24"/>
                <w:lang w:val="en-US" w:eastAsia="zh-CN"/>
              </w:rPr>
              <w:t>8 Summary of Performance Results for CSI feedback enhancement</w:t>
            </w:r>
          </w:p>
          <w:p>
            <w:pPr>
              <w:autoSpaceDE/>
              <w:autoSpaceDN/>
              <w:adjustRightInd/>
              <w:snapToGrid/>
              <w:spacing w:after="180"/>
              <w:jc w:val="left"/>
              <w:rPr>
                <w:rFonts w:eastAsia="MS Mincho"/>
                <w:sz w:val="20"/>
                <w:szCs w:val="20"/>
                <w:lang w:val="de-DE"/>
              </w:rPr>
            </w:pPr>
            <w:r>
              <w:rPr>
                <w:rFonts w:hint="eastAsia" w:eastAsia="MS Mincho"/>
                <w:sz w:val="20"/>
                <w:szCs w:val="20"/>
                <w:lang w:val="de-DE"/>
              </w:rPr>
              <w:t>The following aspects have been studied for the evaluation on AI/ML based CSI compression in Rel-18:</w:t>
            </w:r>
          </w:p>
          <w:p>
            <w:pPr>
              <w:autoSpaceDE/>
              <w:autoSpaceDN/>
              <w:adjustRightInd/>
              <w:snapToGrid/>
              <w:spacing w:after="180"/>
              <w:jc w:val="left"/>
              <w:rPr>
                <w:rFonts w:eastAsia="MS Mincho"/>
                <w:sz w:val="20"/>
                <w:szCs w:val="20"/>
                <w:lang w:val="de-DE"/>
              </w:rPr>
            </w:pPr>
            <w:r>
              <w:rPr>
                <w:rFonts w:eastAsia="MS Mincho"/>
                <w:sz w:val="20"/>
                <w:szCs w:val="20"/>
                <w:lang w:val="de-DE"/>
              </w:rPr>
              <w:t>...</w:t>
            </w:r>
          </w:p>
          <w:p>
            <w:pPr>
              <w:pStyle w:val="14"/>
              <w:numPr>
                <w:ilvl w:val="0"/>
                <w:numId w:val="4"/>
              </w:numPr>
              <w:ind w:left="360" w:leftChars="0" w:firstLineChars="0"/>
              <w:contextualSpacing w:val="0"/>
            </w:pPr>
            <w:r>
              <w:t>From the perspective of generalization over various scenarios (assuming 1 on 1 joint training),</w:t>
            </w:r>
          </w:p>
          <w:p>
            <w:pPr>
              <w:pStyle w:val="14"/>
              <w:numPr>
                <w:ilvl w:val="1"/>
                <w:numId w:val="4"/>
              </w:numPr>
              <w:ind w:left="1080" w:leftChars="0" w:firstLineChars="0"/>
              <w:contextualSpacing w:val="0"/>
            </w:pPr>
            <w:r>
              <w:t xml:space="preserve">It has been studied with corresponding observations on (with the metric of SGCS): </w:t>
            </w:r>
          </w:p>
          <w:p>
            <w:pPr>
              <w:pStyle w:val="14"/>
              <w:numPr>
                <w:ilvl w:val="2"/>
                <w:numId w:val="4"/>
              </w:numPr>
              <w:ind w:left="1800" w:leftChars="0" w:firstLineChars="0"/>
              <w:contextualSpacing w:val="0"/>
            </w:pPr>
            <w:r>
              <w:t>the scenarios including various deployment scenarios, various outdoor/indoor UE distributions, various carrier frequencies, and various TxRU mappings</w:t>
            </w:r>
          </w:p>
          <w:p>
            <w:pPr>
              <w:pStyle w:val="14"/>
              <w:numPr>
                <w:ilvl w:val="2"/>
                <w:numId w:val="4"/>
              </w:numPr>
              <w:ind w:left="1800" w:leftChars="0" w:firstLineChars="0"/>
              <w:contextualSpacing w:val="0"/>
            </w:pPr>
            <w:r>
              <w:t>the approach of dataset mixing (generalization Case 3)</w:t>
            </w:r>
          </w:p>
          <w:p>
            <w:pPr>
              <w:pStyle w:val="14"/>
              <w:numPr>
                <w:ilvl w:val="1"/>
                <w:numId w:val="4"/>
              </w:numPr>
              <w:ind w:left="1080" w:leftChars="0" w:firstLineChars="0"/>
              <w:contextualSpacing w:val="0"/>
            </w:pPr>
            <w:r>
              <w:t xml:space="preserve">It has been studied but is lack of observations on: </w:t>
            </w:r>
          </w:p>
          <w:p>
            <w:pPr>
              <w:pStyle w:val="14"/>
              <w:numPr>
                <w:ilvl w:val="2"/>
                <w:numId w:val="4"/>
              </w:numPr>
              <w:ind w:left="1800" w:leftChars="0" w:firstLineChars="0"/>
              <w:contextualSpacing w:val="0"/>
            </w:pPr>
            <w:r>
              <w:t>other aspects of scenarios</w:t>
            </w:r>
          </w:p>
          <w:p>
            <w:pPr>
              <w:pStyle w:val="14"/>
              <w:numPr>
                <w:ilvl w:val="2"/>
                <w:numId w:val="4"/>
              </w:numPr>
              <w:ind w:left="1800" w:leftChars="0" w:firstLineChars="0"/>
              <w:contextualSpacing w:val="0"/>
              <w:rPr>
                <w:lang w:val="de-DE" w:eastAsia="en-US"/>
              </w:rPr>
            </w:pPr>
            <w:r>
              <w:rPr>
                <w:lang w:val="en-GB" w:eastAsia="en-US"/>
              </w:rPr>
              <w:t>the approach of fine-tuning</w:t>
            </w:r>
          </w:p>
          <w:p>
            <w:pPr>
              <w:pStyle w:val="14"/>
              <w:numPr>
                <w:ilvl w:val="0"/>
                <w:numId w:val="0"/>
              </w:numPr>
              <w:contextualSpacing w:val="0"/>
              <w:rPr>
                <w:rFonts w:hint="eastAsia" w:eastAsia="宋体"/>
                <w:lang w:val="en-US" w:eastAsia="zh-CN"/>
              </w:rPr>
            </w:pPr>
            <w:r>
              <w:rPr>
                <w:rFonts w:hint="eastAsia" w:eastAsia="宋体"/>
                <w:lang w:val="en-US" w:eastAsia="zh-CN"/>
              </w:rPr>
              <w:t>...</w:t>
            </w:r>
          </w:p>
          <w:p>
            <w:pPr>
              <w:pStyle w:val="14"/>
              <w:numPr>
                <w:ilvl w:val="0"/>
                <w:numId w:val="0"/>
              </w:numPr>
              <w:contextualSpacing w:val="0"/>
              <w:rPr>
                <w:rFonts w:ascii="Arial" w:hAnsi="Arial" w:eastAsia="MS Mincho" w:cs="Times New Roman"/>
                <w:sz w:val="24"/>
                <w:szCs w:val="22"/>
                <w:lang w:val="de-DE" w:eastAsia="en-US" w:bidi="ar-SA"/>
              </w:rPr>
            </w:pPr>
            <w:bookmarkStart w:id="2" w:name="_Toc149657199"/>
            <w:bookmarkStart w:id="3" w:name="_Toc135002598"/>
            <w:r>
              <w:rPr>
                <w:rFonts w:ascii="Arial" w:hAnsi="Arial" w:eastAsia="MS Mincho" w:cs="Times New Roman"/>
                <w:sz w:val="24"/>
                <w:szCs w:val="22"/>
                <w:lang w:val="de-DE" w:eastAsia="en-US" w:bidi="ar-SA"/>
              </w:rPr>
              <w:t>8</w:t>
            </w:r>
            <w:r>
              <w:rPr>
                <w:rFonts w:hint="eastAsia" w:ascii="Arial" w:hAnsi="Arial" w:eastAsia="宋体" w:cs="Times New Roman"/>
                <w:sz w:val="24"/>
                <w:szCs w:val="22"/>
                <w:lang w:val="en-US" w:eastAsia="zh-CN" w:bidi="ar-SA"/>
              </w:rPr>
              <w:t xml:space="preserve"> </w:t>
            </w:r>
            <w:r>
              <w:rPr>
                <w:rFonts w:ascii="Arial" w:hAnsi="Arial" w:eastAsia="MS Mincho" w:cs="Times New Roman"/>
                <w:sz w:val="24"/>
                <w:szCs w:val="22"/>
                <w:lang w:val="de-DE" w:eastAsia="en-US" w:bidi="ar-SA"/>
              </w:rPr>
              <w:t>Conclusions</w:t>
            </w:r>
            <w:bookmarkEnd w:id="2"/>
            <w:bookmarkEnd w:id="3"/>
          </w:p>
          <w:p>
            <w:pPr>
              <w:pStyle w:val="14"/>
              <w:numPr>
                <w:ilvl w:val="0"/>
                <w:numId w:val="0"/>
              </w:numPr>
              <w:contextualSpacing w:val="0"/>
              <w:rPr>
                <w:rFonts w:hint="eastAsia" w:ascii="Arial" w:hAnsi="Arial" w:eastAsia="MS Mincho" w:cs="Times New Roman"/>
                <w:sz w:val="24"/>
                <w:szCs w:val="22"/>
                <w:lang w:val="en-US" w:eastAsia="zh-CN" w:bidi="ar-SA"/>
              </w:rPr>
            </w:pPr>
            <w:r>
              <w:rPr>
                <w:rFonts w:hint="eastAsia" w:ascii="Arial" w:hAnsi="Arial" w:eastAsia="MS Mincho" w:cs="Times New Roman"/>
                <w:sz w:val="24"/>
                <w:szCs w:val="22"/>
                <w:lang w:val="en-US" w:eastAsia="zh-CN" w:bidi="ar-SA"/>
              </w:rPr>
              <w:t>...</w:t>
            </w:r>
          </w:p>
          <w:p>
            <w:pPr>
              <w:rPr>
                <w:b/>
                <w:bCs/>
                <w:i/>
                <w:iCs/>
              </w:rPr>
            </w:pPr>
            <w:r>
              <w:rPr>
                <w:b/>
                <w:bCs/>
                <w:i/>
                <w:iCs/>
              </w:rPr>
              <w:t>CSI feedback enhancement:</w:t>
            </w:r>
          </w:p>
          <w:p>
            <w:pPr>
              <w:rPr>
                <w:b/>
                <w:bCs/>
              </w:rPr>
            </w:pPr>
            <w:r>
              <w:rPr>
                <w:b/>
                <w:bCs/>
              </w:rPr>
              <w:t xml:space="preserve">CSI compression sub use case: </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 xml:space="preserve">The performance benefit and potential specification impact were studied for AI/ML based CSI compression sub use case. </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 xml:space="preserve">Performance gain over baseline and computational complexity in FLOPs are summarized in clause 6.2.2.8. </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Both NW side and UE side performance monitoring were studied, some but not all aspects were concluded.</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From RAN1 perspective, there is no consensus on the recommendation of CSI compression for normative work.</w:t>
            </w:r>
          </w:p>
          <w:p>
            <w:pPr>
              <w:autoSpaceDE/>
              <w:autoSpaceDN/>
              <w:adjustRightInd/>
              <w:snapToGrid/>
              <w:spacing w:after="180"/>
              <w:jc w:val="left"/>
              <w:rPr>
                <w:rFonts w:hint="eastAsia" w:eastAsia="MS Mincho"/>
                <w:sz w:val="20"/>
                <w:szCs w:val="20"/>
                <w:lang w:val="de-DE"/>
              </w:rPr>
            </w:pPr>
            <w:r>
              <w:rPr>
                <w:rFonts w:hint="eastAsia" w:eastAsia="MS Mincho"/>
                <w:sz w:val="20"/>
                <w:szCs w:val="20"/>
                <w:lang w:val="de-DE"/>
              </w:rPr>
              <w:t>At least the following aspects are the reasons for the lack of RAN1 consensus on the recommendation of CSI compression for normative work:</w:t>
            </w:r>
          </w:p>
          <w:p>
            <w:pPr>
              <w:pStyle w:val="14"/>
              <w:numPr>
                <w:ilvl w:val="0"/>
                <w:numId w:val="3"/>
              </w:numPr>
              <w:autoSpaceDE/>
              <w:autoSpaceDN/>
              <w:adjustRightInd/>
              <w:snapToGrid/>
              <w:spacing w:after="180"/>
              <w:ind w:left="720" w:leftChars="0" w:firstLine="0"/>
              <w:contextualSpacing w:val="0"/>
              <w:jc w:val="left"/>
              <w:rPr>
                <w:rFonts w:hint="eastAsia" w:ascii="Times New Roman" w:hAnsi="Times New Roman" w:eastAsia="MS Mincho"/>
                <w:sz w:val="20"/>
                <w:szCs w:val="20"/>
                <w:lang w:val="de-DE"/>
              </w:rPr>
            </w:pPr>
            <w:r>
              <w:rPr>
                <w:rFonts w:hint="eastAsia" w:ascii="Times New Roman" w:hAnsi="Times New Roman" w:eastAsia="MS Mincho"/>
                <w:sz w:val="20"/>
                <w:szCs w:val="20"/>
                <w:lang w:val="de-DE"/>
              </w:rPr>
              <w:t>Trade-off between performance and complexity/overhead.</w:t>
            </w:r>
          </w:p>
          <w:p>
            <w:pPr>
              <w:pStyle w:val="14"/>
              <w:numPr>
                <w:ilvl w:val="0"/>
                <w:numId w:val="3"/>
              </w:numPr>
              <w:autoSpaceDE/>
              <w:autoSpaceDN/>
              <w:adjustRightInd/>
              <w:snapToGrid/>
              <w:spacing w:after="180"/>
              <w:ind w:left="720" w:leftChars="0" w:firstLine="0"/>
              <w:contextualSpacing w:val="0"/>
              <w:jc w:val="left"/>
              <w:rPr>
                <w:rFonts w:hint="eastAsia" w:ascii="Times New Roman" w:hAnsi="Times New Roman" w:eastAsia="MS Mincho"/>
                <w:sz w:val="20"/>
                <w:szCs w:val="20"/>
                <w:lang w:val="de-DE"/>
              </w:rPr>
            </w:pPr>
            <w:r>
              <w:rPr>
                <w:rFonts w:hint="eastAsia" w:ascii="Times New Roman" w:hAnsi="Times New Roman" w:eastAsia="MS Mincho"/>
                <w:sz w:val="20"/>
                <w:szCs w:val="20"/>
                <w:lang w:val="de-DE"/>
              </w:rPr>
              <w:t>Issues related to inter-vendor training collaboration.</w:t>
            </w:r>
          </w:p>
          <w:p>
            <w:pPr>
              <w:autoSpaceDE/>
              <w:autoSpaceDN/>
              <w:adjustRightInd/>
              <w:snapToGrid/>
              <w:spacing w:after="180"/>
              <w:jc w:val="left"/>
              <w:rPr>
                <w:rFonts w:hint="default" w:ascii="Arial" w:hAnsi="Arial" w:eastAsia="MS Mincho" w:cs="Times New Roman"/>
                <w:sz w:val="24"/>
                <w:szCs w:val="22"/>
                <w:lang w:val="en-US" w:eastAsia="zh-CN" w:bidi="ar-SA"/>
              </w:rPr>
            </w:pPr>
            <w:r>
              <w:rPr>
                <w:rFonts w:hint="eastAsia" w:eastAsia="MS Mincho"/>
                <w:sz w:val="20"/>
                <w:szCs w:val="20"/>
                <w:lang w:val="de-DE"/>
              </w:rPr>
              <w:t>Other aspects that require further study/conclusion are captured in the summary above.</w:t>
            </w:r>
          </w:p>
          <w:p>
            <w:pPr>
              <w:rPr>
                <w:rFonts w:eastAsia="MS Mincho"/>
                <w:color w:val="FF0000"/>
                <w:szCs w:val="20"/>
                <w:lang w:val="de-DE"/>
              </w:rPr>
            </w:pPr>
            <w:r>
              <w:rPr>
                <w:rFonts w:eastAsia="Calibri"/>
                <w:lang w:val="de-DE"/>
              </w:rPr>
              <w:t>=======================  End of text proposal to TR 38.843 v1.2.0 ====================</w:t>
            </w:r>
          </w:p>
        </w:tc>
      </w:tr>
    </w:tbl>
    <w:p>
      <w:pPr>
        <w:numPr>
          <w:ilvl w:val="0"/>
          <w:numId w:val="0"/>
        </w:numPr>
        <w:bidi w:val="0"/>
        <w:rPr>
          <w:rFonts w:hint="eastAsia"/>
          <w:lang w:val="en-US" w:eastAsia="zh-CN"/>
        </w:rPr>
      </w:pPr>
    </w:p>
    <w:p>
      <w:pPr>
        <w:pStyle w:val="2"/>
        <w:bidi w:val="0"/>
        <w:ind w:left="432" w:leftChars="0" w:hanging="432" w:firstLineChars="0"/>
      </w:pPr>
      <w:r>
        <w:rPr>
          <w:rFonts w:hint="eastAsia"/>
          <w:lang w:val="en-US" w:eastAsia="zh-CN"/>
        </w:rPr>
        <w:t xml:space="preserve">Discussion about CSI compression. </w:t>
      </w:r>
    </w:p>
    <w:p>
      <w:pPr>
        <w:pStyle w:val="3"/>
        <w:bidi w:val="0"/>
        <w:ind w:left="576" w:leftChars="0" w:hanging="576" w:firstLineChars="0"/>
      </w:pPr>
      <w:r>
        <w:rPr>
          <w:rFonts w:hint="eastAsia"/>
          <w:lang w:val="en-US" w:eastAsia="zh-CN"/>
        </w:rPr>
        <w:t>Quantization alignment</w:t>
      </w:r>
    </w:p>
    <w:p>
      <w:pPr>
        <w:rPr>
          <w:rFonts w:hint="default"/>
          <w:lang w:val="en-US" w:eastAsia="zh-CN"/>
        </w:rPr>
      </w:pPr>
      <w:r>
        <w:rPr>
          <w:rFonts w:hint="default" w:eastAsia="宋体"/>
          <w:lang w:val="en-US" w:eastAsia="zh-CN"/>
        </w:rPr>
        <w:t>In order to perform normal data transmission, quantization after CSI compression is essential</w:t>
      </w:r>
      <w:r>
        <w:rPr>
          <w:rFonts w:hint="eastAsia"/>
          <w:lang w:val="en-US" w:eastAsia="zh-CN"/>
        </w:rPr>
        <w:t xml:space="preserve">. Different quantization functions usually produce different quantization noises, and different algorithms need to be designed to deal with different quantization noises. There is no quantitative method of consensus between different vendors, which will lead to a poor performance of the CSI compression model. Table 1 shows the different quantization methods process the output of the CSI generation part in different ways, which may lead to CSI reconstruction performance degradation. Uniform quantization is used to train the model, and the performance of the model is tested by uniform quantization. The performance is stable. The non-uniform quantization method is used to test the performance of the model, and the results show that the performance of the model is very poor. Therefore, a standard for </w:t>
      </w:r>
      <w:bookmarkStart w:id="4" w:name="OLE_LINK1"/>
      <w:r>
        <w:rPr>
          <w:rFonts w:hint="eastAsia"/>
          <w:lang w:val="en-US" w:eastAsia="zh-CN"/>
        </w:rPr>
        <w:t>quantization methods</w:t>
      </w:r>
      <w:bookmarkEnd w:id="4"/>
      <w:r>
        <w:rPr>
          <w:rFonts w:hint="eastAsia"/>
          <w:lang w:val="en-US" w:eastAsia="zh-CN"/>
        </w:rPr>
        <w:t xml:space="preserve"> is needed.</w:t>
      </w:r>
    </w:p>
    <w:p>
      <w:pPr>
        <w:jc w:val="center"/>
        <w:rPr>
          <w:rFonts w:hint="default"/>
          <w:b/>
          <w:bCs/>
          <w:lang w:val="en-US" w:eastAsia="zh-CN"/>
        </w:rPr>
      </w:pPr>
      <w:r>
        <w:rPr>
          <w:rFonts w:hint="eastAsia"/>
          <w:b/>
          <w:bCs/>
          <w:lang w:val="en-US" w:eastAsia="zh-CN"/>
        </w:rPr>
        <w:t>Table 1 Comparison of different quantization method</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6"/>
        <w:gridCol w:w="2319"/>
        <w:gridCol w:w="2312"/>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eastAsia"/>
                <w:vertAlign w:val="baseline"/>
                <w:lang w:val="en-US" w:eastAsia="zh-CN"/>
              </w:rPr>
            </w:pPr>
          </w:p>
        </w:tc>
        <w:tc>
          <w:tcPr>
            <w:tcW w:w="2319" w:type="dxa"/>
          </w:tcPr>
          <w:p>
            <w:pPr>
              <w:widowControl w:val="0"/>
              <w:jc w:val="center"/>
              <w:rPr>
                <w:rFonts w:hint="default"/>
                <w:vertAlign w:val="baseline"/>
                <w:lang w:val="en-US" w:eastAsia="zh-CN"/>
              </w:rPr>
            </w:pPr>
            <w:r>
              <w:rPr>
                <w:rFonts w:hint="eastAsia"/>
                <w:vertAlign w:val="baseline"/>
                <w:lang w:val="en-US" w:eastAsia="zh-CN"/>
              </w:rPr>
              <w:t>Training method</w:t>
            </w:r>
          </w:p>
        </w:tc>
        <w:tc>
          <w:tcPr>
            <w:tcW w:w="5061" w:type="dxa"/>
            <w:gridSpan w:val="2"/>
          </w:tcPr>
          <w:p>
            <w:pPr>
              <w:widowControl w:val="0"/>
              <w:jc w:val="center"/>
              <w:rPr>
                <w:rFonts w:hint="default"/>
                <w:vertAlign w:val="baseline"/>
                <w:lang w:val="en-US" w:eastAsia="zh-CN"/>
              </w:rPr>
            </w:pPr>
            <w:r>
              <w:rPr>
                <w:rFonts w:hint="eastAsia"/>
                <w:vertAlign w:val="baseline"/>
                <w:lang w:val="en-US" w:eastAsia="zh-CN"/>
              </w:rPr>
              <w:t>Test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Compression rate</w:t>
            </w:r>
          </w:p>
        </w:tc>
        <w:tc>
          <w:tcPr>
            <w:tcW w:w="2319" w:type="dxa"/>
          </w:tcPr>
          <w:p>
            <w:pPr>
              <w:widowControl w:val="0"/>
              <w:jc w:val="center"/>
              <w:rPr>
                <w:rFonts w:hint="default"/>
                <w:vertAlign w:val="baseline"/>
                <w:lang w:val="en-US" w:eastAsia="zh-CN"/>
              </w:rPr>
            </w:pPr>
            <w:r>
              <w:rPr>
                <w:rFonts w:hint="eastAsia"/>
                <w:vertAlign w:val="baseline"/>
                <w:lang w:val="en-US" w:eastAsia="zh-CN"/>
              </w:rPr>
              <w:t>Uniform quantization</w:t>
            </w:r>
          </w:p>
        </w:tc>
        <w:tc>
          <w:tcPr>
            <w:tcW w:w="2312" w:type="dxa"/>
          </w:tcPr>
          <w:p>
            <w:pPr>
              <w:widowControl w:val="0"/>
              <w:jc w:val="center"/>
              <w:rPr>
                <w:rFonts w:hint="default"/>
                <w:vertAlign w:val="baseline"/>
                <w:lang w:val="en-US" w:eastAsia="zh-CN"/>
              </w:rPr>
            </w:pPr>
            <w:r>
              <w:rPr>
                <w:rFonts w:hint="eastAsia"/>
                <w:vertAlign w:val="baseline"/>
                <w:lang w:val="en-US" w:eastAsia="zh-CN"/>
              </w:rPr>
              <w:t>Uniform quantization</w:t>
            </w:r>
          </w:p>
        </w:tc>
        <w:tc>
          <w:tcPr>
            <w:tcW w:w="2749" w:type="dxa"/>
          </w:tcPr>
          <w:p>
            <w:pPr>
              <w:widowControl w:val="0"/>
              <w:jc w:val="center"/>
              <w:rPr>
                <w:rFonts w:hint="default"/>
                <w:vertAlign w:val="baseline"/>
                <w:lang w:val="en-US" w:eastAsia="zh-CN"/>
              </w:rPr>
            </w:pPr>
            <w:r>
              <w:rPr>
                <w:rFonts w:hint="eastAsia"/>
                <w:vertAlign w:val="baseline"/>
                <w:lang w:val="en-US" w:eastAsia="zh-CN"/>
              </w:rPr>
              <w:t>Non-uniform quantization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1/4</w:t>
            </w:r>
          </w:p>
        </w:tc>
        <w:tc>
          <w:tcPr>
            <w:tcW w:w="2319" w:type="dxa"/>
          </w:tcPr>
          <w:p>
            <w:pPr>
              <w:widowControl w:val="0"/>
              <w:jc w:val="center"/>
              <w:rPr>
                <w:rFonts w:hint="default"/>
                <w:vertAlign w:val="baseline"/>
                <w:lang w:val="en-US" w:eastAsia="zh-CN"/>
              </w:rPr>
            </w:pPr>
            <w:r>
              <w:rPr>
                <w:rFonts w:hint="eastAsia"/>
                <w:vertAlign w:val="baseline"/>
                <w:lang w:val="en-US" w:eastAsia="zh-CN"/>
              </w:rPr>
              <w:t>0.933</w:t>
            </w:r>
          </w:p>
        </w:tc>
        <w:tc>
          <w:tcPr>
            <w:tcW w:w="2312" w:type="dxa"/>
          </w:tcPr>
          <w:p>
            <w:pPr>
              <w:widowControl w:val="0"/>
              <w:jc w:val="center"/>
              <w:rPr>
                <w:rFonts w:hint="default"/>
                <w:vertAlign w:val="baseline"/>
                <w:lang w:val="en-US" w:eastAsia="zh-CN"/>
              </w:rPr>
            </w:pPr>
            <w:r>
              <w:rPr>
                <w:rFonts w:hint="eastAsia"/>
                <w:vertAlign w:val="baseline"/>
                <w:lang w:val="en-US" w:eastAsia="zh-CN"/>
              </w:rPr>
              <w:t>0.9380</w:t>
            </w:r>
          </w:p>
        </w:tc>
        <w:tc>
          <w:tcPr>
            <w:tcW w:w="2749" w:type="dxa"/>
          </w:tcPr>
          <w:p>
            <w:pPr>
              <w:widowControl w:val="0"/>
              <w:jc w:val="center"/>
              <w:rPr>
                <w:rFonts w:hint="default"/>
                <w:vertAlign w:val="baseline"/>
                <w:lang w:val="en-US" w:eastAsia="zh-CN"/>
              </w:rPr>
            </w:pPr>
            <w:r>
              <w:rPr>
                <w:rFonts w:hint="eastAsia"/>
                <w:vertAlign w:val="baseline"/>
                <w:lang w:val="en-US" w:eastAsia="zh-CN"/>
              </w:rPr>
              <w:t>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1/8</w:t>
            </w:r>
          </w:p>
        </w:tc>
        <w:tc>
          <w:tcPr>
            <w:tcW w:w="2319" w:type="dxa"/>
          </w:tcPr>
          <w:p>
            <w:pPr>
              <w:widowControl w:val="0"/>
              <w:jc w:val="center"/>
              <w:rPr>
                <w:rFonts w:hint="default"/>
                <w:vertAlign w:val="baseline"/>
                <w:lang w:val="en-US" w:eastAsia="zh-CN"/>
              </w:rPr>
            </w:pPr>
            <w:r>
              <w:rPr>
                <w:rFonts w:hint="eastAsia"/>
                <w:vertAlign w:val="baseline"/>
                <w:lang w:val="en-US" w:eastAsia="zh-CN"/>
              </w:rPr>
              <w:t>0.8882</w:t>
            </w:r>
          </w:p>
        </w:tc>
        <w:tc>
          <w:tcPr>
            <w:tcW w:w="2312" w:type="dxa"/>
          </w:tcPr>
          <w:p>
            <w:pPr>
              <w:widowControl w:val="0"/>
              <w:jc w:val="center"/>
              <w:rPr>
                <w:rFonts w:hint="default"/>
                <w:vertAlign w:val="baseline"/>
                <w:lang w:val="en-US" w:eastAsia="zh-CN"/>
              </w:rPr>
            </w:pPr>
            <w:r>
              <w:rPr>
                <w:rFonts w:hint="eastAsia"/>
                <w:vertAlign w:val="baseline"/>
                <w:lang w:val="en-US" w:eastAsia="zh-CN"/>
              </w:rPr>
              <w:t>0.8951</w:t>
            </w:r>
          </w:p>
        </w:tc>
        <w:tc>
          <w:tcPr>
            <w:tcW w:w="2749" w:type="dxa"/>
          </w:tcPr>
          <w:p>
            <w:pPr>
              <w:widowControl w:val="0"/>
              <w:jc w:val="center"/>
              <w:rPr>
                <w:rFonts w:hint="default"/>
                <w:vertAlign w:val="baseline"/>
                <w:lang w:val="en-US" w:eastAsia="zh-CN"/>
              </w:rPr>
            </w:pPr>
            <w:r>
              <w:rPr>
                <w:rFonts w:hint="eastAsia"/>
                <w:vertAlign w:val="baseline"/>
                <w:lang w:val="en-US" w:eastAsia="zh-CN"/>
              </w:rPr>
              <w:t>0.036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1/16</w:t>
            </w:r>
          </w:p>
        </w:tc>
        <w:tc>
          <w:tcPr>
            <w:tcW w:w="2319" w:type="dxa"/>
          </w:tcPr>
          <w:p>
            <w:pPr>
              <w:widowControl w:val="0"/>
              <w:jc w:val="center"/>
              <w:rPr>
                <w:rFonts w:hint="default"/>
                <w:vertAlign w:val="baseline"/>
                <w:lang w:val="en-US" w:eastAsia="zh-CN"/>
              </w:rPr>
            </w:pPr>
            <w:r>
              <w:rPr>
                <w:rFonts w:hint="eastAsia"/>
                <w:vertAlign w:val="baseline"/>
                <w:lang w:val="en-US" w:eastAsia="zh-CN"/>
              </w:rPr>
              <w:t>0.8455</w:t>
            </w:r>
          </w:p>
        </w:tc>
        <w:tc>
          <w:tcPr>
            <w:tcW w:w="2312" w:type="dxa"/>
          </w:tcPr>
          <w:p>
            <w:pPr>
              <w:widowControl w:val="0"/>
              <w:jc w:val="center"/>
              <w:rPr>
                <w:rFonts w:hint="default"/>
                <w:vertAlign w:val="baseline"/>
                <w:lang w:val="en-US" w:eastAsia="zh-CN"/>
              </w:rPr>
            </w:pPr>
            <w:r>
              <w:rPr>
                <w:rFonts w:hint="eastAsia"/>
                <w:vertAlign w:val="baseline"/>
                <w:lang w:val="en-US" w:eastAsia="zh-CN"/>
              </w:rPr>
              <w:t>0.8537</w:t>
            </w:r>
          </w:p>
        </w:tc>
        <w:tc>
          <w:tcPr>
            <w:tcW w:w="2749" w:type="dxa"/>
          </w:tcPr>
          <w:p>
            <w:pPr>
              <w:widowControl w:val="0"/>
              <w:jc w:val="center"/>
              <w:rPr>
                <w:rFonts w:hint="default"/>
                <w:vertAlign w:val="baseline"/>
                <w:lang w:val="en-US" w:eastAsia="zh-CN"/>
              </w:rPr>
            </w:pPr>
            <w:r>
              <w:rPr>
                <w:rFonts w:hint="eastAsia"/>
                <w:vertAlign w:val="baseline"/>
                <w:lang w:val="en-US" w:eastAsia="zh-CN"/>
              </w:rPr>
              <w:t>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1/32</w:t>
            </w:r>
          </w:p>
        </w:tc>
        <w:tc>
          <w:tcPr>
            <w:tcW w:w="2319" w:type="dxa"/>
          </w:tcPr>
          <w:p>
            <w:pPr>
              <w:widowControl w:val="0"/>
              <w:jc w:val="center"/>
              <w:rPr>
                <w:rFonts w:hint="default"/>
                <w:vertAlign w:val="baseline"/>
                <w:lang w:val="en-US" w:eastAsia="zh-CN"/>
              </w:rPr>
            </w:pPr>
            <w:r>
              <w:rPr>
                <w:rFonts w:hint="eastAsia"/>
                <w:vertAlign w:val="baseline"/>
                <w:lang w:val="en-US" w:eastAsia="zh-CN"/>
              </w:rPr>
              <w:t>0.7676</w:t>
            </w:r>
          </w:p>
        </w:tc>
        <w:tc>
          <w:tcPr>
            <w:tcW w:w="2312" w:type="dxa"/>
          </w:tcPr>
          <w:p>
            <w:pPr>
              <w:widowControl w:val="0"/>
              <w:jc w:val="center"/>
              <w:rPr>
                <w:rFonts w:hint="default"/>
                <w:vertAlign w:val="baseline"/>
                <w:lang w:val="en-US" w:eastAsia="zh-CN"/>
              </w:rPr>
            </w:pPr>
            <w:r>
              <w:rPr>
                <w:rFonts w:hint="eastAsia"/>
                <w:vertAlign w:val="baseline"/>
                <w:lang w:val="en-US" w:eastAsia="zh-CN"/>
              </w:rPr>
              <w:t>0.7736</w:t>
            </w:r>
          </w:p>
        </w:tc>
        <w:tc>
          <w:tcPr>
            <w:tcW w:w="2749" w:type="dxa"/>
          </w:tcPr>
          <w:p>
            <w:pPr>
              <w:widowControl w:val="0"/>
              <w:jc w:val="center"/>
              <w:rPr>
                <w:rFonts w:hint="default"/>
                <w:vertAlign w:val="baseline"/>
                <w:lang w:val="en-US" w:eastAsia="zh-CN"/>
              </w:rPr>
            </w:pPr>
            <w:r>
              <w:rPr>
                <w:rFonts w:hint="eastAsia"/>
                <w:vertAlign w:val="baseline"/>
                <w:lang w:val="en-US" w:eastAsia="zh-CN"/>
              </w:rPr>
              <w:t>0.041</w:t>
            </w:r>
          </w:p>
        </w:tc>
      </w:tr>
    </w:tbl>
    <w:p>
      <w:pPr>
        <w:rPr>
          <w:rFonts w:hint="default"/>
          <w:lang w:val="en-US" w:eastAsia="zh-CN"/>
        </w:rPr>
      </w:pPr>
    </w:p>
    <w:p>
      <w:pPr>
        <w:rPr>
          <w:rFonts w:hint="default"/>
          <w:b/>
          <w:i/>
          <w:lang w:val="en-US" w:eastAsia="zh-CN"/>
        </w:rPr>
      </w:pPr>
      <w:r>
        <w:rPr>
          <w:b/>
          <w:i/>
          <w:lang w:eastAsia="zh-CN"/>
        </w:rPr>
        <w:t>Proposal 1:</w:t>
      </w:r>
      <w:r>
        <w:rPr>
          <w:rFonts w:hint="eastAsia"/>
          <w:b/>
          <w:i/>
          <w:lang w:val="en-US" w:eastAsia="zh-CN"/>
        </w:rPr>
        <w:t>Develop standard for quantization methods to mitigate the effect of quantization noise on performance fading.</w:t>
      </w:r>
    </w:p>
    <w:p>
      <w:pPr>
        <w:pStyle w:val="3"/>
        <w:bidi w:val="0"/>
        <w:ind w:left="576" w:leftChars="0" w:hanging="576" w:firstLineChars="0"/>
      </w:pPr>
      <w:r>
        <w:rPr>
          <w:rFonts w:hint="eastAsia"/>
          <w:lang w:val="en-US" w:eastAsia="zh-CN"/>
        </w:rPr>
        <w:t>Model-finetune</w:t>
      </w:r>
    </w:p>
    <w:p>
      <w:pPr>
        <w:rPr>
          <w:rFonts w:hint="default"/>
          <w:lang w:val="en-US" w:eastAsia="zh-CN"/>
        </w:rPr>
      </w:pPr>
      <w:r>
        <w:rPr>
          <w:rFonts w:hint="eastAsia"/>
          <w:lang w:val="en-US" w:eastAsia="zh-CN"/>
        </w:rPr>
        <w:t xml:space="preserve">In model training stage, we tend to use a data set collected from our predefined scenario. In model application stage, the model compresses the data according to the data characteristics of the preset scene. </w:t>
      </w:r>
      <w:bookmarkStart w:id="5" w:name="OLE_LINK2"/>
      <w:r>
        <w:rPr>
          <w:rFonts w:hint="eastAsia"/>
          <w:lang w:val="en-US" w:eastAsia="zh-CN"/>
        </w:rPr>
        <w:t>There are two problems in this way of application.</w:t>
      </w:r>
      <w:bookmarkEnd w:id="5"/>
      <w:r>
        <w:rPr>
          <w:rFonts w:hint="eastAsia"/>
          <w:lang w:val="en-US" w:eastAsia="zh-CN"/>
        </w:rPr>
        <w:t xml:space="preserve"> There are huge data characteristic differences between  training data set Configuration#A and application data set Configuration#B. The difference will lead to model generalization performance degrade. More importantly, the system parameters of Configuration#A and Configuration#B are also different, e.g. Antenna numbers and carrier frequency. In this case, the AI model simply cannot be applied. Fig.1 shows the model fine-tuning process. The input is data set with configuration#A, and the output is also the data set with configuration#A. Encoder and Decoder are trained with the data set with Configuration#B.</w:t>
      </w:r>
    </w:p>
    <w:p>
      <w:pPr>
        <w:jc w:val="center"/>
        <w:rPr>
          <w:rFonts w:hint="eastAsia"/>
          <w:lang w:val="en-US" w:eastAsia="zh-CN"/>
        </w:rPr>
      </w:pPr>
      <w:r>
        <w:rPr>
          <w:rFonts w:hint="eastAsia"/>
          <w:lang w:val="en-US" w:eastAsia="zh-CN"/>
        </w:rPr>
        <w:object>
          <v:shape id="_x0000_i1025" o:spt="75" type="#_x0000_t75" style="height:177.25pt;width:393.3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hint="default"/>
          <w:lang w:val="en-US" w:eastAsia="zh-CN"/>
        </w:rPr>
      </w:pPr>
      <w:r>
        <w:rPr>
          <w:rFonts w:hint="eastAsia"/>
          <w:b/>
          <w:bCs/>
          <w:lang w:val="en-US" w:eastAsia="zh-CN"/>
        </w:rPr>
        <w:t>Figure 1 Model fine-tuning process</w:t>
      </w:r>
    </w:p>
    <w:p>
      <w:pPr>
        <w:pStyle w:val="2"/>
        <w:bidi w:val="0"/>
        <w:ind w:left="432" w:leftChars="0" w:hanging="432" w:firstLineChars="0"/>
      </w:pPr>
      <w:bookmarkStart w:id="6" w:name="_Ref129681832"/>
      <w:r>
        <w:rPr>
          <w:rFonts w:hint="eastAsia"/>
          <w:lang w:val="en-US" w:eastAsia="zh-CN"/>
        </w:rPr>
        <w:t>Evaluation results on CSI compression</w:t>
      </w:r>
    </w:p>
    <w:p>
      <w:pPr>
        <w:pStyle w:val="3"/>
        <w:bidi w:val="0"/>
        <w:ind w:left="576" w:leftChars="0" w:hanging="576" w:firstLineChars="0"/>
      </w:pPr>
      <w:r>
        <w:rPr>
          <w:rFonts w:hint="eastAsia"/>
          <w:lang w:val="en-US" w:eastAsia="zh-CN"/>
        </w:rPr>
        <w:t>Quantization Alignment evaluation</w:t>
      </w:r>
    </w:p>
    <w:p>
      <w:pPr>
        <w:pStyle w:val="4"/>
        <w:bidi w:val="0"/>
      </w:pPr>
      <w:r>
        <w:rPr>
          <w:rFonts w:hint="eastAsia"/>
          <w:lang w:val="en-US" w:eastAsia="zh-CN"/>
        </w:rPr>
        <w:t>Multi-vendor quantization application evaluation</w:t>
      </w:r>
    </w:p>
    <w:p>
      <w:pPr>
        <w:rPr>
          <w:rFonts w:hint="default"/>
          <w:lang w:val="en-US" w:eastAsia="zh-CN"/>
        </w:rPr>
      </w:pPr>
      <w:r>
        <w:rPr>
          <w:rFonts w:hint="eastAsia"/>
          <w:lang w:val="en-US" w:eastAsia="zh-CN"/>
        </w:rPr>
        <w:t xml:space="preserve">In this section, we evaluate the quantization application. In application stage, we want to know if training the CSI generation part and the CSI reconstruction part separately has a significant impact on the model.  So we train two model with the same quantization method in complete separation, but we only load the encoder part in model A and the decoder part in model B. Table 2 shows the evaluation result. The combination performance is so poor, which means the same model and the same training method can not train the same model. </w:t>
      </w:r>
    </w:p>
    <w:p>
      <w:pPr>
        <w:jc w:val="center"/>
        <w:rPr>
          <w:rFonts w:hint="eastAsia"/>
          <w:b/>
          <w:bCs/>
          <w:lang w:val="en-US" w:eastAsia="zh-CN"/>
        </w:rPr>
      </w:pPr>
      <w:r>
        <w:rPr>
          <w:rFonts w:hint="eastAsia"/>
          <w:b/>
          <w:bCs/>
          <w:lang w:val="en-US" w:eastAsia="zh-CN"/>
        </w:rPr>
        <w:t>Table 2 Model performance of separate training</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6"/>
        <w:gridCol w:w="2319"/>
        <w:gridCol w:w="2312"/>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eastAsia"/>
                <w:vertAlign w:val="baseline"/>
                <w:lang w:val="en-US" w:eastAsia="zh-CN"/>
              </w:rPr>
            </w:pPr>
          </w:p>
        </w:tc>
        <w:tc>
          <w:tcPr>
            <w:tcW w:w="4631" w:type="dxa"/>
            <w:gridSpan w:val="2"/>
          </w:tcPr>
          <w:p>
            <w:pPr>
              <w:widowControl w:val="0"/>
              <w:jc w:val="center"/>
              <w:rPr>
                <w:rFonts w:hint="default"/>
                <w:vertAlign w:val="baseline"/>
                <w:lang w:val="en-US" w:eastAsia="zh-CN"/>
              </w:rPr>
            </w:pPr>
            <w:r>
              <w:rPr>
                <w:rFonts w:hint="eastAsia"/>
                <w:vertAlign w:val="baseline"/>
                <w:lang w:val="en-US" w:eastAsia="zh-CN"/>
              </w:rPr>
              <w:t>Training Stage</w:t>
            </w:r>
          </w:p>
        </w:tc>
        <w:tc>
          <w:tcPr>
            <w:tcW w:w="2749" w:type="dxa"/>
          </w:tcPr>
          <w:p>
            <w:pPr>
              <w:widowControl w:val="0"/>
              <w:jc w:val="center"/>
              <w:rPr>
                <w:rFonts w:hint="default"/>
                <w:vertAlign w:val="baseline"/>
                <w:lang w:val="en-US" w:eastAsia="zh-CN"/>
              </w:rPr>
            </w:pPr>
            <w:r>
              <w:rPr>
                <w:rFonts w:hint="eastAsia"/>
                <w:vertAlign w:val="baseline"/>
                <w:lang w:val="en-US" w:eastAsia="zh-CN"/>
              </w:rPr>
              <w:t>Application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Compression rate</w:t>
            </w:r>
          </w:p>
        </w:tc>
        <w:tc>
          <w:tcPr>
            <w:tcW w:w="2319" w:type="dxa"/>
          </w:tcPr>
          <w:p>
            <w:pPr>
              <w:widowControl w:val="0"/>
              <w:jc w:val="center"/>
              <w:rPr>
                <w:rFonts w:hint="default"/>
                <w:vertAlign w:val="baseline"/>
                <w:lang w:val="en-US" w:eastAsia="zh-CN"/>
              </w:rPr>
            </w:pPr>
            <w:r>
              <w:rPr>
                <w:rFonts w:hint="eastAsia"/>
                <w:vertAlign w:val="baseline"/>
                <w:lang w:val="en-US" w:eastAsia="zh-CN"/>
              </w:rPr>
              <w:t>Model A</w:t>
            </w:r>
          </w:p>
        </w:tc>
        <w:tc>
          <w:tcPr>
            <w:tcW w:w="2312" w:type="dxa"/>
          </w:tcPr>
          <w:p>
            <w:pPr>
              <w:widowControl w:val="0"/>
              <w:jc w:val="center"/>
              <w:rPr>
                <w:rFonts w:hint="default"/>
                <w:vertAlign w:val="baseline"/>
                <w:lang w:val="en-US" w:eastAsia="zh-CN"/>
              </w:rPr>
            </w:pPr>
            <w:r>
              <w:rPr>
                <w:rFonts w:hint="eastAsia"/>
                <w:vertAlign w:val="baseline"/>
                <w:lang w:val="en-US" w:eastAsia="zh-CN"/>
              </w:rPr>
              <w:t>Model B</w:t>
            </w:r>
          </w:p>
        </w:tc>
        <w:tc>
          <w:tcPr>
            <w:tcW w:w="2749" w:type="dxa"/>
          </w:tcPr>
          <w:p>
            <w:pPr>
              <w:widowControl w:val="0"/>
              <w:jc w:val="center"/>
              <w:rPr>
                <w:rFonts w:hint="default"/>
                <w:vertAlign w:val="baseline"/>
                <w:lang w:val="en-US" w:eastAsia="zh-CN"/>
              </w:rPr>
            </w:pPr>
            <w:r>
              <w:rPr>
                <w:rFonts w:hint="eastAsia"/>
                <w:vertAlign w:val="baseline"/>
                <w:lang w:val="en-US" w:eastAsia="zh-CN"/>
              </w:rPr>
              <w:t>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1/4</w:t>
            </w:r>
          </w:p>
        </w:tc>
        <w:tc>
          <w:tcPr>
            <w:tcW w:w="2319" w:type="dxa"/>
          </w:tcPr>
          <w:p>
            <w:pPr>
              <w:widowControl w:val="0"/>
              <w:jc w:val="center"/>
              <w:rPr>
                <w:rFonts w:hint="default"/>
                <w:vertAlign w:val="baseline"/>
                <w:lang w:val="en-US" w:eastAsia="zh-CN"/>
              </w:rPr>
            </w:pPr>
            <w:r>
              <w:rPr>
                <w:rFonts w:hint="eastAsia"/>
                <w:vertAlign w:val="baseline"/>
                <w:lang w:val="en-US" w:eastAsia="zh-CN"/>
              </w:rPr>
              <w:t>0.9107</w:t>
            </w:r>
          </w:p>
        </w:tc>
        <w:tc>
          <w:tcPr>
            <w:tcW w:w="2312" w:type="dxa"/>
          </w:tcPr>
          <w:p>
            <w:pPr>
              <w:widowControl w:val="0"/>
              <w:jc w:val="center"/>
              <w:rPr>
                <w:rFonts w:hint="default"/>
                <w:vertAlign w:val="baseline"/>
                <w:lang w:val="en-US" w:eastAsia="zh-CN"/>
              </w:rPr>
            </w:pPr>
            <w:r>
              <w:rPr>
                <w:rFonts w:hint="eastAsia"/>
                <w:vertAlign w:val="baseline"/>
                <w:lang w:val="en-US" w:eastAsia="zh-CN"/>
              </w:rPr>
              <w:t>0.9349</w:t>
            </w:r>
          </w:p>
        </w:tc>
        <w:tc>
          <w:tcPr>
            <w:tcW w:w="2749" w:type="dxa"/>
          </w:tcPr>
          <w:p>
            <w:pPr>
              <w:widowControl w:val="0"/>
              <w:jc w:val="center"/>
              <w:rPr>
                <w:rFonts w:hint="default"/>
                <w:vertAlign w:val="baseline"/>
                <w:lang w:val="en-US" w:eastAsia="zh-CN"/>
              </w:rPr>
            </w:pPr>
            <w:r>
              <w:rPr>
                <w:rFonts w:hint="eastAsia"/>
                <w:vertAlign w:val="baseline"/>
                <w:lang w:val="en-US" w:eastAsia="zh-CN"/>
              </w:rPr>
              <w:t>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1/8</w:t>
            </w:r>
          </w:p>
        </w:tc>
        <w:tc>
          <w:tcPr>
            <w:tcW w:w="2319" w:type="dxa"/>
          </w:tcPr>
          <w:p>
            <w:pPr>
              <w:widowControl w:val="0"/>
              <w:jc w:val="center"/>
              <w:rPr>
                <w:rFonts w:hint="default"/>
                <w:vertAlign w:val="baseline"/>
                <w:lang w:val="en-US" w:eastAsia="zh-CN"/>
              </w:rPr>
            </w:pPr>
            <w:r>
              <w:rPr>
                <w:rFonts w:hint="eastAsia"/>
                <w:vertAlign w:val="baseline"/>
                <w:lang w:val="en-US" w:eastAsia="zh-CN"/>
              </w:rPr>
              <w:t>0.8812</w:t>
            </w:r>
          </w:p>
        </w:tc>
        <w:tc>
          <w:tcPr>
            <w:tcW w:w="2312" w:type="dxa"/>
          </w:tcPr>
          <w:p>
            <w:pPr>
              <w:widowControl w:val="0"/>
              <w:jc w:val="center"/>
              <w:rPr>
                <w:rFonts w:hint="default"/>
                <w:vertAlign w:val="baseline"/>
                <w:lang w:val="en-US" w:eastAsia="zh-CN"/>
              </w:rPr>
            </w:pPr>
            <w:r>
              <w:rPr>
                <w:rFonts w:hint="eastAsia"/>
                <w:vertAlign w:val="baseline"/>
                <w:lang w:val="en-US" w:eastAsia="zh-CN"/>
              </w:rPr>
              <w:t>0.8875</w:t>
            </w:r>
          </w:p>
        </w:tc>
        <w:tc>
          <w:tcPr>
            <w:tcW w:w="2749" w:type="dxa"/>
          </w:tcPr>
          <w:p>
            <w:pPr>
              <w:widowControl w:val="0"/>
              <w:jc w:val="center"/>
              <w:rPr>
                <w:rFonts w:hint="default"/>
                <w:vertAlign w:val="baseline"/>
                <w:lang w:val="en-US" w:eastAsia="zh-CN"/>
              </w:rPr>
            </w:pPr>
            <w:r>
              <w:rPr>
                <w:rFonts w:hint="eastAsia"/>
                <w:vertAlign w:val="baseline"/>
                <w:lang w:val="en-US" w:eastAsia="zh-CN"/>
              </w:rPr>
              <w:t>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1/16</w:t>
            </w:r>
          </w:p>
        </w:tc>
        <w:tc>
          <w:tcPr>
            <w:tcW w:w="2319" w:type="dxa"/>
          </w:tcPr>
          <w:p>
            <w:pPr>
              <w:widowControl w:val="0"/>
              <w:jc w:val="center"/>
              <w:rPr>
                <w:rFonts w:hint="default"/>
                <w:vertAlign w:val="baseline"/>
                <w:lang w:val="en-US" w:eastAsia="zh-CN"/>
              </w:rPr>
            </w:pPr>
            <w:r>
              <w:rPr>
                <w:rFonts w:hint="eastAsia"/>
                <w:vertAlign w:val="baseline"/>
                <w:lang w:val="en-US" w:eastAsia="zh-CN"/>
              </w:rPr>
              <w:t>0.8407</w:t>
            </w:r>
          </w:p>
        </w:tc>
        <w:tc>
          <w:tcPr>
            <w:tcW w:w="2312" w:type="dxa"/>
          </w:tcPr>
          <w:p>
            <w:pPr>
              <w:widowControl w:val="0"/>
              <w:jc w:val="center"/>
              <w:rPr>
                <w:rFonts w:hint="default"/>
                <w:vertAlign w:val="baseline"/>
                <w:lang w:val="en-US" w:eastAsia="zh-CN"/>
              </w:rPr>
            </w:pPr>
            <w:r>
              <w:rPr>
                <w:rFonts w:hint="eastAsia"/>
                <w:vertAlign w:val="baseline"/>
                <w:lang w:val="en-US" w:eastAsia="zh-CN"/>
              </w:rPr>
              <w:t>0.8527</w:t>
            </w:r>
          </w:p>
        </w:tc>
        <w:tc>
          <w:tcPr>
            <w:tcW w:w="2749" w:type="dxa"/>
          </w:tcPr>
          <w:p>
            <w:pPr>
              <w:widowControl w:val="0"/>
              <w:jc w:val="center"/>
              <w:rPr>
                <w:rFonts w:hint="default"/>
                <w:vertAlign w:val="baseline"/>
                <w:lang w:val="en-US" w:eastAsia="zh-CN"/>
              </w:rPr>
            </w:pPr>
            <w:r>
              <w:rPr>
                <w:rFonts w:hint="eastAsia"/>
                <w:vertAlign w:val="baseline"/>
                <w:lang w:val="en-US" w:eastAsia="zh-CN"/>
              </w:rPr>
              <w:t>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6" w:type="dxa"/>
          </w:tcPr>
          <w:p>
            <w:pPr>
              <w:widowControl w:val="0"/>
              <w:jc w:val="center"/>
              <w:rPr>
                <w:rFonts w:hint="default"/>
                <w:vertAlign w:val="baseline"/>
                <w:lang w:val="en-US" w:eastAsia="zh-CN"/>
              </w:rPr>
            </w:pPr>
            <w:r>
              <w:rPr>
                <w:rFonts w:hint="eastAsia"/>
                <w:vertAlign w:val="baseline"/>
                <w:lang w:val="en-US" w:eastAsia="zh-CN"/>
              </w:rPr>
              <w:t>1/32</w:t>
            </w:r>
          </w:p>
        </w:tc>
        <w:tc>
          <w:tcPr>
            <w:tcW w:w="2319" w:type="dxa"/>
          </w:tcPr>
          <w:p>
            <w:pPr>
              <w:widowControl w:val="0"/>
              <w:jc w:val="center"/>
              <w:rPr>
                <w:rFonts w:hint="default"/>
                <w:vertAlign w:val="baseline"/>
                <w:lang w:val="en-US" w:eastAsia="zh-CN"/>
              </w:rPr>
            </w:pPr>
            <w:r>
              <w:rPr>
                <w:rFonts w:hint="eastAsia"/>
                <w:vertAlign w:val="baseline"/>
                <w:lang w:val="en-US" w:eastAsia="zh-CN"/>
              </w:rPr>
              <w:t>0.7397</w:t>
            </w:r>
          </w:p>
        </w:tc>
        <w:tc>
          <w:tcPr>
            <w:tcW w:w="2312" w:type="dxa"/>
          </w:tcPr>
          <w:p>
            <w:pPr>
              <w:widowControl w:val="0"/>
              <w:jc w:val="center"/>
              <w:rPr>
                <w:rFonts w:hint="default"/>
                <w:vertAlign w:val="baseline"/>
                <w:lang w:val="en-US" w:eastAsia="zh-CN"/>
              </w:rPr>
            </w:pPr>
            <w:r>
              <w:rPr>
                <w:rFonts w:hint="eastAsia"/>
                <w:vertAlign w:val="baseline"/>
                <w:lang w:val="en-US" w:eastAsia="zh-CN"/>
              </w:rPr>
              <w:t>0.7377</w:t>
            </w:r>
          </w:p>
        </w:tc>
        <w:tc>
          <w:tcPr>
            <w:tcW w:w="2749" w:type="dxa"/>
          </w:tcPr>
          <w:p>
            <w:pPr>
              <w:widowControl w:val="0"/>
              <w:jc w:val="center"/>
              <w:rPr>
                <w:rFonts w:hint="default"/>
                <w:vertAlign w:val="baseline"/>
                <w:lang w:val="en-US" w:eastAsia="zh-CN"/>
              </w:rPr>
            </w:pPr>
            <w:r>
              <w:rPr>
                <w:rFonts w:hint="eastAsia"/>
                <w:vertAlign w:val="baseline"/>
                <w:lang w:val="en-US" w:eastAsia="zh-CN"/>
              </w:rPr>
              <w:t>0.061</w:t>
            </w:r>
          </w:p>
        </w:tc>
      </w:tr>
    </w:tbl>
    <w:p>
      <w:pPr>
        <w:spacing w:before="120"/>
        <w:rPr>
          <w:rFonts w:hint="eastAsia"/>
          <w:b/>
          <w:bCs/>
          <w:lang w:val="en-US" w:eastAsia="zh-CN"/>
        </w:rPr>
      </w:pPr>
      <w:r>
        <w:rPr>
          <w:rFonts w:hint="eastAsia"/>
          <w:b/>
          <w:i/>
          <w:lang w:val="en-US" w:eastAsia="zh-CN"/>
        </w:rPr>
        <w:t>Observation</w:t>
      </w:r>
      <w:r>
        <w:rPr>
          <w:b/>
          <w:i/>
          <w:lang w:eastAsia="zh-CN"/>
        </w:rPr>
        <w:t xml:space="preserve"> </w:t>
      </w:r>
      <w:r>
        <w:rPr>
          <w:rFonts w:hint="eastAsia"/>
          <w:b/>
          <w:i/>
          <w:lang w:val="en-US" w:eastAsia="zh-CN"/>
        </w:rPr>
        <w:t>1</w:t>
      </w:r>
      <w:r>
        <w:rPr>
          <w:b/>
          <w:i/>
          <w:lang w:eastAsia="zh-CN"/>
        </w:rPr>
        <w:t xml:space="preserve">: </w:t>
      </w:r>
      <w:r>
        <w:rPr>
          <w:rFonts w:hint="eastAsia"/>
          <w:b/>
          <w:i/>
          <w:lang w:val="en-US" w:eastAsia="zh-CN"/>
        </w:rPr>
        <w:t>Same model and the same training method can not train the same model.</w:t>
      </w:r>
    </w:p>
    <w:p>
      <w:pPr>
        <w:pStyle w:val="4"/>
        <w:bidi w:val="0"/>
        <w:rPr>
          <w:rFonts w:hint="default"/>
          <w:lang w:val="en-US" w:eastAsia="zh-CN"/>
        </w:rPr>
      </w:pPr>
      <w:r>
        <w:rPr>
          <w:rFonts w:hint="eastAsia"/>
          <w:lang w:val="en-US" w:eastAsia="zh-CN"/>
        </w:rPr>
        <w:t>AI-aided dequantization scheme</w:t>
      </w:r>
    </w:p>
    <w:p>
      <w:pPr>
        <w:spacing w:before="120"/>
        <w:rPr>
          <w:rFonts w:hint="default"/>
          <w:lang w:val="en-US" w:eastAsia="zh-CN"/>
        </w:rPr>
      </w:pPr>
      <w:r>
        <w:rPr>
          <w:rFonts w:hint="eastAsia"/>
          <w:lang w:val="en-US" w:eastAsia="zh-CN"/>
        </w:rPr>
        <w:t xml:space="preserve">To address the issue of quantization noise, we evaluate the deep learning performance in dequantization. The dequantization module is applied after the data is received at the BS side. The module can use fully connected layers, transformer layers, or convolutional layers.  </w:t>
      </w:r>
    </w:p>
    <w:p>
      <w:pPr>
        <w:spacing w:before="120"/>
        <w:rPr>
          <w:rFonts w:hint="default"/>
          <w:lang w:val="en-US" w:eastAsia="zh-CN"/>
        </w:rPr>
      </w:pPr>
      <w:r>
        <w:rPr>
          <w:rFonts w:hint="default"/>
          <w:lang w:val="en-US" w:eastAsia="zh-CN"/>
        </w:rPr>
        <w:object>
          <v:shape id="_x0000_i1026" o:spt="75" type="#_x0000_t75" style="height:198.55pt;width:464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spacing w:before="120"/>
        <w:jc w:val="center"/>
        <w:rPr>
          <w:rFonts w:hint="eastAsia"/>
          <w:b/>
          <w:bCs/>
          <w:lang w:val="en-US" w:eastAsia="zh-CN"/>
        </w:rPr>
      </w:pPr>
      <w:r>
        <w:rPr>
          <w:rFonts w:hint="eastAsia"/>
          <w:b/>
          <w:bCs/>
          <w:lang w:val="en-US" w:eastAsia="zh-CN"/>
        </w:rPr>
        <w:t>Figure 2 Dequantization Block</w:t>
      </w:r>
    </w:p>
    <w:p>
      <w:pPr>
        <w:spacing w:before="120"/>
        <w:jc w:val="center"/>
        <w:rPr>
          <w:rFonts w:hint="default"/>
          <w:b/>
          <w:bCs/>
          <w:lang w:val="en-US" w:eastAsia="zh-CN"/>
        </w:rPr>
      </w:pPr>
      <w:r>
        <w:rPr>
          <w:rFonts w:hint="default"/>
          <w:b/>
          <w:bCs/>
          <w:lang w:val="en-US" w:eastAsia="zh-CN"/>
        </w:rPr>
        <w:object>
          <v:shape id="_x0000_i1027" o:spt="75" type="#_x0000_t75" style="height:121.1pt;width:433.9pt;" o:ole="t" filled="f" o:preferrelative="t" stroked="f" coordsize="21600,21600">
            <v:path/>
            <v:fill on="f" focussize="0,0"/>
            <v:stroke on="f"/>
            <v:imagedata r:id="rId10" o:title=""/>
            <o:lock v:ext="edit" aspectratio="t"/>
            <w10:wrap type="none"/>
            <w10:anchorlock/>
          </v:shape>
          <o:OLEObject Type="Embed" ProgID="Visio.Drawing.15" ShapeID="_x0000_i1027" DrawAspect="Content" ObjectID="_1468075727" r:id="rId9">
            <o:LockedField>false</o:LockedField>
          </o:OLEObject>
        </w:object>
      </w:r>
    </w:p>
    <w:p>
      <w:pPr>
        <w:numPr>
          <w:ilvl w:val="0"/>
          <w:numId w:val="0"/>
        </w:numPr>
        <w:tabs>
          <w:tab w:val="left" w:pos="1540"/>
          <w:tab w:val="left" w:pos="4620"/>
          <w:tab w:val="left" w:pos="7700"/>
        </w:tabs>
        <w:spacing w:before="120"/>
        <w:jc w:val="left"/>
        <w:rPr>
          <w:rFonts w:hint="default"/>
          <w:b/>
          <w:bCs/>
          <w:lang w:val="en-US" w:eastAsia="zh-CN"/>
        </w:rPr>
      </w:pPr>
      <w:r>
        <w:rPr>
          <w:rFonts w:hint="eastAsia" w:cs="Times New Roman"/>
          <w:b/>
          <w:bCs/>
          <w:sz w:val="22"/>
          <w:szCs w:val="22"/>
          <w:lang w:val="en-US" w:eastAsia="zh-CN" w:bidi="ar-SA"/>
        </w:rPr>
        <w:tab/>
      </w:r>
      <w:r>
        <w:rPr>
          <w:rFonts w:hint="default" w:ascii="Times New Roman" w:hAnsi="Times New Roman" w:eastAsia="宋体" w:cs="Times New Roman"/>
          <w:b/>
          <w:bCs/>
          <w:sz w:val="22"/>
          <w:szCs w:val="22"/>
          <w:lang w:val="en-US" w:eastAsia="zh-CN" w:bidi="ar-SA"/>
        </w:rPr>
        <w:t>(a)</w:t>
      </w:r>
      <w:r>
        <w:rPr>
          <w:rFonts w:hint="eastAsia"/>
          <w:b/>
          <w:bCs/>
          <w:lang w:val="en-US" w:eastAsia="zh-CN"/>
        </w:rPr>
        <w:t xml:space="preserve"> </w:t>
      </w:r>
      <w:r>
        <w:rPr>
          <w:rFonts w:hint="eastAsia"/>
          <w:b/>
          <w:bCs/>
          <w:lang w:val="en-US" w:eastAsia="zh-CN"/>
        </w:rPr>
        <w:tab/>
      </w:r>
      <w:r>
        <w:rPr>
          <w:rFonts w:hint="eastAsia"/>
          <w:b/>
          <w:bCs/>
          <w:lang w:val="en-US" w:eastAsia="zh-CN"/>
        </w:rPr>
        <w:t>(b)</w:t>
      </w:r>
      <w:r>
        <w:rPr>
          <w:rFonts w:hint="eastAsia"/>
          <w:b/>
          <w:bCs/>
          <w:lang w:val="en-US" w:eastAsia="zh-CN"/>
        </w:rPr>
        <w:tab/>
      </w:r>
      <w:r>
        <w:rPr>
          <w:rFonts w:hint="eastAsia"/>
          <w:b/>
          <w:bCs/>
          <w:lang w:val="en-US" w:eastAsia="zh-CN"/>
        </w:rPr>
        <w:t xml:space="preserve"> (c)</w:t>
      </w:r>
    </w:p>
    <w:p>
      <w:pPr>
        <w:spacing w:before="120"/>
        <w:jc w:val="center"/>
        <w:rPr>
          <w:rFonts w:hint="eastAsia"/>
          <w:b/>
          <w:bCs/>
          <w:lang w:val="en-US" w:eastAsia="zh-CN"/>
        </w:rPr>
      </w:pPr>
      <w:bookmarkStart w:id="7" w:name="OLE_LINK4"/>
      <w:r>
        <w:rPr>
          <w:rFonts w:hint="eastAsia"/>
          <w:b/>
          <w:bCs/>
          <w:lang w:val="en-US" w:eastAsia="zh-CN"/>
        </w:rPr>
        <w:t>Figure 3 dequantization blocks(a)Full connection block (b)Transformer block (c) Convolutional block</w:t>
      </w:r>
      <w:bookmarkEnd w:id="7"/>
      <w:r>
        <w:rPr>
          <w:rFonts w:hint="eastAsia"/>
          <w:b/>
          <w:bCs/>
          <w:lang w:val="en-US" w:eastAsia="zh-CN"/>
        </w:rPr>
        <w:t xml:space="preserve"> </w:t>
      </w:r>
    </w:p>
    <w:p>
      <w:pPr>
        <w:spacing w:before="120"/>
        <w:jc w:val="left"/>
        <w:rPr>
          <w:rFonts w:hint="default"/>
          <w:b w:val="0"/>
          <w:bCs w:val="0"/>
          <w:lang w:val="en-US" w:eastAsia="zh-CN"/>
        </w:rPr>
      </w:pPr>
      <w:r>
        <w:rPr>
          <w:rFonts w:hint="eastAsia"/>
          <w:b w:val="0"/>
          <w:bCs w:val="0"/>
          <w:lang w:val="en-US" w:eastAsia="zh-CN"/>
        </w:rPr>
        <w:t xml:space="preserve">The complexity of 3 dequantization block is shown in table3. If we don't use the quantization module, the performance of our SGCS model is 0.9. Compared to the other two modules, the CNN module has extremely low parameter count and computational complexity, but it leads to a sharp decrease in model performance. The parameter count of the DNN module is only 1/12 of the Transformer module, and the computational complexity is only about 1/6. However, its performance in quantization is better than the Transformer module. Both modules have certain quantization performance, which can effectively reduce the noise introduced by quantization.   </w:t>
      </w:r>
    </w:p>
    <w:p>
      <w:pPr>
        <w:keepNext w:val="0"/>
        <w:keepLines w:val="0"/>
        <w:pageBreakBefore w:val="0"/>
        <w:widowControl/>
        <w:kinsoku/>
        <w:wordWrap/>
        <w:overflowPunct/>
        <w:topLinePunct w:val="0"/>
        <w:autoSpaceDE w:val="0"/>
        <w:autoSpaceDN w:val="0"/>
        <w:bidi w:val="0"/>
        <w:adjustRightInd w:val="0"/>
        <w:snapToGrid w:val="0"/>
        <w:spacing w:before="120"/>
        <w:jc w:val="center"/>
        <w:textAlignment w:val="auto"/>
        <w:rPr>
          <w:rFonts w:hint="default"/>
          <w:b/>
          <w:i/>
          <w:lang w:val="en-US" w:eastAsia="zh-CN"/>
        </w:rPr>
      </w:pPr>
      <w:r>
        <w:rPr>
          <w:rFonts w:hint="eastAsia"/>
          <w:b/>
          <w:bCs/>
          <w:lang w:val="en-US" w:eastAsia="zh-CN"/>
        </w:rPr>
        <w:t>Table 3 Comparison of dequantization block complexity</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2049"/>
        <w:gridCol w:w="2049"/>
        <w:gridCol w:w="2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049" w:type="dxa"/>
            <w:vAlign w:val="center"/>
          </w:tcPr>
          <w:p>
            <w:pPr>
              <w:widowControl w:val="0"/>
              <w:jc w:val="center"/>
              <w:rPr>
                <w:rFonts w:hint="eastAsia"/>
                <w:b/>
                <w:bCs/>
                <w:vertAlign w:val="baseline"/>
                <w:lang w:val="en-US" w:eastAsia="zh-CN"/>
              </w:rPr>
            </w:pPr>
            <w:r>
              <w:rPr>
                <w:rFonts w:hint="eastAsia"/>
                <w:b/>
                <w:bCs/>
                <w:vertAlign w:val="baseline"/>
                <w:lang w:val="en-US" w:eastAsia="zh-CN"/>
              </w:rPr>
              <w:t>Model</w:t>
            </w:r>
          </w:p>
        </w:tc>
        <w:tc>
          <w:tcPr>
            <w:tcW w:w="2049" w:type="dxa"/>
            <w:vAlign w:val="center"/>
          </w:tcPr>
          <w:p>
            <w:pPr>
              <w:widowControl w:val="0"/>
              <w:jc w:val="center"/>
              <w:rPr>
                <w:rFonts w:hint="eastAsia"/>
                <w:b/>
                <w:bCs/>
                <w:vertAlign w:val="baseline"/>
                <w:lang w:val="en-US" w:eastAsia="zh-CN"/>
              </w:rPr>
            </w:pPr>
            <w:r>
              <w:rPr>
                <w:rFonts w:hint="eastAsia"/>
                <w:b/>
                <w:bCs/>
                <w:vertAlign w:val="baseline"/>
                <w:lang w:val="en-US" w:eastAsia="zh-CN"/>
              </w:rPr>
              <w:t>Parameters</w:t>
            </w:r>
          </w:p>
        </w:tc>
        <w:tc>
          <w:tcPr>
            <w:tcW w:w="2049" w:type="dxa"/>
            <w:vAlign w:val="center"/>
          </w:tcPr>
          <w:p>
            <w:pPr>
              <w:widowControl w:val="0"/>
              <w:jc w:val="center"/>
              <w:rPr>
                <w:rFonts w:hint="eastAsia"/>
                <w:b/>
                <w:bCs/>
                <w:vertAlign w:val="baseline"/>
                <w:lang w:val="en-US" w:eastAsia="zh-CN"/>
              </w:rPr>
            </w:pPr>
            <w:r>
              <w:rPr>
                <w:rFonts w:hint="eastAsia"/>
                <w:b/>
                <w:bCs/>
                <w:vertAlign w:val="baseline"/>
                <w:lang w:val="en-US" w:eastAsia="zh-CN"/>
              </w:rPr>
              <w:t>FLOPs</w:t>
            </w:r>
          </w:p>
        </w:tc>
        <w:tc>
          <w:tcPr>
            <w:tcW w:w="2050" w:type="dxa"/>
            <w:vAlign w:val="center"/>
          </w:tcPr>
          <w:p>
            <w:pPr>
              <w:widowControl w:val="0"/>
              <w:jc w:val="center"/>
              <w:rPr>
                <w:rFonts w:hint="eastAsia"/>
                <w:b/>
                <w:bCs/>
                <w:vertAlign w:val="baseline"/>
                <w:lang w:val="en-US" w:eastAsia="zh-CN"/>
              </w:rPr>
            </w:pPr>
            <w:r>
              <w:rPr>
                <w:rFonts w:hint="eastAsia"/>
                <w:b/>
                <w:bCs/>
                <w:vertAlign w:val="baseline"/>
                <w:lang w:val="en-US" w:eastAsia="zh-CN"/>
              </w:rPr>
              <w:t>SGCS</w:t>
            </w:r>
          </w:p>
          <w:p>
            <w:pPr>
              <w:widowControl w:val="0"/>
              <w:jc w:val="center"/>
              <w:rPr>
                <w:rFonts w:hint="default"/>
                <w:b/>
                <w:bCs/>
                <w:vertAlign w:val="baseline"/>
                <w:lang w:val="en-US" w:eastAsia="zh-CN"/>
              </w:rPr>
            </w:pPr>
            <w:r>
              <w:rPr>
                <w:rFonts w:hint="eastAsia"/>
                <w:b/>
                <w:bCs/>
                <w:vertAlign w:val="baseline"/>
                <w:lang w:val="en-US" w:eastAsia="zh-CN"/>
              </w:rPr>
              <w:t>(Baseline is 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049" w:type="dxa"/>
            <w:vAlign w:val="center"/>
          </w:tcPr>
          <w:p>
            <w:pPr>
              <w:widowControl w:val="0"/>
              <w:jc w:val="center"/>
              <w:rPr>
                <w:rFonts w:hint="default"/>
                <w:vertAlign w:val="baseline"/>
                <w:lang w:val="en-US" w:eastAsia="zh-CN"/>
              </w:rPr>
            </w:pPr>
            <w:r>
              <w:rPr>
                <w:rFonts w:hint="eastAsia"/>
                <w:vertAlign w:val="baseline"/>
                <w:lang w:val="en-US" w:eastAsia="zh-CN"/>
              </w:rPr>
              <w:t>No dequantization</w:t>
            </w:r>
          </w:p>
        </w:tc>
        <w:tc>
          <w:tcPr>
            <w:tcW w:w="2049" w:type="dxa"/>
            <w:vAlign w:val="center"/>
          </w:tcPr>
          <w:p>
            <w:pPr>
              <w:widowControl w:val="0"/>
              <w:jc w:val="center"/>
              <w:rPr>
                <w:rFonts w:hint="eastAsia"/>
                <w:vertAlign w:val="baseline"/>
                <w:lang w:val="en-US" w:eastAsia="zh-CN"/>
              </w:rPr>
            </w:pPr>
          </w:p>
        </w:tc>
        <w:tc>
          <w:tcPr>
            <w:tcW w:w="2049" w:type="dxa"/>
            <w:vAlign w:val="center"/>
          </w:tcPr>
          <w:p>
            <w:pPr>
              <w:widowControl w:val="0"/>
              <w:jc w:val="center"/>
              <w:rPr>
                <w:rFonts w:hint="eastAsia"/>
                <w:vertAlign w:val="baseline"/>
                <w:lang w:val="en-US" w:eastAsia="zh-CN"/>
              </w:rPr>
            </w:pPr>
          </w:p>
        </w:tc>
        <w:tc>
          <w:tcPr>
            <w:tcW w:w="2050" w:type="dxa"/>
            <w:vAlign w:val="center"/>
          </w:tcPr>
          <w:p>
            <w:pPr>
              <w:widowControl w:val="0"/>
              <w:jc w:val="center"/>
              <w:rPr>
                <w:rFonts w:hint="eastAsia"/>
                <w:b/>
                <w:bCs/>
                <w:vertAlign w:val="baseline"/>
                <w:lang w:val="en-US" w:eastAsia="zh-CN"/>
              </w:rPr>
            </w:pPr>
            <w:r>
              <w:rPr>
                <w:rFonts w:hint="eastAsia"/>
                <w:b/>
                <w:bCs/>
                <w:vertAlign w:val="baseline"/>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049" w:type="dxa"/>
            <w:vAlign w:val="center"/>
          </w:tcPr>
          <w:p>
            <w:pPr>
              <w:widowControl w:val="0"/>
              <w:jc w:val="center"/>
              <w:rPr>
                <w:rFonts w:hint="default"/>
                <w:vertAlign w:val="baseline"/>
                <w:lang w:val="en-US" w:eastAsia="zh-CN"/>
              </w:rPr>
            </w:pPr>
            <w:r>
              <w:rPr>
                <w:rFonts w:hint="eastAsia"/>
                <w:vertAlign w:val="baseline"/>
                <w:lang w:val="en-US" w:eastAsia="zh-CN"/>
              </w:rPr>
              <w:t xml:space="preserve">CNN </w:t>
            </w:r>
            <w:bookmarkStart w:id="8" w:name="OLE_LINK3"/>
            <w:r>
              <w:rPr>
                <w:rFonts w:hint="eastAsia"/>
                <w:vertAlign w:val="baseline"/>
                <w:lang w:val="en-US" w:eastAsia="zh-CN"/>
              </w:rPr>
              <w:t>block</w:t>
            </w:r>
            <w:bookmarkEnd w:id="8"/>
          </w:p>
        </w:tc>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6</w:t>
            </w:r>
          </w:p>
        </w:tc>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0.7k</w:t>
            </w:r>
          </w:p>
        </w:tc>
        <w:tc>
          <w:tcPr>
            <w:tcW w:w="2050" w:type="dxa"/>
            <w:vAlign w:val="center"/>
          </w:tcPr>
          <w:p>
            <w:pPr>
              <w:widowControl w:val="0"/>
              <w:jc w:val="center"/>
              <w:rPr>
                <w:rFonts w:hint="eastAsia"/>
                <w:b/>
                <w:bCs/>
                <w:vertAlign w:val="baseline"/>
                <w:lang w:val="en-US" w:eastAsia="zh-CN"/>
              </w:rPr>
            </w:pPr>
            <w:r>
              <w:rPr>
                <w:rFonts w:hint="eastAsia"/>
                <w:b/>
                <w:bCs/>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DNN block</w:t>
            </w:r>
          </w:p>
        </w:tc>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75.2K</w:t>
            </w:r>
          </w:p>
        </w:tc>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76.13K</w:t>
            </w:r>
          </w:p>
        </w:tc>
        <w:tc>
          <w:tcPr>
            <w:tcW w:w="2050" w:type="dxa"/>
            <w:vAlign w:val="center"/>
          </w:tcPr>
          <w:p>
            <w:pPr>
              <w:widowControl w:val="0"/>
              <w:jc w:val="center"/>
              <w:rPr>
                <w:rFonts w:hint="eastAsia"/>
                <w:b/>
                <w:bCs/>
                <w:vertAlign w:val="baseline"/>
                <w:lang w:val="en-US" w:eastAsia="zh-CN"/>
              </w:rPr>
            </w:pPr>
            <w:r>
              <w:rPr>
                <w:rFonts w:hint="eastAsia"/>
                <w:b/>
                <w:bCs/>
                <w:vertAlign w:val="baseline"/>
                <w:lang w:val="en-US" w:eastAsia="zh-CN"/>
              </w:rPr>
              <w:t>0.9465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049" w:type="dxa"/>
            <w:vAlign w:val="center"/>
          </w:tcPr>
          <w:p>
            <w:pPr>
              <w:widowControl w:val="0"/>
              <w:jc w:val="center"/>
              <w:rPr>
                <w:rFonts w:hint="default"/>
                <w:vertAlign w:val="baseline"/>
                <w:lang w:val="en-US" w:eastAsia="zh-CN"/>
              </w:rPr>
            </w:pPr>
            <w:r>
              <w:rPr>
                <w:rFonts w:hint="eastAsia"/>
                <w:vertAlign w:val="baseline"/>
                <w:lang w:val="en-US" w:eastAsia="zh-CN"/>
              </w:rPr>
              <w:t>Transformer block</w:t>
            </w:r>
          </w:p>
        </w:tc>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900K</w:t>
            </w:r>
          </w:p>
        </w:tc>
        <w:tc>
          <w:tcPr>
            <w:tcW w:w="2049" w:type="dxa"/>
            <w:vAlign w:val="center"/>
          </w:tcPr>
          <w:p>
            <w:pPr>
              <w:widowControl w:val="0"/>
              <w:jc w:val="center"/>
              <w:rPr>
                <w:rFonts w:hint="eastAsia"/>
                <w:vertAlign w:val="baseline"/>
                <w:lang w:val="en-US" w:eastAsia="zh-CN"/>
              </w:rPr>
            </w:pPr>
            <w:r>
              <w:rPr>
                <w:rFonts w:hint="eastAsia"/>
                <w:vertAlign w:val="baseline"/>
                <w:lang w:val="en-US" w:eastAsia="zh-CN"/>
              </w:rPr>
              <w:t>431.25K</w:t>
            </w:r>
          </w:p>
        </w:tc>
        <w:tc>
          <w:tcPr>
            <w:tcW w:w="2050" w:type="dxa"/>
            <w:vAlign w:val="center"/>
          </w:tcPr>
          <w:p>
            <w:pPr>
              <w:widowControl w:val="0"/>
              <w:jc w:val="center"/>
              <w:rPr>
                <w:rFonts w:hint="eastAsia"/>
                <w:b/>
                <w:bCs/>
                <w:vertAlign w:val="baseline"/>
                <w:lang w:val="en-US" w:eastAsia="zh-CN"/>
              </w:rPr>
            </w:pPr>
            <w:r>
              <w:rPr>
                <w:rFonts w:hint="eastAsia"/>
                <w:b/>
                <w:bCs/>
                <w:vertAlign w:val="baseline"/>
                <w:lang w:val="en-US" w:eastAsia="zh-CN"/>
              </w:rPr>
              <w:t>0.9461</w:t>
            </w:r>
          </w:p>
        </w:tc>
      </w:tr>
    </w:tbl>
    <w:p>
      <w:pPr>
        <w:spacing w:before="120"/>
        <w:rPr>
          <w:b/>
          <w:i/>
          <w:lang w:eastAsia="zh-CN"/>
        </w:rPr>
      </w:pPr>
      <w:r>
        <w:rPr>
          <w:b/>
          <w:i/>
          <w:lang w:eastAsia="zh-CN"/>
        </w:rPr>
        <w:t>Proposal 2:</w:t>
      </w:r>
      <w:r>
        <w:rPr>
          <w:rFonts w:hint="eastAsia"/>
          <w:b/>
          <w:i/>
          <w:lang w:val="en-US" w:eastAsia="zh-CN"/>
        </w:rPr>
        <w:t>S</w:t>
      </w:r>
      <w:r>
        <w:rPr>
          <w:rFonts w:hint="eastAsia"/>
          <w:b/>
          <w:i/>
          <w:lang w:eastAsia="zh-CN"/>
        </w:rPr>
        <w:t>tart to develop dequantization network to address the noise issue introduced by quantization.</w:t>
      </w:r>
      <w:r>
        <w:rPr>
          <w:b/>
          <w:i/>
          <w:lang w:eastAsia="zh-CN"/>
        </w:rPr>
        <w:t xml:space="preserve"> </w:t>
      </w:r>
    </w:p>
    <w:p>
      <w:pPr>
        <w:rPr>
          <w:rFonts w:hint="default"/>
          <w:lang w:val="en-US" w:eastAsia="zh-CN"/>
        </w:rPr>
      </w:pPr>
    </w:p>
    <w:p>
      <w:pPr>
        <w:pStyle w:val="3"/>
        <w:bidi w:val="0"/>
        <w:ind w:left="576" w:leftChars="0" w:hanging="576" w:firstLineChars="0"/>
      </w:pPr>
      <w:r>
        <w:rPr>
          <w:rFonts w:hint="eastAsia"/>
          <w:lang w:val="en-US" w:eastAsia="zh-CN"/>
        </w:rPr>
        <w:t>Model fine-tuning evaluation</w:t>
      </w:r>
    </w:p>
    <w:p>
      <w:pPr>
        <w:keepNext w:val="0"/>
        <w:keepLines w:val="0"/>
        <w:pageBreakBefore w:val="0"/>
        <w:widowControl/>
        <w:kinsoku/>
        <w:wordWrap/>
        <w:overflowPunct/>
        <w:topLinePunct w:val="0"/>
        <w:autoSpaceDE w:val="0"/>
        <w:autoSpaceDN w:val="0"/>
        <w:bidi w:val="0"/>
        <w:adjustRightInd w:val="0"/>
        <w:snapToGrid w:val="0"/>
        <w:spacing w:before="120"/>
        <w:jc w:val="center"/>
        <w:textAlignment w:val="auto"/>
        <w:rPr>
          <w:rFonts w:hint="default"/>
          <w:b/>
          <w:i/>
          <w:lang w:val="en-US" w:eastAsia="zh-CN"/>
        </w:rPr>
      </w:pPr>
      <w:r>
        <w:rPr>
          <w:rFonts w:hint="eastAsia"/>
          <w:b/>
          <w:bCs/>
          <w:lang w:val="en-US" w:eastAsia="zh-CN"/>
        </w:rPr>
        <w:t>Table 4 Link Level Simulation Assumptions for CSI Compression model fine-tuning</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2"/>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shd w:val="clear" w:color="auto" w:fill="E7E6E6" w:themeFill="background2"/>
            <w:vAlign w:val="center"/>
          </w:tcPr>
          <w:p>
            <w:pPr>
              <w:widowControl w:val="0"/>
              <w:spacing w:after="0"/>
              <w:jc w:val="center"/>
              <w:rPr>
                <w:lang w:val="en-US"/>
              </w:rPr>
            </w:pPr>
            <w:r>
              <w:rPr>
                <w:b/>
                <w:lang w:val="en-US"/>
              </w:rPr>
              <w:t>Parameter</w:t>
            </w:r>
          </w:p>
        </w:tc>
        <w:tc>
          <w:tcPr>
            <w:tcW w:w="4598" w:type="dxa"/>
            <w:shd w:val="clear" w:color="auto" w:fill="E7E6E6" w:themeFill="background2"/>
            <w:vAlign w:val="center"/>
          </w:tcPr>
          <w:p>
            <w:pPr>
              <w:widowControl w:val="0"/>
              <w:spacing w:after="0"/>
              <w:jc w:val="center"/>
              <w:rPr>
                <w:lang w:val="en-US"/>
              </w:rPr>
            </w:pPr>
            <w:r>
              <w:rPr>
                <w:b/>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Duplex, Waveform</w:t>
            </w:r>
          </w:p>
        </w:tc>
        <w:tc>
          <w:tcPr>
            <w:tcW w:w="4598" w:type="dxa"/>
            <w:vAlign w:val="center"/>
          </w:tcPr>
          <w:p>
            <w:pPr>
              <w:widowControl w:val="0"/>
              <w:spacing w:after="0"/>
              <w:jc w:val="center"/>
              <w:rPr>
                <w:lang w:val="en-US"/>
              </w:rPr>
            </w:pPr>
            <w:r>
              <w:rPr>
                <w:lang w:val="en-US"/>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Multiple access</w:t>
            </w:r>
          </w:p>
        </w:tc>
        <w:tc>
          <w:tcPr>
            <w:tcW w:w="4598" w:type="dxa"/>
            <w:vAlign w:val="center"/>
          </w:tcPr>
          <w:p>
            <w:pPr>
              <w:widowControl w:val="0"/>
              <w:spacing w:after="0"/>
              <w:jc w:val="center"/>
              <w:rPr>
                <w:lang w:val="en-US"/>
              </w:rPr>
            </w:pPr>
            <w:r>
              <w:rPr>
                <w:lang w:val="en-US"/>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rFonts w:hint="default" w:eastAsia="宋体"/>
                <w:lang w:val="en-US" w:eastAsia="zh-CN"/>
              </w:rPr>
            </w:pPr>
            <w:r>
              <w:rPr>
                <w:rFonts w:hint="eastAsia"/>
                <w:lang w:val="en-US" w:eastAsia="zh-CN"/>
              </w:rPr>
              <w:t>Channel model</w:t>
            </w:r>
          </w:p>
        </w:tc>
        <w:tc>
          <w:tcPr>
            <w:tcW w:w="4598" w:type="dxa"/>
            <w:vAlign w:val="center"/>
          </w:tcPr>
          <w:p>
            <w:pPr>
              <w:widowControl w:val="0"/>
              <w:spacing w:after="0"/>
              <w:jc w:val="center"/>
              <w:rPr>
                <w:rFonts w:hint="default" w:eastAsia="宋体"/>
                <w:lang w:val="en-US" w:eastAsia="zh-CN"/>
              </w:rPr>
            </w:pPr>
            <w:r>
              <w:rPr>
                <w:rFonts w:hint="eastAsia"/>
                <w:lang w:val="en-US" w:eastAsia="zh-CN"/>
              </w:rPr>
              <w:t>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Scenario</w:t>
            </w:r>
          </w:p>
        </w:tc>
        <w:tc>
          <w:tcPr>
            <w:tcW w:w="4598" w:type="dxa"/>
            <w:vAlign w:val="center"/>
          </w:tcPr>
          <w:p>
            <w:pPr>
              <w:widowControl w:val="0"/>
              <w:spacing w:after="0"/>
              <w:jc w:val="center"/>
              <w:rPr>
                <w:lang w:val="en-US"/>
              </w:rPr>
            </w:pPr>
            <w:r>
              <w:rPr>
                <w:lang w:val="en-US"/>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Carrier Frequency</w:t>
            </w:r>
          </w:p>
        </w:tc>
        <w:tc>
          <w:tcPr>
            <w:tcW w:w="4598" w:type="dxa"/>
            <w:vAlign w:val="center"/>
          </w:tcPr>
          <w:p>
            <w:pPr>
              <w:widowControl w:val="0"/>
              <w:spacing w:after="0"/>
              <w:jc w:val="center"/>
              <w:rPr>
                <w:lang w:val="en-US"/>
              </w:rPr>
            </w:pPr>
            <w:r>
              <w:rPr>
                <w:lang w:val="en-US"/>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Subcarrier spacing</w:t>
            </w:r>
          </w:p>
        </w:tc>
        <w:tc>
          <w:tcPr>
            <w:tcW w:w="4598" w:type="dxa"/>
            <w:vAlign w:val="center"/>
          </w:tcPr>
          <w:p>
            <w:pPr>
              <w:widowControl w:val="0"/>
              <w:spacing w:after="0"/>
              <w:jc w:val="center"/>
              <w:rPr>
                <w:lang w:val="en-US"/>
              </w:rPr>
            </w:pPr>
            <w:r>
              <w:rPr>
                <w:lang w:val="en-US"/>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Simulation bandwidth</w:t>
            </w:r>
          </w:p>
        </w:tc>
        <w:tc>
          <w:tcPr>
            <w:tcW w:w="4598" w:type="dxa"/>
            <w:vAlign w:val="center"/>
          </w:tcPr>
          <w:p>
            <w:pPr>
              <w:widowControl w:val="0"/>
              <w:spacing w:after="0"/>
              <w:jc w:val="center"/>
              <w:rPr>
                <w:lang w:val="en-US"/>
              </w:rPr>
            </w:pPr>
            <w:r>
              <w:rPr>
                <w:lang w:val="en-US"/>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Inter-BS distance</w:t>
            </w:r>
          </w:p>
        </w:tc>
        <w:tc>
          <w:tcPr>
            <w:tcW w:w="4598" w:type="dxa"/>
            <w:vAlign w:val="center"/>
          </w:tcPr>
          <w:p>
            <w:pPr>
              <w:widowControl w:val="0"/>
              <w:spacing w:after="0"/>
              <w:jc w:val="center"/>
              <w:rPr>
                <w:lang w:val="en-US"/>
              </w:rPr>
            </w:pPr>
            <w:r>
              <w:rPr>
                <w:lang w:val="en-US"/>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Channel model</w:t>
            </w:r>
          </w:p>
        </w:tc>
        <w:tc>
          <w:tcPr>
            <w:tcW w:w="4598" w:type="dxa"/>
            <w:vAlign w:val="center"/>
          </w:tcPr>
          <w:p>
            <w:pPr>
              <w:widowControl w:val="0"/>
              <w:spacing w:after="0"/>
              <w:jc w:val="center"/>
              <w:rPr>
                <w:lang w:val="en-US"/>
              </w:rPr>
            </w:pPr>
            <w:r>
              <w:rPr>
                <w:lang w:val="en-US"/>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Antenna setup and port layouts at gNB</w:t>
            </w:r>
          </w:p>
        </w:tc>
        <w:tc>
          <w:tcPr>
            <w:tcW w:w="4598" w:type="dxa"/>
            <w:vAlign w:val="center"/>
          </w:tcPr>
          <w:p>
            <w:pPr>
              <w:widowControl w:val="0"/>
              <w:spacing w:after="0"/>
              <w:jc w:val="center"/>
              <w:rPr>
                <w:lang w:val="en-US"/>
              </w:rPr>
            </w:pPr>
            <w:r>
              <w:rPr>
                <w:rFonts w:hint="eastAsia"/>
                <w:lang w:val="en-US" w:eastAsia="zh-CN"/>
              </w:rPr>
              <w:t>4</w:t>
            </w:r>
            <w:r>
              <w:rPr>
                <w:lang w:val="en-US"/>
              </w:rPr>
              <w:t xml:space="preserve"> ports: (</w:t>
            </w:r>
            <w:r>
              <w:rPr>
                <w:rFonts w:hint="eastAsia"/>
                <w:lang w:val="en-US" w:eastAsia="zh-CN"/>
              </w:rPr>
              <w:t>1, 2, 2, 1, 1, 1, 1</w:t>
            </w:r>
            <w:r>
              <w:rPr>
                <w:lang w:val="en-US"/>
              </w:rPr>
              <w:t>),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Antenna setup and port layouts at UE</w:t>
            </w:r>
          </w:p>
        </w:tc>
        <w:tc>
          <w:tcPr>
            <w:tcW w:w="4598" w:type="dxa"/>
            <w:vAlign w:val="center"/>
          </w:tcPr>
          <w:p>
            <w:pPr>
              <w:widowControl w:val="0"/>
              <w:spacing w:after="0"/>
              <w:jc w:val="center"/>
              <w:rPr>
                <w:lang w:val="en-US"/>
              </w:rPr>
            </w:pPr>
            <w:r>
              <w:rPr>
                <w:lang w:val="en-US"/>
              </w:rPr>
              <w:t>4 Rx: (</w:t>
            </w:r>
            <w:r>
              <w:rPr>
                <w:rFonts w:hint="eastAsia"/>
                <w:lang w:val="en-US" w:eastAsia="zh-CN"/>
              </w:rPr>
              <w:t>1, 2, 2, 1, 1, 1, 1</w:t>
            </w:r>
            <w:r>
              <w:rPr>
                <w:lang w:val="en-US"/>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dxa"/>
            <w:vAlign w:val="center"/>
          </w:tcPr>
          <w:p>
            <w:pPr>
              <w:widowControl w:val="0"/>
              <w:spacing w:after="0"/>
              <w:jc w:val="center"/>
              <w:rPr>
                <w:lang w:val="en-US"/>
              </w:rPr>
            </w:pPr>
            <w:r>
              <w:rPr>
                <w:lang w:val="en-US"/>
              </w:rPr>
              <w:t>Channel estimation</w:t>
            </w:r>
          </w:p>
        </w:tc>
        <w:tc>
          <w:tcPr>
            <w:tcW w:w="4598" w:type="dxa"/>
            <w:vAlign w:val="center"/>
          </w:tcPr>
          <w:p>
            <w:pPr>
              <w:widowControl w:val="0"/>
              <w:spacing w:after="0"/>
              <w:jc w:val="center"/>
              <w:rPr>
                <w:lang w:val="en-US"/>
              </w:rPr>
            </w:pPr>
            <w:r>
              <w:rPr>
                <w:lang w:val="en-US"/>
              </w:rPr>
              <w:t>Ideal</w:t>
            </w:r>
          </w:p>
        </w:tc>
      </w:tr>
    </w:tbl>
    <w:p>
      <w:pPr>
        <w:rPr>
          <w:rFonts w:hint="eastAsia"/>
          <w:lang w:val="en-US" w:eastAsia="zh-CN"/>
        </w:rPr>
      </w:pPr>
    </w:p>
    <w:p>
      <w:pPr>
        <w:rPr>
          <w:rFonts w:hint="default"/>
          <w:lang w:val="en-US"/>
        </w:rPr>
      </w:pPr>
      <w:r>
        <w:rPr>
          <w:rFonts w:hint="eastAsia"/>
          <w:lang w:val="en-US" w:eastAsia="zh-CN"/>
        </w:rPr>
        <w:t>In this section, we evaluate the model fine-tuning method. The pre-training model is based on CDL channel model and the details is in Appendix. We derived data set from a TDL channel, whose detailed information is in table 4. According to the figure 4, the low-complexity channel data contains fewer data features than the high-complexity channel data. Therefore, it is possible to fine-tune a low-complexity channel-appropriate model with good performance from a model trained on high-complexity data.</w:t>
      </w:r>
    </w:p>
    <w:p>
      <w:pPr>
        <w:jc w:val="center"/>
        <w:rPr>
          <w:rFonts w:hint="default"/>
          <w:lang w:val="en-US" w:eastAsia="zh-CN"/>
        </w:rPr>
      </w:pPr>
      <w:r>
        <w:drawing>
          <wp:inline distT="0" distB="0" distL="114300" distR="114300">
            <wp:extent cx="5044440" cy="3878580"/>
            <wp:effectExtent l="0" t="0" r="0" b="762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5044440" cy="3878580"/>
                    </a:xfrm>
                    <a:prstGeom prst="rect">
                      <a:avLst/>
                    </a:prstGeom>
                    <a:noFill/>
                    <a:ln>
                      <a:noFill/>
                    </a:ln>
                  </pic:spPr>
                </pic:pic>
              </a:graphicData>
            </a:graphic>
          </wp:inline>
        </w:drawing>
      </w:r>
    </w:p>
    <w:p>
      <w:pPr>
        <w:jc w:val="center"/>
        <w:rPr>
          <w:rFonts w:hint="default"/>
          <w:b/>
          <w:bCs/>
          <w:lang w:val="en-US" w:eastAsia="zh-CN"/>
        </w:rPr>
      </w:pPr>
      <w:r>
        <w:rPr>
          <w:rFonts w:hint="eastAsia"/>
          <w:b/>
          <w:bCs/>
          <w:lang w:val="en-US" w:eastAsia="zh-CN"/>
        </w:rPr>
        <w:t>Figure 4 model fine-tuning evaluation result</w:t>
      </w:r>
    </w:p>
    <w:p>
      <w:pPr>
        <w:rPr>
          <w:rFonts w:hint="eastAsia"/>
          <w:b/>
          <w:bCs/>
          <w:lang w:val="en-US" w:eastAsia="zh-CN"/>
        </w:rPr>
      </w:pPr>
    </w:p>
    <w:p>
      <w:pPr>
        <w:rPr>
          <w:rFonts w:hint="eastAsia"/>
          <w:b/>
          <w:i/>
          <w:lang w:val="en-US" w:eastAsia="zh-CN"/>
        </w:rPr>
      </w:pPr>
      <w:r>
        <w:rPr>
          <w:rFonts w:hint="eastAsia"/>
          <w:b/>
          <w:i/>
          <w:lang w:val="en-US" w:eastAsia="zh-CN"/>
        </w:rPr>
        <w:t>Observation</w:t>
      </w:r>
      <w:r>
        <w:rPr>
          <w:b/>
          <w:i/>
          <w:lang w:eastAsia="zh-CN"/>
        </w:rPr>
        <w:t xml:space="preserve"> </w:t>
      </w:r>
      <w:r>
        <w:rPr>
          <w:rFonts w:hint="eastAsia"/>
          <w:b/>
          <w:i/>
          <w:lang w:val="en-US" w:eastAsia="zh-CN"/>
        </w:rPr>
        <w:t>2</w:t>
      </w:r>
      <w:r>
        <w:rPr>
          <w:b/>
          <w:i/>
          <w:lang w:eastAsia="zh-CN"/>
        </w:rPr>
        <w:t>:</w:t>
      </w:r>
      <w:r>
        <w:rPr>
          <w:rFonts w:hint="eastAsia"/>
          <w:b/>
          <w:i/>
          <w:lang w:val="en-US" w:eastAsia="zh-CN"/>
        </w:rPr>
        <w:t>After fine-tuning, model trained with complex channel data can be applied to simple channel.</w:t>
      </w:r>
    </w:p>
    <w:p>
      <w:pPr>
        <w:spacing w:before="120"/>
        <w:rPr>
          <w:rFonts w:hint="eastAsia" w:eastAsia="宋体"/>
          <w:lang w:val="en-US" w:eastAsia="zh-CN"/>
        </w:rPr>
      </w:pPr>
      <w:r>
        <w:rPr>
          <w:b/>
          <w:i/>
          <w:lang w:eastAsia="zh-CN"/>
        </w:rPr>
        <w:t xml:space="preserve">Proposal 3: </w:t>
      </w:r>
      <w:r>
        <w:rPr>
          <w:rFonts w:hint="eastAsia"/>
          <w:b/>
          <w:i/>
          <w:lang w:eastAsia="zh-CN"/>
        </w:rPr>
        <w:t>Develop deep learning models for complex channels</w:t>
      </w:r>
      <w:r>
        <w:rPr>
          <w:rFonts w:hint="eastAsia"/>
          <w:b/>
          <w:i/>
          <w:lang w:val="en-US" w:eastAsia="zh-CN"/>
        </w:rPr>
        <w:t>.</w:t>
      </w:r>
    </w:p>
    <w:p>
      <w:pPr>
        <w:spacing w:before="120"/>
        <w:rPr>
          <w:b/>
          <w:i/>
          <w:lang w:eastAsia="zh-CN"/>
        </w:rPr>
      </w:pPr>
      <w:r>
        <w:rPr>
          <w:b/>
          <w:i/>
          <w:lang w:eastAsia="zh-CN"/>
        </w:rPr>
        <w:t xml:space="preserve">Proposal 4: </w:t>
      </w:r>
      <w:r>
        <w:rPr>
          <w:rFonts w:hint="eastAsia"/>
          <w:b/>
          <w:i/>
          <w:lang w:val="en-US" w:eastAsia="zh-CN"/>
        </w:rPr>
        <w:t>I</w:t>
      </w:r>
      <w:r>
        <w:rPr>
          <w:rFonts w:hint="eastAsia"/>
          <w:b/>
          <w:i/>
          <w:lang w:eastAsia="zh-CN"/>
        </w:rPr>
        <w:t>nvestigate</w:t>
      </w:r>
      <w:r>
        <w:rPr>
          <w:rFonts w:hint="eastAsia"/>
          <w:b/>
          <w:i/>
          <w:lang w:val="en-US" w:eastAsia="zh-CN"/>
        </w:rPr>
        <w:t xml:space="preserve"> f</w:t>
      </w:r>
      <w:r>
        <w:rPr>
          <w:rFonts w:hint="eastAsia"/>
          <w:b/>
          <w:i/>
          <w:lang w:eastAsia="zh-CN"/>
        </w:rPr>
        <w:t xml:space="preserve">ine-tuning methods for </w:t>
      </w:r>
      <w:r>
        <w:rPr>
          <w:rFonts w:hint="eastAsia"/>
          <w:b/>
          <w:i/>
          <w:lang w:val="en-US" w:eastAsia="zh-CN"/>
        </w:rPr>
        <w:t>m</w:t>
      </w:r>
      <w:r>
        <w:rPr>
          <w:rFonts w:hint="eastAsia"/>
          <w:b/>
          <w:i/>
          <w:lang w:eastAsia="zh-CN"/>
        </w:rPr>
        <w:t>odels applied to complex channels</w:t>
      </w:r>
      <w:r>
        <w:rPr>
          <w:rFonts w:hint="eastAsia"/>
          <w:b/>
          <w:i/>
          <w:lang w:val="en-US" w:eastAsia="zh-CN"/>
        </w:rPr>
        <w:t>.</w:t>
      </w:r>
      <w:r>
        <w:rPr>
          <w:rFonts w:hint="eastAsia"/>
          <w:b/>
          <w:i/>
          <w:lang w:eastAsia="zh-CN"/>
        </w:rPr>
        <w:t xml:space="preserve"> </w:t>
      </w:r>
    </w:p>
    <w:p>
      <w:pPr>
        <w:rPr>
          <w:rFonts w:hint="eastAsia" w:eastAsia="宋体"/>
          <w:lang w:val="en-US" w:eastAsia="zh-CN"/>
        </w:rPr>
      </w:pPr>
    </w:p>
    <w:bookmarkEnd w:id="6"/>
    <w:p>
      <w:pPr>
        <w:pStyle w:val="2"/>
        <w:bidi w:val="0"/>
        <w:ind w:left="432" w:leftChars="0" w:hanging="432" w:firstLineChars="0"/>
      </w:pPr>
      <w:r>
        <w:t>Conclusions</w:t>
      </w:r>
    </w:p>
    <w:p>
      <w:pPr>
        <w:bidi w:val="0"/>
        <w:rPr>
          <w:rFonts w:hint="eastAsia"/>
          <w:lang w:val="en-US" w:eastAsia="zh-CN"/>
        </w:rPr>
      </w:pPr>
      <w:r>
        <w:rPr>
          <w:lang w:val="en-GB" w:eastAsia="zh-CN"/>
        </w:rPr>
        <w:t xml:space="preserve">In this </w:t>
      </w:r>
      <w:r>
        <w:rPr>
          <w:lang w:eastAsia="ja-JP"/>
        </w:rPr>
        <w:t xml:space="preserve">contribution, we discussed the </w:t>
      </w:r>
      <w:r>
        <w:rPr>
          <w:rFonts w:hint="eastAsia"/>
          <w:lang w:val="en-US" w:eastAsia="zh-CN"/>
        </w:rPr>
        <w:t xml:space="preserve">other aspects </w:t>
      </w:r>
      <w:r>
        <w:rPr>
          <w:rFonts w:hint="eastAsia"/>
          <w:lang w:val="en-US" w:eastAsia="ja-JP"/>
        </w:rPr>
        <w:t>on CSI compression</w:t>
      </w:r>
      <w:r>
        <w:rPr>
          <w:lang w:eastAsia="ja-JP"/>
        </w:rPr>
        <w:t>.</w:t>
      </w:r>
      <w:r>
        <w:rPr>
          <w:rFonts w:hint="eastAsia"/>
          <w:lang w:val="en-US" w:eastAsia="zh-CN"/>
        </w:rPr>
        <w:t xml:space="preserve"> We give some conclusions and suggestions for the proposed problems, which are detailed as follows: </w:t>
      </w:r>
    </w:p>
    <w:p>
      <w:pPr>
        <w:spacing w:before="120"/>
        <w:rPr>
          <w:rFonts w:hint="default"/>
          <w:lang w:val="en-US" w:eastAsia="zh-CN"/>
        </w:rPr>
      </w:pPr>
      <w:r>
        <w:rPr>
          <w:rFonts w:hint="eastAsia"/>
          <w:b/>
          <w:i/>
          <w:lang w:val="en-US" w:eastAsia="zh-CN"/>
        </w:rPr>
        <w:t>Observation</w:t>
      </w:r>
      <w:r>
        <w:rPr>
          <w:b/>
          <w:i/>
          <w:lang w:eastAsia="zh-CN"/>
        </w:rPr>
        <w:t xml:space="preserve"> </w:t>
      </w:r>
      <w:r>
        <w:rPr>
          <w:rFonts w:hint="eastAsia"/>
          <w:b/>
          <w:i/>
          <w:lang w:val="en-US" w:eastAsia="zh-CN"/>
        </w:rPr>
        <w:t>1</w:t>
      </w:r>
      <w:r>
        <w:rPr>
          <w:b/>
          <w:i/>
          <w:lang w:eastAsia="zh-CN"/>
        </w:rPr>
        <w:t xml:space="preserve">: </w:t>
      </w:r>
      <w:r>
        <w:rPr>
          <w:rFonts w:hint="eastAsia"/>
          <w:b/>
          <w:i/>
          <w:lang w:val="en-US" w:eastAsia="zh-CN"/>
        </w:rPr>
        <w:t>Same model and the same training method can not train the same model.</w:t>
      </w:r>
    </w:p>
    <w:p>
      <w:pPr>
        <w:bidi w:val="0"/>
        <w:rPr>
          <w:rFonts w:hint="default"/>
          <w:b/>
          <w:i/>
          <w:lang w:val="en-US" w:eastAsia="zh-CN"/>
        </w:rPr>
      </w:pPr>
      <w:r>
        <w:rPr>
          <w:rFonts w:hint="eastAsia"/>
          <w:b/>
          <w:i/>
          <w:lang w:val="en-US" w:eastAsia="zh-CN"/>
        </w:rPr>
        <w:t>Observation</w:t>
      </w:r>
      <w:r>
        <w:rPr>
          <w:b/>
          <w:i/>
          <w:lang w:eastAsia="zh-CN"/>
        </w:rPr>
        <w:t xml:space="preserve"> </w:t>
      </w:r>
      <w:r>
        <w:rPr>
          <w:rFonts w:hint="eastAsia"/>
          <w:b/>
          <w:i/>
          <w:lang w:val="en-US" w:eastAsia="zh-CN"/>
        </w:rPr>
        <w:t>2</w:t>
      </w:r>
      <w:r>
        <w:rPr>
          <w:b/>
          <w:i/>
          <w:lang w:eastAsia="zh-CN"/>
        </w:rPr>
        <w:t>:</w:t>
      </w:r>
      <w:r>
        <w:rPr>
          <w:rFonts w:hint="eastAsia"/>
          <w:b/>
          <w:i/>
          <w:lang w:val="en-US" w:eastAsia="zh-CN"/>
        </w:rPr>
        <w:t>After fine-tuning, model trained with complex channel data can be applied to simple channel.</w:t>
      </w:r>
    </w:p>
    <w:p>
      <w:pPr>
        <w:spacing w:before="120"/>
        <w:rPr>
          <w:rFonts w:hint="eastAsia"/>
          <w:b/>
          <w:i/>
          <w:lang w:val="en-US" w:eastAsia="zh-CN"/>
        </w:rPr>
      </w:pPr>
      <w:r>
        <w:rPr>
          <w:b/>
          <w:i/>
          <w:lang w:eastAsia="zh-CN"/>
        </w:rPr>
        <w:t>Proposal 1:</w:t>
      </w:r>
      <w:r>
        <w:rPr>
          <w:rFonts w:hint="eastAsia"/>
          <w:b/>
          <w:i/>
          <w:lang w:val="en-US" w:eastAsia="zh-CN"/>
        </w:rPr>
        <w:t>Develop standard for quantifying problems to mitigate the effect of quantization noise on performance fading.</w:t>
      </w:r>
    </w:p>
    <w:p>
      <w:pPr>
        <w:spacing w:before="120"/>
        <w:rPr>
          <w:b/>
          <w:i/>
          <w:lang w:eastAsia="zh-CN"/>
        </w:rPr>
      </w:pPr>
      <w:r>
        <w:rPr>
          <w:b/>
          <w:i/>
          <w:lang w:eastAsia="zh-CN"/>
        </w:rPr>
        <w:t>Proposal 2:</w:t>
      </w:r>
      <w:r>
        <w:rPr>
          <w:rFonts w:hint="eastAsia"/>
          <w:b/>
          <w:i/>
          <w:lang w:val="en-US" w:eastAsia="zh-CN"/>
        </w:rPr>
        <w:t>S</w:t>
      </w:r>
      <w:r>
        <w:rPr>
          <w:rFonts w:hint="eastAsia"/>
          <w:b/>
          <w:i/>
          <w:lang w:eastAsia="zh-CN"/>
        </w:rPr>
        <w:t>tart to develop dequantization network to address the noise issue introduced by quantization.</w:t>
      </w:r>
      <w:r>
        <w:rPr>
          <w:b/>
          <w:i/>
          <w:lang w:eastAsia="zh-CN"/>
        </w:rPr>
        <w:t xml:space="preserve">  </w:t>
      </w:r>
    </w:p>
    <w:p>
      <w:pPr>
        <w:spacing w:before="120"/>
        <w:rPr>
          <w:rFonts w:hint="eastAsia" w:eastAsia="宋体"/>
          <w:lang w:val="en-US" w:eastAsia="zh-CN"/>
        </w:rPr>
      </w:pPr>
      <w:r>
        <w:rPr>
          <w:b/>
          <w:i/>
          <w:lang w:eastAsia="zh-CN"/>
        </w:rPr>
        <w:t xml:space="preserve">Proposal 3: </w:t>
      </w:r>
      <w:r>
        <w:rPr>
          <w:rFonts w:hint="eastAsia"/>
          <w:b/>
          <w:i/>
          <w:lang w:eastAsia="zh-CN"/>
        </w:rPr>
        <w:t>Develop deep learning models for complex channels</w:t>
      </w:r>
      <w:r>
        <w:rPr>
          <w:rFonts w:hint="eastAsia"/>
          <w:b/>
          <w:i/>
          <w:lang w:val="en-US" w:eastAsia="zh-CN"/>
        </w:rPr>
        <w:t>.</w:t>
      </w:r>
    </w:p>
    <w:p>
      <w:pPr>
        <w:spacing w:before="120"/>
        <w:rPr>
          <w:rFonts w:hint="eastAsia"/>
          <w:b/>
          <w:i/>
          <w:lang w:val="en-US" w:eastAsia="zh-CN"/>
        </w:rPr>
      </w:pPr>
      <w:r>
        <w:rPr>
          <w:b/>
          <w:i/>
          <w:lang w:eastAsia="zh-CN"/>
        </w:rPr>
        <w:t xml:space="preserve">Proposal 4: </w:t>
      </w:r>
      <w:r>
        <w:rPr>
          <w:rFonts w:hint="eastAsia"/>
          <w:b/>
          <w:i/>
          <w:lang w:val="en-US" w:eastAsia="zh-CN"/>
        </w:rPr>
        <w:t>I</w:t>
      </w:r>
      <w:r>
        <w:rPr>
          <w:rFonts w:hint="eastAsia"/>
          <w:b/>
          <w:i/>
          <w:lang w:eastAsia="zh-CN"/>
        </w:rPr>
        <w:t>nvestigate</w:t>
      </w:r>
      <w:r>
        <w:rPr>
          <w:rFonts w:hint="eastAsia"/>
          <w:b/>
          <w:i/>
          <w:lang w:val="en-US" w:eastAsia="zh-CN"/>
        </w:rPr>
        <w:t xml:space="preserve"> f</w:t>
      </w:r>
      <w:r>
        <w:rPr>
          <w:rFonts w:hint="eastAsia"/>
          <w:b/>
          <w:i/>
          <w:lang w:eastAsia="zh-CN"/>
        </w:rPr>
        <w:t xml:space="preserve">ine-tuning methods for </w:t>
      </w:r>
      <w:r>
        <w:rPr>
          <w:rFonts w:hint="eastAsia"/>
          <w:b/>
          <w:i/>
          <w:lang w:val="en-US" w:eastAsia="zh-CN"/>
        </w:rPr>
        <w:t>m</w:t>
      </w:r>
      <w:r>
        <w:rPr>
          <w:rFonts w:hint="eastAsia"/>
          <w:b/>
          <w:i/>
          <w:lang w:eastAsia="zh-CN"/>
        </w:rPr>
        <w:t>odels applied to complex channels</w:t>
      </w:r>
      <w:r>
        <w:rPr>
          <w:rFonts w:hint="eastAsia"/>
          <w:b/>
          <w:i/>
          <w:lang w:val="en-US" w:eastAsia="zh-CN"/>
        </w:rPr>
        <w:t>.</w:t>
      </w:r>
    </w:p>
    <w:p>
      <w:pPr>
        <w:spacing w:before="120"/>
        <w:rPr>
          <w:rFonts w:hint="eastAsia"/>
          <w:b/>
          <w:i/>
          <w:lang w:val="en-US" w:eastAsia="ja-JP"/>
        </w:rPr>
      </w:pPr>
    </w:p>
    <w:p>
      <w:pPr>
        <w:pStyle w:val="2"/>
        <w:numPr>
          <w:ilvl w:val="0"/>
          <w:numId w:val="0"/>
        </w:numPr>
        <w:ind w:left="432" w:hanging="432"/>
      </w:pPr>
      <w:bookmarkStart w:id="9" w:name="_Ref124589665"/>
      <w:bookmarkStart w:id="10" w:name="_Ref71620620"/>
      <w:bookmarkStart w:id="11" w:name="_Ref124671424"/>
      <w:r>
        <w:t>References</w:t>
      </w:r>
    </w:p>
    <w:bookmarkEnd w:id="9"/>
    <w:bookmarkEnd w:id="10"/>
    <w:bookmarkEnd w:id="11"/>
    <w:p>
      <w:pPr>
        <w:pStyle w:val="24"/>
        <w:rPr>
          <w:sz w:val="22"/>
          <w:szCs w:val="22"/>
          <w:lang w:val="en-GB" w:eastAsia="zh-CN"/>
        </w:rPr>
      </w:pPr>
      <w:bookmarkStart w:id="12" w:name="_Ref141777322"/>
      <w:bookmarkStart w:id="13" w:name="_Ref126865004"/>
      <w:bookmarkStart w:id="14" w:name="_Ref131515566"/>
      <w:bookmarkStart w:id="15" w:name="_Ref126606220"/>
      <w:bookmarkStart w:id="16" w:name="_Ref126865994"/>
      <w:r>
        <w:rPr>
          <w:rFonts w:hint="eastAsia"/>
          <w:sz w:val="22"/>
          <w:szCs w:val="22"/>
          <w:lang w:val="en-GB" w:eastAsia="zh-CN"/>
        </w:rPr>
        <w:t>RP-2</w:t>
      </w:r>
      <w:r>
        <w:rPr>
          <w:rFonts w:hint="eastAsia"/>
          <w:sz w:val="22"/>
          <w:szCs w:val="22"/>
          <w:lang w:val="en-US" w:eastAsia="zh-CN"/>
        </w:rPr>
        <w:t>34039</w:t>
      </w:r>
      <w:r>
        <w:rPr>
          <w:rFonts w:hint="eastAsia"/>
          <w:sz w:val="22"/>
          <w:szCs w:val="22"/>
          <w:lang w:val="en-GB" w:eastAsia="zh-CN"/>
        </w:rPr>
        <w:t>, New WID on Artificial Intelligence (AI)/Machine Learning (ML) for NR Air Interface,</w:t>
      </w:r>
      <w:r>
        <w:rPr>
          <w:rFonts w:hint="eastAsia"/>
          <w:sz w:val="22"/>
          <w:szCs w:val="22"/>
          <w:lang w:val="en-US" w:eastAsia="zh-CN"/>
        </w:rPr>
        <w:t xml:space="preserve"> </w:t>
      </w:r>
      <w:r>
        <w:rPr>
          <w:rFonts w:hint="eastAsia"/>
          <w:sz w:val="22"/>
          <w:szCs w:val="22"/>
          <w:lang w:val="en-GB" w:eastAsia="zh-CN"/>
        </w:rPr>
        <w:t>Qualcomm (Moderator), RAN Meeting #</w:t>
      </w:r>
      <w:r>
        <w:rPr>
          <w:rFonts w:hint="eastAsia"/>
          <w:sz w:val="22"/>
          <w:szCs w:val="22"/>
          <w:lang w:val="en-US" w:eastAsia="zh-CN"/>
        </w:rPr>
        <w:t>102</w:t>
      </w:r>
      <w:r>
        <w:rPr>
          <w:rFonts w:hint="eastAsia"/>
          <w:sz w:val="22"/>
          <w:szCs w:val="22"/>
          <w:lang w:val="en-GB" w:eastAsia="zh-CN"/>
        </w:rPr>
        <w:t xml:space="preserve">, Edinburgh, Scotland, </w:t>
      </w:r>
      <w:r>
        <w:rPr>
          <w:rFonts w:hint="eastAsia"/>
          <w:sz w:val="22"/>
          <w:szCs w:val="22"/>
          <w:lang w:val="en-US" w:eastAsia="zh-CN"/>
        </w:rPr>
        <w:t>Dec</w:t>
      </w:r>
      <w:r>
        <w:rPr>
          <w:rFonts w:hint="eastAsia"/>
          <w:sz w:val="22"/>
          <w:szCs w:val="22"/>
          <w:lang w:val="en-GB" w:eastAsia="zh-CN"/>
        </w:rPr>
        <w:t xml:space="preserve"> </w:t>
      </w:r>
      <w:r>
        <w:rPr>
          <w:rFonts w:hint="eastAsia"/>
          <w:sz w:val="22"/>
          <w:szCs w:val="22"/>
          <w:lang w:val="en-US" w:eastAsia="zh-CN"/>
        </w:rPr>
        <w:t>11</w:t>
      </w:r>
      <w:r>
        <w:rPr>
          <w:rFonts w:hint="eastAsia"/>
          <w:sz w:val="22"/>
          <w:szCs w:val="22"/>
          <w:lang w:val="en-GB" w:eastAsia="zh-CN"/>
        </w:rPr>
        <w:t>th</w:t>
      </w:r>
      <w:r>
        <w:rPr>
          <w:rFonts w:hint="eastAsia"/>
          <w:sz w:val="22"/>
          <w:szCs w:val="22"/>
          <w:lang w:val="en-US" w:eastAsia="zh-CN"/>
        </w:rPr>
        <w:t xml:space="preserve"> - 15</w:t>
      </w:r>
      <w:r>
        <w:rPr>
          <w:rFonts w:hint="eastAsia"/>
          <w:sz w:val="22"/>
          <w:szCs w:val="22"/>
          <w:lang w:val="en-GB" w:eastAsia="zh-CN"/>
        </w:rPr>
        <w:t>th, 202</w:t>
      </w:r>
      <w:r>
        <w:rPr>
          <w:rFonts w:hint="eastAsia"/>
          <w:sz w:val="22"/>
          <w:szCs w:val="22"/>
          <w:lang w:val="en-US" w:eastAsia="zh-CN"/>
        </w:rPr>
        <w:t>3</w:t>
      </w:r>
      <w:r>
        <w:rPr>
          <w:sz w:val="22"/>
          <w:szCs w:val="22"/>
          <w:lang w:val="en-GB" w:eastAsia="zh-CN"/>
        </w:rPr>
        <w:t>.</w:t>
      </w:r>
      <w:bookmarkEnd w:id="12"/>
    </w:p>
    <w:p>
      <w:pPr>
        <w:pStyle w:val="24"/>
        <w:rPr>
          <w:sz w:val="22"/>
          <w:szCs w:val="22"/>
          <w:lang w:val="en-GB" w:eastAsia="zh-CN"/>
        </w:rPr>
      </w:pPr>
      <w:r>
        <w:rPr>
          <w:rFonts w:hint="eastAsia"/>
          <w:sz w:val="22"/>
          <w:szCs w:val="22"/>
          <w:lang w:val="en-GB" w:eastAsia="zh-CN"/>
        </w:rPr>
        <w:t>R1- 2303174</w:t>
      </w:r>
      <w:r>
        <w:rPr>
          <w:rFonts w:hint="eastAsia"/>
          <w:sz w:val="22"/>
          <w:szCs w:val="22"/>
          <w:lang w:val="en-US" w:eastAsia="zh-CN"/>
        </w:rPr>
        <w:t>, Evaluation on AI/ML for CSI feedback enhancement, Comba, RAN WG1 #112bis-e, Online, April 17th - 26rd, 2023.</w:t>
      </w:r>
    </w:p>
    <w:p>
      <w:pPr>
        <w:pStyle w:val="24"/>
        <w:rPr>
          <w:sz w:val="22"/>
          <w:szCs w:val="22"/>
          <w:lang w:val="en-GB" w:eastAsia="zh-CN"/>
        </w:rPr>
      </w:pPr>
      <w:r>
        <w:rPr>
          <w:rFonts w:hint="eastAsia"/>
          <w:sz w:val="22"/>
          <w:szCs w:val="22"/>
          <w:lang w:val="en-GB" w:eastAsia="zh-CN"/>
        </w:rPr>
        <w:t>R1-2308954</w:t>
      </w:r>
      <w:r>
        <w:rPr>
          <w:rFonts w:hint="eastAsia"/>
          <w:sz w:val="22"/>
          <w:szCs w:val="22"/>
          <w:lang w:val="en-US" w:eastAsia="zh-CN"/>
        </w:rPr>
        <w:t>, Evaluation on AI/ML for CSI feedback enhancement, Comba, RAN WG1 #114bis-e, Xiamen, China, Oct 9th - 13th, 2023.</w:t>
      </w:r>
    </w:p>
    <w:bookmarkEnd w:id="13"/>
    <w:bookmarkEnd w:id="14"/>
    <w:bookmarkEnd w:id="15"/>
    <w:bookmarkEnd w:id="16"/>
    <w:p>
      <w:r>
        <w:rPr>
          <w:sz w:val="24"/>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70485</wp:posOffset>
                </wp:positionV>
                <wp:extent cx="5936615" cy="0"/>
                <wp:effectExtent l="0" t="6350" r="0" b="6350"/>
                <wp:wrapNone/>
                <wp:docPr id="4" name="直接连接符 4"/>
                <wp:cNvGraphicFramePr/>
                <a:graphic xmlns:a="http://schemas.openxmlformats.org/drawingml/2006/main">
                  <a:graphicData uri="http://schemas.microsoft.com/office/word/2010/wordprocessingShape">
                    <wps:wsp>
                      <wps:cNvCnPr/>
                      <wps:spPr>
                        <a:xfrm>
                          <a:off x="916940" y="1718310"/>
                          <a:ext cx="593661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75pt;margin-top:5.55pt;height:0pt;width:467.45pt;z-index:251660288;mso-width-relative:page;mso-height-relative:page;" filled="f" stroked="t" coordsize="21600,21600" o:gfxdata="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mXoetMAAAAHAQAADwAAAAAAAAABACAAAAAiAAAAZHJzL2Rvd25yZXYueG1sUEsBAhQA&#10;FAAAAAgAh07iQBWcYRX3AQAAvQMAAA4AAAAAAAAAAQAgAAAAIgEAAGRycy9lMm9Eb2MueG1sUEsF&#10;BgAAAAAGAAYAWQEAAIsFAAAAAA==&#10;">
                <v:fill on="f" focussize="0,0"/>
                <v:stroke weight="1pt" color="#4874CB [3204]" miterlimit="8" joinstyle="miter"/>
                <v:imagedata o:title=""/>
                <o:lock v:ext="edit" aspectratio="f"/>
              </v:line>
            </w:pict>
          </mc:Fallback>
        </mc:AlternateContent>
      </w:r>
    </w:p>
    <w:p>
      <w:pPr>
        <w:pStyle w:val="2"/>
        <w:numPr>
          <w:ilvl w:val="0"/>
          <w:numId w:val="0"/>
        </w:numPr>
        <w:rPr>
          <w:lang w:val="en-US"/>
        </w:rPr>
      </w:pPr>
      <w:r>
        <w:rPr>
          <w:lang w:val="en-US"/>
        </w:rPr>
        <w:t>Appendix</w:t>
      </w:r>
    </w:p>
    <w:p>
      <w:pPr>
        <w:pStyle w:val="7"/>
        <w:keepNext/>
        <w:jc w:val="center"/>
        <w:rPr>
          <w:lang w:val="en-US"/>
        </w:rPr>
      </w:pPr>
      <w:bookmarkStart w:id="17" w:name="_Ref131537366"/>
      <w:r>
        <w:rPr>
          <w:lang w:val="en-US"/>
        </w:rPr>
        <w:t xml:space="preserve">Table </w:t>
      </w:r>
      <w:bookmarkEnd w:id="17"/>
      <w:r>
        <w:rPr>
          <w:lang w:val="en-US"/>
        </w:rPr>
        <w:t xml:space="preserve">:  </w:t>
      </w:r>
      <w:r>
        <w:rPr>
          <w:rFonts w:hint="eastAsia"/>
          <w:lang w:val="en-US" w:eastAsia="zh-CN"/>
        </w:rPr>
        <w:t>Link</w:t>
      </w:r>
      <w:r>
        <w:rPr>
          <w:lang w:val="en-US"/>
        </w:rPr>
        <w:t xml:space="preserve"> Level Simulation Assumptions for CSI Compression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5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shd w:val="clear" w:color="auto" w:fill="E7E6E6" w:themeFill="background2"/>
            <w:vAlign w:val="center"/>
          </w:tcPr>
          <w:p>
            <w:pPr>
              <w:widowControl w:val="0"/>
              <w:spacing w:after="0"/>
              <w:jc w:val="center"/>
              <w:rPr>
                <w:lang w:val="en-US"/>
              </w:rPr>
            </w:pPr>
            <w:bookmarkStart w:id="18" w:name="OLE_LINK5"/>
            <w:r>
              <w:rPr>
                <w:b/>
                <w:lang w:val="en-US"/>
              </w:rPr>
              <w:t>Parameter</w:t>
            </w:r>
          </w:p>
        </w:tc>
        <w:tc>
          <w:tcPr>
            <w:tcW w:w="5172" w:type="dxa"/>
            <w:shd w:val="clear" w:color="auto" w:fill="E7E6E6" w:themeFill="background2"/>
            <w:vAlign w:val="center"/>
          </w:tcPr>
          <w:p>
            <w:pPr>
              <w:widowControl w:val="0"/>
              <w:spacing w:after="0"/>
              <w:jc w:val="center"/>
              <w:rPr>
                <w:lang w:val="en-US"/>
              </w:rPr>
            </w:pPr>
            <w:r>
              <w:rPr>
                <w:b/>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Duplex, Waveform</w:t>
            </w:r>
          </w:p>
        </w:tc>
        <w:tc>
          <w:tcPr>
            <w:tcW w:w="5172" w:type="dxa"/>
            <w:vAlign w:val="center"/>
          </w:tcPr>
          <w:p>
            <w:pPr>
              <w:widowControl w:val="0"/>
              <w:spacing w:after="0"/>
              <w:rPr>
                <w:lang w:val="en-US"/>
              </w:rPr>
            </w:pPr>
            <w:r>
              <w:rPr>
                <w:lang w:val="en-US"/>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Multiple access</w:t>
            </w:r>
          </w:p>
        </w:tc>
        <w:tc>
          <w:tcPr>
            <w:tcW w:w="5172" w:type="dxa"/>
            <w:vAlign w:val="center"/>
          </w:tcPr>
          <w:p>
            <w:pPr>
              <w:widowControl w:val="0"/>
              <w:spacing w:after="0"/>
              <w:rPr>
                <w:lang w:val="en-US"/>
              </w:rPr>
            </w:pPr>
            <w:r>
              <w:rPr>
                <w:lang w:val="en-US"/>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Scenario</w:t>
            </w:r>
          </w:p>
        </w:tc>
        <w:tc>
          <w:tcPr>
            <w:tcW w:w="5172" w:type="dxa"/>
            <w:vAlign w:val="center"/>
          </w:tcPr>
          <w:p>
            <w:pPr>
              <w:widowControl w:val="0"/>
              <w:spacing w:after="0"/>
              <w:rPr>
                <w:lang w:val="en-US"/>
              </w:rPr>
            </w:pPr>
            <w:r>
              <w:rPr>
                <w:lang w:val="en-US"/>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Carrier Frequency</w:t>
            </w:r>
          </w:p>
        </w:tc>
        <w:tc>
          <w:tcPr>
            <w:tcW w:w="5172" w:type="dxa"/>
            <w:vAlign w:val="center"/>
          </w:tcPr>
          <w:p>
            <w:pPr>
              <w:widowControl w:val="0"/>
              <w:spacing w:after="0"/>
              <w:rPr>
                <w:lang w:val="en-US"/>
              </w:rPr>
            </w:pPr>
            <w:r>
              <w:rPr>
                <w:lang w:val="en-US"/>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Subcarrier spacing</w:t>
            </w:r>
          </w:p>
        </w:tc>
        <w:tc>
          <w:tcPr>
            <w:tcW w:w="5172" w:type="dxa"/>
            <w:vAlign w:val="center"/>
          </w:tcPr>
          <w:p>
            <w:pPr>
              <w:widowControl w:val="0"/>
              <w:spacing w:after="0"/>
              <w:rPr>
                <w:lang w:val="en-US"/>
              </w:rPr>
            </w:pPr>
            <w:r>
              <w:rPr>
                <w:lang w:val="en-US"/>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Simulation bandwidth</w:t>
            </w:r>
          </w:p>
        </w:tc>
        <w:tc>
          <w:tcPr>
            <w:tcW w:w="5172" w:type="dxa"/>
            <w:vAlign w:val="center"/>
          </w:tcPr>
          <w:p>
            <w:pPr>
              <w:widowControl w:val="0"/>
              <w:spacing w:after="0"/>
              <w:rPr>
                <w:lang w:val="en-US"/>
              </w:rPr>
            </w:pPr>
            <w:r>
              <w:rPr>
                <w:lang w:val="en-US"/>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Inter-BS distance</w:t>
            </w:r>
          </w:p>
        </w:tc>
        <w:tc>
          <w:tcPr>
            <w:tcW w:w="5172" w:type="dxa"/>
            <w:vAlign w:val="center"/>
          </w:tcPr>
          <w:p>
            <w:pPr>
              <w:widowControl w:val="0"/>
              <w:spacing w:after="0"/>
              <w:rPr>
                <w:lang w:val="en-US"/>
              </w:rPr>
            </w:pPr>
            <w:r>
              <w:rPr>
                <w:lang w:val="en-US"/>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Channel model</w:t>
            </w:r>
          </w:p>
        </w:tc>
        <w:tc>
          <w:tcPr>
            <w:tcW w:w="5172" w:type="dxa"/>
            <w:vAlign w:val="center"/>
          </w:tcPr>
          <w:p>
            <w:pPr>
              <w:widowControl w:val="0"/>
              <w:spacing w:after="0"/>
              <w:rPr>
                <w:lang w:val="en-US"/>
              </w:rPr>
            </w:pPr>
            <w:r>
              <w:rPr>
                <w:lang w:val="en-US"/>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Antenna setup and port layouts at gNB</w:t>
            </w:r>
          </w:p>
        </w:tc>
        <w:tc>
          <w:tcPr>
            <w:tcW w:w="5172" w:type="dxa"/>
            <w:vAlign w:val="center"/>
          </w:tcPr>
          <w:p>
            <w:pPr>
              <w:widowControl w:val="0"/>
              <w:spacing w:after="0"/>
              <w:rPr>
                <w:lang w:val="en-US"/>
              </w:rPr>
            </w:pPr>
            <w:r>
              <w:rPr>
                <w:lang w:val="en-US"/>
              </w:rPr>
              <w:t>32 ports: (8.8,2,1,1,2,8),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Antenna setup and port layouts at UE</w:t>
            </w:r>
          </w:p>
        </w:tc>
        <w:tc>
          <w:tcPr>
            <w:tcW w:w="5172" w:type="dxa"/>
            <w:vAlign w:val="center"/>
          </w:tcPr>
          <w:p>
            <w:pPr>
              <w:widowControl w:val="0"/>
              <w:spacing w:after="0"/>
              <w:rPr>
                <w:lang w:val="en-US"/>
              </w:rPr>
            </w:pPr>
            <w:r>
              <w:rPr>
                <w:lang w:val="en-US"/>
              </w:rPr>
              <w:t>4 Rx: (1,2,2,1,1,1,2),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vAlign w:val="center"/>
          </w:tcPr>
          <w:p>
            <w:pPr>
              <w:widowControl w:val="0"/>
              <w:spacing w:after="0"/>
              <w:rPr>
                <w:lang w:val="en-US"/>
              </w:rPr>
            </w:pPr>
            <w:r>
              <w:rPr>
                <w:lang w:val="en-US"/>
              </w:rPr>
              <w:t>Channel estimation</w:t>
            </w:r>
          </w:p>
        </w:tc>
        <w:tc>
          <w:tcPr>
            <w:tcW w:w="5172" w:type="dxa"/>
            <w:vAlign w:val="center"/>
          </w:tcPr>
          <w:p>
            <w:pPr>
              <w:widowControl w:val="0"/>
              <w:spacing w:after="0"/>
              <w:rPr>
                <w:lang w:val="en-US"/>
              </w:rPr>
            </w:pPr>
            <w:r>
              <w:rPr>
                <w:lang w:val="en-US"/>
              </w:rPr>
              <w:t>Ideal</w:t>
            </w:r>
          </w:p>
        </w:tc>
      </w:tr>
      <w:bookmarkEnd w:id="18"/>
    </w:tbl>
    <w:p>
      <w:pPr>
        <w:bidi w:val="0"/>
        <w:rPr>
          <w:rFonts w:hint="default"/>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437A2"/>
    <w:multiLevelType w:val="multilevel"/>
    <w:tmpl w:val="35E437A2"/>
    <w:lvl w:ilvl="0" w:tentative="0">
      <w:start w:val="1"/>
      <w:numFmt w:val="bullet"/>
      <w:lvlText w:val=""/>
      <w:lvlJc w:val="left"/>
      <w:pPr>
        <w:ind w:left="800" w:hanging="360"/>
      </w:pPr>
      <w:rPr>
        <w:rFonts w:hint="default" w:ascii="Wingdings" w:hAnsi="Wingdings"/>
      </w:rPr>
    </w:lvl>
    <w:lvl w:ilvl="1" w:tentative="0">
      <w:start w:val="1"/>
      <w:numFmt w:val="bullet"/>
      <w:lvlText w:val="o"/>
      <w:lvlJc w:val="left"/>
      <w:pPr>
        <w:ind w:left="1520" w:hanging="360"/>
      </w:pPr>
      <w:rPr>
        <w:rFonts w:hint="default" w:ascii="Courier New" w:hAnsi="Courier New" w:cs="Courier New"/>
      </w:rPr>
    </w:lvl>
    <w:lvl w:ilvl="2" w:tentative="0">
      <w:start w:val="1"/>
      <w:numFmt w:val="bullet"/>
      <w:lvlText w:val=""/>
      <w:lvlJc w:val="left"/>
      <w:pPr>
        <w:ind w:left="2240" w:hanging="360"/>
      </w:pPr>
      <w:rPr>
        <w:rFonts w:hint="default" w:ascii="Wingdings" w:hAnsi="Wingdings"/>
      </w:rPr>
    </w:lvl>
    <w:lvl w:ilvl="3" w:tentative="0">
      <w:start w:val="1"/>
      <w:numFmt w:val="bullet"/>
      <w:lvlText w:val=""/>
      <w:lvlJc w:val="left"/>
      <w:pPr>
        <w:ind w:left="2960" w:hanging="360"/>
      </w:pPr>
      <w:rPr>
        <w:rFonts w:hint="default" w:ascii="Symbol" w:hAnsi="Symbol"/>
      </w:rPr>
    </w:lvl>
    <w:lvl w:ilvl="4" w:tentative="0">
      <w:start w:val="1"/>
      <w:numFmt w:val="bullet"/>
      <w:lvlText w:val="o"/>
      <w:lvlJc w:val="left"/>
      <w:pPr>
        <w:ind w:left="3680" w:hanging="360"/>
      </w:pPr>
      <w:rPr>
        <w:rFonts w:hint="default" w:ascii="Courier New" w:hAnsi="Courier New" w:cs="Courier New"/>
      </w:rPr>
    </w:lvl>
    <w:lvl w:ilvl="5" w:tentative="0">
      <w:start w:val="1"/>
      <w:numFmt w:val="bullet"/>
      <w:lvlText w:val=""/>
      <w:lvlJc w:val="left"/>
      <w:pPr>
        <w:ind w:left="4400" w:hanging="360"/>
      </w:pPr>
      <w:rPr>
        <w:rFonts w:hint="default" w:ascii="Wingdings" w:hAnsi="Wingdings"/>
      </w:rPr>
    </w:lvl>
    <w:lvl w:ilvl="6" w:tentative="0">
      <w:start w:val="1"/>
      <w:numFmt w:val="bullet"/>
      <w:lvlText w:val=""/>
      <w:lvlJc w:val="left"/>
      <w:pPr>
        <w:ind w:left="5120" w:hanging="360"/>
      </w:pPr>
      <w:rPr>
        <w:rFonts w:hint="default" w:ascii="Symbol" w:hAnsi="Symbol"/>
      </w:rPr>
    </w:lvl>
    <w:lvl w:ilvl="7" w:tentative="0">
      <w:start w:val="1"/>
      <w:numFmt w:val="bullet"/>
      <w:lvlText w:val="o"/>
      <w:lvlJc w:val="left"/>
      <w:pPr>
        <w:ind w:left="5840" w:hanging="360"/>
      </w:pPr>
      <w:rPr>
        <w:rFonts w:hint="default" w:ascii="Courier New" w:hAnsi="Courier New" w:cs="Courier New"/>
      </w:rPr>
    </w:lvl>
    <w:lvl w:ilvl="8" w:tentative="0">
      <w:start w:val="1"/>
      <w:numFmt w:val="bullet"/>
      <w:lvlText w:val=""/>
      <w:lvlJc w:val="left"/>
      <w:pPr>
        <w:ind w:left="6560" w:hanging="360"/>
      </w:pPr>
      <w:rPr>
        <w:rFonts w:hint="default" w:ascii="Wingdings" w:hAnsi="Wingdings"/>
      </w:rPr>
    </w:lvl>
  </w:abstractNum>
  <w:abstractNum w:abstractNumId="1">
    <w:nsid w:val="3A877D64"/>
    <w:multiLevelType w:val="singleLevel"/>
    <w:tmpl w:val="3A877D64"/>
    <w:lvl w:ilvl="0" w:tentative="0">
      <w:start w:val="1"/>
      <w:numFmt w:val="decimal"/>
      <w:pStyle w:val="24"/>
      <w:lvlText w:val="[%1]"/>
      <w:lvlJc w:val="left"/>
      <w:pPr>
        <w:tabs>
          <w:tab w:val="left" w:pos="360"/>
        </w:tabs>
        <w:ind w:left="360" w:hanging="360"/>
      </w:pPr>
    </w:lvl>
  </w:abstractNum>
  <w:abstractNum w:abstractNumId="2">
    <w:nsid w:val="4219088B"/>
    <w:multiLevelType w:val="multilevel"/>
    <w:tmpl w:val="4219088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440EB14"/>
    <w:multiLevelType w:val="multilevel"/>
    <w:tmpl w:val="5440EB14"/>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b/>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jOGMwNjY2NjE5ZDU0MWFjZjNiNDA1NzFhZTA0ZTcifQ=="/>
  </w:docVars>
  <w:rsids>
    <w:rsidRoot w:val="52EC1C77"/>
    <w:rsid w:val="00EF7950"/>
    <w:rsid w:val="00F617F9"/>
    <w:rsid w:val="018C1643"/>
    <w:rsid w:val="04520E7D"/>
    <w:rsid w:val="04A46629"/>
    <w:rsid w:val="04EB042F"/>
    <w:rsid w:val="04EC1B95"/>
    <w:rsid w:val="052C279A"/>
    <w:rsid w:val="05BD26FC"/>
    <w:rsid w:val="068F2DD8"/>
    <w:rsid w:val="06D01FD2"/>
    <w:rsid w:val="06E1398D"/>
    <w:rsid w:val="077E1A2E"/>
    <w:rsid w:val="07C338E5"/>
    <w:rsid w:val="086724C2"/>
    <w:rsid w:val="08A615E3"/>
    <w:rsid w:val="08AF269A"/>
    <w:rsid w:val="08DD09D6"/>
    <w:rsid w:val="096E7880"/>
    <w:rsid w:val="0AE47E6C"/>
    <w:rsid w:val="0B5C2086"/>
    <w:rsid w:val="0B8769D7"/>
    <w:rsid w:val="0BA046D8"/>
    <w:rsid w:val="0BB023D2"/>
    <w:rsid w:val="0CA365D7"/>
    <w:rsid w:val="0D17060D"/>
    <w:rsid w:val="0E562298"/>
    <w:rsid w:val="0ED308B1"/>
    <w:rsid w:val="0F2729AB"/>
    <w:rsid w:val="0FC81E9D"/>
    <w:rsid w:val="109F7F16"/>
    <w:rsid w:val="10FB5E9E"/>
    <w:rsid w:val="1125116C"/>
    <w:rsid w:val="11FC42A3"/>
    <w:rsid w:val="12A12A75"/>
    <w:rsid w:val="13777B37"/>
    <w:rsid w:val="13BC7D4B"/>
    <w:rsid w:val="15884E79"/>
    <w:rsid w:val="16D46F5F"/>
    <w:rsid w:val="16F413C5"/>
    <w:rsid w:val="18A230A3"/>
    <w:rsid w:val="19290C12"/>
    <w:rsid w:val="193957B5"/>
    <w:rsid w:val="193C213D"/>
    <w:rsid w:val="19C402E4"/>
    <w:rsid w:val="19E716B5"/>
    <w:rsid w:val="1A13022B"/>
    <w:rsid w:val="1A246465"/>
    <w:rsid w:val="1A37709D"/>
    <w:rsid w:val="1A6C5716"/>
    <w:rsid w:val="1A952EBF"/>
    <w:rsid w:val="1A9B3947"/>
    <w:rsid w:val="1B4030F3"/>
    <w:rsid w:val="1C1C4FEE"/>
    <w:rsid w:val="1D6372A4"/>
    <w:rsid w:val="1D65301C"/>
    <w:rsid w:val="1E5210D2"/>
    <w:rsid w:val="1E6757C2"/>
    <w:rsid w:val="1E731769"/>
    <w:rsid w:val="1E7D4396"/>
    <w:rsid w:val="1E8C604D"/>
    <w:rsid w:val="1EA71413"/>
    <w:rsid w:val="1EB06519"/>
    <w:rsid w:val="1FB02549"/>
    <w:rsid w:val="1FC5183D"/>
    <w:rsid w:val="20E701EC"/>
    <w:rsid w:val="210539C6"/>
    <w:rsid w:val="21AE4227"/>
    <w:rsid w:val="22192627"/>
    <w:rsid w:val="224A458F"/>
    <w:rsid w:val="233A2E2B"/>
    <w:rsid w:val="23DC39DF"/>
    <w:rsid w:val="24217571"/>
    <w:rsid w:val="243C25FD"/>
    <w:rsid w:val="253D483A"/>
    <w:rsid w:val="25DD6A0A"/>
    <w:rsid w:val="267E2607"/>
    <w:rsid w:val="26F61189"/>
    <w:rsid w:val="274B68C6"/>
    <w:rsid w:val="27CC5A46"/>
    <w:rsid w:val="28FD6E69"/>
    <w:rsid w:val="291C1EBA"/>
    <w:rsid w:val="2BDE5D97"/>
    <w:rsid w:val="2CAD5E46"/>
    <w:rsid w:val="2CEC65F4"/>
    <w:rsid w:val="2D7828F8"/>
    <w:rsid w:val="2D937B2E"/>
    <w:rsid w:val="2DB40158"/>
    <w:rsid w:val="2E2C1BCF"/>
    <w:rsid w:val="2ED051DD"/>
    <w:rsid w:val="2FBC1B76"/>
    <w:rsid w:val="2FEC3129"/>
    <w:rsid w:val="306E7FE2"/>
    <w:rsid w:val="31A31F0E"/>
    <w:rsid w:val="322F72FD"/>
    <w:rsid w:val="33CC3BD0"/>
    <w:rsid w:val="34476B80"/>
    <w:rsid w:val="35E87EEF"/>
    <w:rsid w:val="35E937C1"/>
    <w:rsid w:val="36952460"/>
    <w:rsid w:val="374C0952"/>
    <w:rsid w:val="374C103E"/>
    <w:rsid w:val="382316B2"/>
    <w:rsid w:val="384635F3"/>
    <w:rsid w:val="38C904AC"/>
    <w:rsid w:val="38E744F6"/>
    <w:rsid w:val="3A4F5ACF"/>
    <w:rsid w:val="3A524858"/>
    <w:rsid w:val="3AA7481D"/>
    <w:rsid w:val="3B2714BA"/>
    <w:rsid w:val="3B815C00"/>
    <w:rsid w:val="3D0D7F4D"/>
    <w:rsid w:val="3DC26BB7"/>
    <w:rsid w:val="3DD551FD"/>
    <w:rsid w:val="3F1342C8"/>
    <w:rsid w:val="3F744EE9"/>
    <w:rsid w:val="3FEB6060"/>
    <w:rsid w:val="40372CDB"/>
    <w:rsid w:val="40C94DC1"/>
    <w:rsid w:val="40F462E2"/>
    <w:rsid w:val="42B45D29"/>
    <w:rsid w:val="42E73828"/>
    <w:rsid w:val="439A60F8"/>
    <w:rsid w:val="43B35F95"/>
    <w:rsid w:val="43BD1F91"/>
    <w:rsid w:val="44D86915"/>
    <w:rsid w:val="46EE37D3"/>
    <w:rsid w:val="48027536"/>
    <w:rsid w:val="4840005F"/>
    <w:rsid w:val="48677399"/>
    <w:rsid w:val="48895562"/>
    <w:rsid w:val="49675177"/>
    <w:rsid w:val="49CF169A"/>
    <w:rsid w:val="49EF7646"/>
    <w:rsid w:val="4A930919"/>
    <w:rsid w:val="4B054C48"/>
    <w:rsid w:val="4B566C16"/>
    <w:rsid w:val="4C433C79"/>
    <w:rsid w:val="4C81666B"/>
    <w:rsid w:val="4CD35F5F"/>
    <w:rsid w:val="4CF17B79"/>
    <w:rsid w:val="4D023B34"/>
    <w:rsid w:val="4D0E072B"/>
    <w:rsid w:val="4DA42E3E"/>
    <w:rsid w:val="4E3917D8"/>
    <w:rsid w:val="4FDC066D"/>
    <w:rsid w:val="51025EB1"/>
    <w:rsid w:val="52EC1C77"/>
    <w:rsid w:val="53542C10"/>
    <w:rsid w:val="53956276"/>
    <w:rsid w:val="53E06996"/>
    <w:rsid w:val="53F65E0B"/>
    <w:rsid w:val="54CB0CB0"/>
    <w:rsid w:val="553F6633"/>
    <w:rsid w:val="55524BDB"/>
    <w:rsid w:val="55823A64"/>
    <w:rsid w:val="581B3CFC"/>
    <w:rsid w:val="59244066"/>
    <w:rsid w:val="594455F5"/>
    <w:rsid w:val="59570D64"/>
    <w:rsid w:val="5A0A6C5C"/>
    <w:rsid w:val="5B2B586B"/>
    <w:rsid w:val="5B7F5206"/>
    <w:rsid w:val="5C0D40EB"/>
    <w:rsid w:val="5C3D6909"/>
    <w:rsid w:val="5C5D48E3"/>
    <w:rsid w:val="5CE62B2B"/>
    <w:rsid w:val="5D1C02FB"/>
    <w:rsid w:val="5D2F4446"/>
    <w:rsid w:val="5D9F0F2C"/>
    <w:rsid w:val="5DB952C8"/>
    <w:rsid w:val="5F221E14"/>
    <w:rsid w:val="5F401ED1"/>
    <w:rsid w:val="5F571ABE"/>
    <w:rsid w:val="5FC1162D"/>
    <w:rsid w:val="5FEA24E1"/>
    <w:rsid w:val="611A0B96"/>
    <w:rsid w:val="613D2F35"/>
    <w:rsid w:val="61412A26"/>
    <w:rsid w:val="63B92966"/>
    <w:rsid w:val="640D4E41"/>
    <w:rsid w:val="645962D8"/>
    <w:rsid w:val="646640B4"/>
    <w:rsid w:val="648870EF"/>
    <w:rsid w:val="65271981"/>
    <w:rsid w:val="65A1182E"/>
    <w:rsid w:val="65FF69B2"/>
    <w:rsid w:val="66CD2666"/>
    <w:rsid w:val="674C3ED2"/>
    <w:rsid w:val="67723D8D"/>
    <w:rsid w:val="681430FA"/>
    <w:rsid w:val="68936CB9"/>
    <w:rsid w:val="68E77B6B"/>
    <w:rsid w:val="69470DF5"/>
    <w:rsid w:val="69614774"/>
    <w:rsid w:val="69BD1B68"/>
    <w:rsid w:val="69EC32FE"/>
    <w:rsid w:val="6B2B5108"/>
    <w:rsid w:val="6B633598"/>
    <w:rsid w:val="6B793E05"/>
    <w:rsid w:val="6B797260"/>
    <w:rsid w:val="6B7A4099"/>
    <w:rsid w:val="6BCD76B0"/>
    <w:rsid w:val="6BE26BB3"/>
    <w:rsid w:val="6D6B4986"/>
    <w:rsid w:val="6E3851B0"/>
    <w:rsid w:val="6EA20EA4"/>
    <w:rsid w:val="6EE22494"/>
    <w:rsid w:val="70057314"/>
    <w:rsid w:val="70513ACE"/>
    <w:rsid w:val="719E5122"/>
    <w:rsid w:val="71DE7E1D"/>
    <w:rsid w:val="722933A0"/>
    <w:rsid w:val="72700D58"/>
    <w:rsid w:val="7318110C"/>
    <w:rsid w:val="732C68BC"/>
    <w:rsid w:val="733E6DC5"/>
    <w:rsid w:val="74446925"/>
    <w:rsid w:val="74C652C4"/>
    <w:rsid w:val="74CA6B5E"/>
    <w:rsid w:val="74DA5DFA"/>
    <w:rsid w:val="75F06371"/>
    <w:rsid w:val="771542E1"/>
    <w:rsid w:val="77DA6F0C"/>
    <w:rsid w:val="78363023"/>
    <w:rsid w:val="78AB1048"/>
    <w:rsid w:val="79464C25"/>
    <w:rsid w:val="7BA464AD"/>
    <w:rsid w:val="7BEE2530"/>
    <w:rsid w:val="7D0F33CB"/>
    <w:rsid w:val="7D100B38"/>
    <w:rsid w:val="7D1C5467"/>
    <w:rsid w:val="7F2123A3"/>
    <w:rsid w:val="7FBB0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autoRedefine/>
    <w:qFormat/>
    <w:uiPriority w:val="9"/>
    <w:pPr>
      <w:keepNext/>
      <w:numPr>
        <w:ilvl w:val="0"/>
        <w:numId w:val="1"/>
      </w:numPr>
      <w:spacing w:before="120"/>
      <w:outlineLvl w:val="0"/>
    </w:pPr>
    <w:rPr>
      <w:b/>
      <w:bCs/>
      <w:sz w:val="28"/>
      <w:szCs w:val="28"/>
    </w:rPr>
  </w:style>
  <w:style w:type="paragraph" w:styleId="3">
    <w:name w:val="heading 2"/>
    <w:basedOn w:val="1"/>
    <w:next w:val="1"/>
    <w:autoRedefine/>
    <w:qFormat/>
    <w:uiPriority w:val="0"/>
    <w:pPr>
      <w:keepNext/>
      <w:numPr>
        <w:ilvl w:val="1"/>
        <w:numId w:val="1"/>
      </w:numPr>
      <w:spacing w:before="120"/>
      <w:outlineLvl w:val="1"/>
    </w:pPr>
    <w:rPr>
      <w:b/>
      <w:bCs/>
      <w:sz w:val="24"/>
    </w:rPr>
  </w:style>
  <w:style w:type="paragraph" w:styleId="4">
    <w:name w:val="heading 3"/>
    <w:basedOn w:val="1"/>
    <w:next w:val="1"/>
    <w:autoRedefine/>
    <w:unhideWhenUsed/>
    <w:qFormat/>
    <w:uiPriority w:val="0"/>
    <w:pPr>
      <w:keepNext/>
      <w:keepLines/>
      <w:numPr>
        <w:ilvl w:val="2"/>
        <w:numId w:val="1"/>
      </w:numPr>
      <w:tabs>
        <w:tab w:val="left" w:pos="432"/>
      </w:tabs>
      <w:spacing w:before="260" w:beforeLines="0" w:beforeAutospacing="0" w:after="260" w:afterLines="0" w:afterAutospacing="0" w:line="240" w:lineRule="auto"/>
      <w:ind w:left="720" w:hanging="720"/>
      <w:outlineLvl w:val="2"/>
    </w:pPr>
    <w:rPr>
      <w:b/>
      <w:sz w:val="24"/>
    </w:rPr>
  </w:style>
  <w:style w:type="paragraph" w:styleId="5">
    <w:name w:val="heading 4"/>
    <w:basedOn w:val="1"/>
    <w:next w:val="1"/>
    <w:autoRedefine/>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autoRedefine/>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7">
    <w:name w:val="caption"/>
    <w:basedOn w:val="1"/>
    <w:next w:val="1"/>
    <w:autoRedefine/>
    <w:qFormat/>
    <w:uiPriority w:val="0"/>
    <w:pPr>
      <w:jc w:val="center"/>
    </w:pPr>
    <w:rPr>
      <w:b/>
      <w:bCs/>
      <w:sz w:val="20"/>
      <w:szCs w:val="20"/>
    </w:rPr>
  </w:style>
  <w:style w:type="paragraph" w:styleId="8">
    <w:name w:val="annotation text"/>
    <w:basedOn w:val="1"/>
    <w:autoRedefine/>
    <w:unhideWhenUsed/>
    <w:qFormat/>
    <w:uiPriority w:val="0"/>
    <w:pPr>
      <w:jc w:val="left"/>
    </w:p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autoRedefine/>
    <w:qFormat/>
    <w:uiPriority w:val="0"/>
    <w:rPr>
      <w:color w:val="0000FF"/>
      <w:u w:val="single"/>
    </w:rPr>
  </w:style>
  <w:style w:type="paragraph" w:styleId="14">
    <w:name w:val="List Paragraph"/>
    <w:basedOn w:val="1"/>
    <w:autoRedefine/>
    <w:qFormat/>
    <w:uiPriority w:val="34"/>
    <w:pPr>
      <w:autoSpaceDE/>
      <w:autoSpaceDN/>
      <w:adjustRightInd/>
      <w:snapToGrid/>
      <w:spacing w:after="0"/>
      <w:ind w:left="840" w:leftChars="400" w:hanging="1440"/>
      <w:jc w:val="left"/>
    </w:pPr>
    <w:rPr>
      <w:rFonts w:ascii="Times" w:hAnsi="Times" w:eastAsia="Batang"/>
      <w:sz w:val="20"/>
      <w:szCs w:val="24"/>
      <w:lang w:val="en-GB"/>
    </w:rPr>
  </w:style>
  <w:style w:type="paragraph" w:customStyle="1" w:styleId="15">
    <w:name w:val="B1"/>
    <w:basedOn w:val="1"/>
    <w:autoRedefine/>
    <w:qFormat/>
    <w:uiPriority w:val="0"/>
    <w:pPr>
      <w:autoSpaceDE/>
      <w:autoSpaceDN/>
      <w:adjustRightInd/>
      <w:snapToGrid/>
      <w:spacing w:after="180"/>
      <w:ind w:left="568" w:hanging="284"/>
      <w:jc w:val="left"/>
    </w:pPr>
    <w:rPr>
      <w:rFonts w:eastAsia="MS Mincho"/>
      <w:sz w:val="20"/>
      <w:szCs w:val="20"/>
      <w:lang w:val="en-GB"/>
    </w:rPr>
  </w:style>
  <w:style w:type="paragraph" w:customStyle="1" w:styleId="16">
    <w:name w:val="TH"/>
    <w:basedOn w:val="1"/>
    <w:autoRedefine/>
    <w:qFormat/>
    <w:uiPriority w:val="0"/>
    <w:pPr>
      <w:keepNext/>
      <w:keepLines/>
      <w:autoSpaceDE/>
      <w:autoSpaceDN/>
      <w:adjustRightInd/>
      <w:snapToGrid/>
      <w:spacing w:before="60" w:after="180"/>
      <w:jc w:val="center"/>
    </w:pPr>
    <w:rPr>
      <w:rFonts w:ascii="Arial" w:hAnsi="Arial" w:eastAsia="MS Mincho"/>
      <w:b/>
      <w:sz w:val="20"/>
      <w:szCs w:val="20"/>
      <w:lang w:val="en-GB"/>
    </w:rPr>
  </w:style>
  <w:style w:type="paragraph" w:customStyle="1" w:styleId="17">
    <w:name w:val="TAH"/>
    <w:basedOn w:val="18"/>
    <w:autoRedefine/>
    <w:qFormat/>
    <w:uiPriority w:val="0"/>
    <w:rPr>
      <w:b/>
    </w:rPr>
  </w:style>
  <w:style w:type="paragraph" w:customStyle="1" w:styleId="18">
    <w:name w:val="TAC"/>
    <w:basedOn w:val="19"/>
    <w:autoRedefine/>
    <w:qFormat/>
    <w:uiPriority w:val="0"/>
    <w:pPr>
      <w:jc w:val="center"/>
    </w:pPr>
  </w:style>
  <w:style w:type="paragraph" w:customStyle="1" w:styleId="19">
    <w:name w:val="TAL"/>
    <w:basedOn w:val="1"/>
    <w:autoRedefine/>
    <w:qFormat/>
    <w:uiPriority w:val="0"/>
    <w:pPr>
      <w:keepNext/>
      <w:keepLines/>
      <w:autoSpaceDE/>
      <w:autoSpaceDN/>
      <w:adjustRightInd/>
      <w:snapToGrid/>
      <w:spacing w:after="0"/>
      <w:jc w:val="left"/>
    </w:pPr>
    <w:rPr>
      <w:rFonts w:ascii="Arial" w:hAnsi="Arial" w:eastAsia="MS Mincho"/>
      <w:sz w:val="18"/>
      <w:szCs w:val="20"/>
      <w:lang w:val="en-GB"/>
    </w:rPr>
  </w:style>
  <w:style w:type="paragraph" w:customStyle="1" w:styleId="20">
    <w:name w:val="NO"/>
    <w:basedOn w:val="1"/>
    <w:autoRedefine/>
    <w:qFormat/>
    <w:uiPriority w:val="0"/>
    <w:pPr>
      <w:keepLines/>
      <w:autoSpaceDE/>
      <w:autoSpaceDN/>
      <w:adjustRightInd/>
      <w:snapToGrid/>
      <w:spacing w:after="180"/>
      <w:ind w:left="1135" w:hanging="851"/>
      <w:jc w:val="left"/>
    </w:pPr>
    <w:rPr>
      <w:rFonts w:eastAsia="MS Mincho"/>
      <w:sz w:val="20"/>
      <w:szCs w:val="20"/>
      <w:lang w:val="en-GB"/>
    </w:rPr>
  </w:style>
  <w:style w:type="paragraph" w:customStyle="1" w:styleId="21">
    <w:name w:val="B2"/>
    <w:basedOn w:val="1"/>
    <w:autoRedefine/>
    <w:qFormat/>
    <w:uiPriority w:val="0"/>
    <w:pPr>
      <w:autoSpaceDE/>
      <w:autoSpaceDN/>
      <w:adjustRightInd/>
      <w:snapToGrid/>
      <w:spacing w:after="180"/>
      <w:ind w:left="851" w:hanging="284"/>
      <w:jc w:val="left"/>
    </w:pPr>
    <w:rPr>
      <w:rFonts w:eastAsia="MS Mincho"/>
      <w:sz w:val="20"/>
      <w:szCs w:val="20"/>
      <w:lang w:val="en-GB"/>
    </w:rPr>
  </w:style>
  <w:style w:type="paragraph" w:customStyle="1" w:styleId="22">
    <w:name w:val="B3"/>
    <w:basedOn w:val="1"/>
    <w:autoRedefine/>
    <w:qFormat/>
    <w:uiPriority w:val="0"/>
    <w:pPr>
      <w:autoSpaceDE/>
      <w:autoSpaceDN/>
      <w:adjustRightInd/>
      <w:snapToGrid/>
      <w:spacing w:after="180"/>
      <w:ind w:left="1135" w:hanging="284"/>
      <w:jc w:val="left"/>
    </w:pPr>
    <w:rPr>
      <w:rFonts w:eastAsia="MS Mincho"/>
      <w:sz w:val="20"/>
      <w:szCs w:val="20"/>
      <w:lang w:val="en-GB"/>
    </w:rPr>
  </w:style>
  <w:style w:type="paragraph" w:customStyle="1" w:styleId="23">
    <w:name w:val="B4"/>
    <w:basedOn w:val="1"/>
    <w:autoRedefine/>
    <w:qFormat/>
    <w:uiPriority w:val="0"/>
    <w:pPr>
      <w:autoSpaceDE/>
      <w:autoSpaceDN/>
      <w:adjustRightInd/>
      <w:snapToGrid/>
      <w:spacing w:after="180"/>
      <w:ind w:left="1418" w:hanging="284"/>
      <w:jc w:val="left"/>
    </w:pPr>
    <w:rPr>
      <w:rFonts w:eastAsia="MS Mincho"/>
      <w:sz w:val="20"/>
      <w:szCs w:val="20"/>
      <w:lang w:val="en-GB"/>
    </w:rPr>
  </w:style>
  <w:style w:type="paragraph" w:customStyle="1" w:styleId="24">
    <w:name w:val="References"/>
    <w:basedOn w:val="1"/>
    <w:autoRedefine/>
    <w:qFormat/>
    <w:uiPriority w:val="0"/>
    <w:pPr>
      <w:numPr>
        <w:ilvl w:val="0"/>
        <w:numId w:val="2"/>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2024-01-12T01:15:00Z</dcterms:created>
  <dc:creator>分水岭</dc:creator>
  <cp:lastModifiedBy>分水岭</cp:lastModifiedBy>
  <dcterms:modified xsi:type="dcterms:W3CDTF">2024-02-06T14:09:18Z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5B2312B62E454C70ACB7CC5561692113_11</vt:lpwstr>
  </property>
</Properties>
</file>