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310722" w:rsidRDefault="00F3458E" w:rsidP="0060654D">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F77826">
        <w:rPr>
          <w:b/>
          <w:kern w:val="2"/>
          <w:lang w:eastAsia="zh-CN"/>
        </w:rPr>
        <w:t>N WG1 Meeting #116</w:t>
      </w:r>
      <w:r w:rsidR="003B21B4">
        <w:rPr>
          <w:b/>
          <w:kern w:val="2"/>
          <w:lang w:eastAsia="zh-CN"/>
        </w:rPr>
        <w:tab/>
      </w:r>
      <w:r w:rsidR="0060654D">
        <w:rPr>
          <w:b/>
          <w:kern w:val="2"/>
          <w:lang w:eastAsia="zh-CN"/>
        </w:rPr>
        <w:t xml:space="preserve">                                   </w:t>
      </w:r>
      <w:r w:rsidR="001B2D0A">
        <w:rPr>
          <w:b/>
          <w:kern w:val="2"/>
          <w:lang w:eastAsia="zh-CN"/>
        </w:rPr>
        <w:t xml:space="preserve">               </w:t>
      </w:r>
      <w:r w:rsidR="00E36B58">
        <w:rPr>
          <w:b/>
          <w:kern w:val="2"/>
          <w:lang w:eastAsia="zh-CN"/>
        </w:rPr>
        <w:t xml:space="preserve">             </w:t>
      </w:r>
      <w:r w:rsidR="001B2D0A">
        <w:rPr>
          <w:b/>
          <w:kern w:val="2"/>
          <w:lang w:eastAsia="zh-CN"/>
        </w:rPr>
        <w:t xml:space="preserve">          </w:t>
      </w:r>
      <w:r w:rsidR="00034DF1">
        <w:rPr>
          <w:b/>
          <w:kern w:val="2"/>
          <w:lang w:eastAsia="zh-CN"/>
        </w:rPr>
        <w:t xml:space="preserve">     </w:t>
      </w:r>
      <w:r w:rsidR="003E495D" w:rsidRPr="003E495D">
        <w:rPr>
          <w:b/>
          <w:kern w:val="2"/>
          <w:lang w:eastAsia="zh-CN"/>
        </w:rPr>
        <w:t>R1-2400269</w:t>
      </w:r>
    </w:p>
    <w:p w:rsidR="00FF425C" w:rsidRDefault="00102E8B">
      <w:pPr>
        <w:jc w:val="left"/>
        <w:rPr>
          <w:b/>
          <w:kern w:val="2"/>
          <w:lang w:eastAsia="zh-CN"/>
        </w:rPr>
      </w:pPr>
      <w:r>
        <w:rPr>
          <w:b/>
          <w:kern w:val="2"/>
          <w:lang w:eastAsia="zh-CN"/>
        </w:rPr>
        <w:t>Athens</w:t>
      </w:r>
      <w:r w:rsidR="00240944">
        <w:rPr>
          <w:b/>
          <w:kern w:val="2"/>
          <w:lang w:eastAsia="zh-CN"/>
        </w:rPr>
        <w:t xml:space="preserve">, </w:t>
      </w:r>
      <w:r>
        <w:rPr>
          <w:b/>
          <w:kern w:val="2"/>
          <w:lang w:eastAsia="zh-CN"/>
        </w:rPr>
        <w:t>Greece</w:t>
      </w:r>
      <w:r w:rsidR="0074264F">
        <w:rPr>
          <w:b/>
          <w:kern w:val="2"/>
          <w:lang w:eastAsia="zh-CN"/>
        </w:rPr>
        <w:t>, Feb</w:t>
      </w:r>
      <w:r w:rsidR="00B64318">
        <w:rPr>
          <w:b/>
          <w:kern w:val="2"/>
          <w:lang w:eastAsia="zh-CN"/>
        </w:rPr>
        <w:t xml:space="preserve"> 26</w:t>
      </w:r>
      <w:r w:rsidR="00B64318">
        <w:rPr>
          <w:b/>
          <w:kern w:val="2"/>
          <w:vertAlign w:val="superscript"/>
          <w:lang w:eastAsia="zh-CN"/>
        </w:rPr>
        <w:t xml:space="preserve">th </w:t>
      </w:r>
      <w:r w:rsidR="00E71C6D">
        <w:rPr>
          <w:b/>
          <w:kern w:val="2"/>
          <w:lang w:eastAsia="zh-CN"/>
        </w:rPr>
        <w:t xml:space="preserve">– </w:t>
      </w:r>
      <w:r w:rsidR="00B64318">
        <w:rPr>
          <w:b/>
          <w:kern w:val="2"/>
          <w:lang w:eastAsia="zh-CN"/>
        </w:rPr>
        <w:t>Mar</w:t>
      </w:r>
      <w:r w:rsidR="00E71C6D">
        <w:rPr>
          <w:b/>
          <w:kern w:val="2"/>
          <w:lang w:eastAsia="zh-CN"/>
        </w:rPr>
        <w:t xml:space="preserve"> </w:t>
      </w:r>
      <w:r w:rsidR="00B64318">
        <w:rPr>
          <w:b/>
          <w:kern w:val="2"/>
          <w:lang w:eastAsia="zh-CN"/>
        </w:rPr>
        <w:t>1</w:t>
      </w:r>
      <w:r w:rsidR="00B64318" w:rsidRPr="00B64318">
        <w:rPr>
          <w:b/>
          <w:kern w:val="2"/>
          <w:vertAlign w:val="superscript"/>
          <w:lang w:eastAsia="zh-CN"/>
        </w:rPr>
        <w:t>st</w:t>
      </w:r>
      <w:r w:rsidR="00B64318">
        <w:rPr>
          <w:b/>
          <w:kern w:val="2"/>
          <w:lang w:eastAsia="zh-CN"/>
        </w:rPr>
        <w:t>, 2024</w:t>
      </w:r>
    </w:p>
    <w:p w:rsidR="00FF425C" w:rsidRDefault="00FF425C">
      <w:pPr>
        <w:pBdr>
          <w:top w:val="single" w:sz="4" w:space="1" w:color="auto"/>
        </w:pBdr>
        <w:spacing w:after="0"/>
        <w:jc w:val="left"/>
        <w:rPr>
          <w:b/>
          <w:kern w:val="2"/>
          <w:sz w:val="16"/>
          <w:szCs w:val="16"/>
          <w:lang w:eastAsia="zh-CN"/>
        </w:rPr>
      </w:pPr>
    </w:p>
    <w:p w:rsidR="00FF425C" w:rsidRDefault="00177658">
      <w:pPr>
        <w:spacing w:after="60"/>
        <w:ind w:left="1555" w:hanging="1555"/>
        <w:jc w:val="left"/>
        <w:rPr>
          <w:b/>
          <w:kern w:val="2"/>
          <w:lang w:eastAsia="zh-CN"/>
        </w:rPr>
      </w:pPr>
      <w:r>
        <w:rPr>
          <w:b/>
          <w:kern w:val="2"/>
          <w:lang w:eastAsia="zh-CN"/>
        </w:rPr>
        <w:t>Agenda Item:</w:t>
      </w:r>
      <w:r>
        <w:rPr>
          <w:b/>
          <w:kern w:val="2"/>
          <w:lang w:eastAsia="zh-CN"/>
        </w:rPr>
        <w:tab/>
        <w:t xml:space="preserve">9.3.1 </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w:t>
      </w:r>
      <w:r w:rsidR="00177658">
        <w:rPr>
          <w:b/>
          <w:kern w:val="2"/>
          <w:lang w:eastAsia="zh-CN"/>
        </w:rPr>
        <w:t xml:space="preserve">SBFD TX/RX/measurement procedures </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0" w:name="_Ref129681862"/>
      <w:bookmarkStart w:id="1" w:name="_Ref124589705"/>
      <w:r>
        <w:t>Introduction</w:t>
      </w:r>
      <w:bookmarkEnd w:id="0"/>
      <w:bookmarkEnd w:id="1"/>
    </w:p>
    <w:p w:rsidR="0028176E" w:rsidRPr="00F06C29" w:rsidRDefault="00FE2298" w:rsidP="0028176E">
      <w:pPr>
        <w:rPr>
          <w:bCs/>
          <w:szCs w:val="28"/>
        </w:rPr>
      </w:pPr>
      <w:r w:rsidRPr="00F06C29">
        <w:rPr>
          <w:rFonts w:hint="eastAsia"/>
          <w:bCs/>
          <w:szCs w:val="28"/>
        </w:rPr>
        <w:t>I</w:t>
      </w:r>
      <w:r w:rsidR="00C955AB" w:rsidRPr="00F06C29">
        <w:rPr>
          <w:bCs/>
          <w:szCs w:val="28"/>
        </w:rPr>
        <w:t xml:space="preserve">n </w:t>
      </w:r>
      <w:r w:rsidR="00F06C29" w:rsidRPr="00F06C29">
        <w:rPr>
          <w:bCs/>
          <w:szCs w:val="28"/>
        </w:rPr>
        <w:t>RAN#102 meeting, a new WID on NR duplex evolution was endorsed [1]. The objective of this work item is to standardize the operation of subband non-overlapping full duplex (SBFD) at the gNB side within a TDD carrier, which includes specifying the time and frequency domain location of SBFD subbands to UEs in RRC_CONNECTED mode, supporting random access in SBFD symbols</w:t>
      </w:r>
      <w:r w:rsidR="008757B9">
        <w:rPr>
          <w:bCs/>
          <w:szCs w:val="28"/>
        </w:rPr>
        <w:t>, and defining UE transmission/</w:t>
      </w:r>
      <w:r w:rsidR="00F06C29" w:rsidRPr="00F06C29">
        <w:rPr>
          <w:bCs/>
          <w:szCs w:val="28"/>
        </w:rPr>
        <w:t>recep</w:t>
      </w:r>
      <w:r w:rsidR="008757B9">
        <w:rPr>
          <w:bCs/>
          <w:szCs w:val="28"/>
        </w:rPr>
        <w:t xml:space="preserve">tion, </w:t>
      </w:r>
      <w:r w:rsidR="00F06C29" w:rsidRPr="00F06C29">
        <w:rPr>
          <w:bCs/>
          <w:szCs w:val="28"/>
        </w:rPr>
        <w:t xml:space="preserve">measurement behavior and procedures in SBFD symbols and/or non-SBFD symbols. </w:t>
      </w:r>
      <w:r w:rsidR="008757B9">
        <w:rPr>
          <w:bCs/>
          <w:szCs w:val="28"/>
        </w:rPr>
        <w:t>In this contribution, we provide</w:t>
      </w:r>
      <w:r w:rsidR="00F06C29" w:rsidRPr="00F06C29">
        <w:rPr>
          <w:bCs/>
          <w:szCs w:val="28"/>
        </w:rPr>
        <w:t xml:space="preserve"> our views on </w:t>
      </w:r>
      <w:r w:rsidR="008757B9">
        <w:rPr>
          <w:bCs/>
          <w:szCs w:val="28"/>
        </w:rPr>
        <w:t xml:space="preserve">the Rel-18 remaining issues and </w:t>
      </w:r>
      <w:r w:rsidR="008757B9" w:rsidRPr="00F06C29">
        <w:rPr>
          <w:bCs/>
          <w:szCs w:val="28"/>
        </w:rPr>
        <w:t xml:space="preserve">the new </w:t>
      </w:r>
      <w:r w:rsidR="008757B9">
        <w:rPr>
          <w:bCs/>
          <w:szCs w:val="28"/>
        </w:rPr>
        <w:t>issues of SBFD operation</w:t>
      </w:r>
      <w:r w:rsidR="00F06C29" w:rsidRPr="00F06C29">
        <w:rPr>
          <w:bCs/>
          <w:szCs w:val="28"/>
        </w:rPr>
        <w:t>.</w:t>
      </w:r>
    </w:p>
    <w:p w:rsidR="00730222" w:rsidRDefault="003D519B" w:rsidP="00EE1A2D">
      <w:pPr>
        <w:pStyle w:val="Heading1"/>
        <w:rPr>
          <w:lang w:eastAsia="zh-CN"/>
        </w:rPr>
      </w:pPr>
      <w:r>
        <w:rPr>
          <w:lang w:eastAsia="zh-CN"/>
        </w:rPr>
        <w:t xml:space="preserve">Semi-static indication of time and frequency resources </w:t>
      </w:r>
    </w:p>
    <w:p w:rsidR="00730222" w:rsidRPr="00EE1A2D" w:rsidRDefault="00730222" w:rsidP="00EE1A2D">
      <w:pPr>
        <w:rPr>
          <w:lang w:eastAsia="zh-CN"/>
        </w:rPr>
      </w:pPr>
      <w:r w:rsidRPr="00730222">
        <w:rPr>
          <w:lang w:eastAsia="zh-CN"/>
        </w:rPr>
        <w:t>In WID</w:t>
      </w:r>
      <w:r w:rsidR="007961D3">
        <w:rPr>
          <w:lang w:eastAsia="zh-CN"/>
        </w:rPr>
        <w:t xml:space="preserve"> for SBFD operation</w:t>
      </w:r>
      <w:r w:rsidRPr="00730222">
        <w:rPr>
          <w:lang w:eastAsia="zh-CN"/>
        </w:rPr>
        <w:t xml:space="preserve">, it is mentioned to specify the semi-static indication of the time and frequency </w:t>
      </w:r>
      <w:r w:rsidRPr="00281DD8">
        <w:rPr>
          <w:lang w:eastAsia="zh-CN"/>
        </w:rPr>
        <w:t>location of SBFD subbands to the UE. However, before g</w:t>
      </w:r>
      <w:r w:rsidR="005F4CF3">
        <w:rPr>
          <w:lang w:eastAsia="zh-CN"/>
        </w:rPr>
        <w:t xml:space="preserve">oing into the signaling details, </w:t>
      </w:r>
      <w:r w:rsidR="00A54E8C">
        <w:rPr>
          <w:lang w:eastAsia="zh-CN"/>
        </w:rPr>
        <w:t>it may</w:t>
      </w:r>
      <w:r w:rsidR="008757B9">
        <w:rPr>
          <w:lang w:eastAsia="zh-CN"/>
        </w:rPr>
        <w:t xml:space="preserve"> necessary to consider the </w:t>
      </w:r>
      <w:r w:rsidRPr="00730222">
        <w:rPr>
          <w:lang w:eastAsia="zh-CN"/>
        </w:rPr>
        <w:t>time and frequency domain parameters for SBFD operation</w:t>
      </w:r>
      <w:r w:rsidR="008757B9">
        <w:rPr>
          <w:lang w:eastAsia="zh-CN"/>
        </w:rPr>
        <w:t xml:space="preserve"> as given below</w:t>
      </w:r>
      <w:r w:rsidRPr="00730222">
        <w:rPr>
          <w:lang w:eastAsia="zh-CN"/>
        </w:rPr>
        <w:t>.</w:t>
      </w:r>
    </w:p>
    <w:p w:rsidR="003D519B" w:rsidRDefault="00C955AB" w:rsidP="00C955AB">
      <w:pPr>
        <w:pStyle w:val="Heading2"/>
        <w:tabs>
          <w:tab w:val="clear" w:pos="666"/>
        </w:tabs>
      </w:pPr>
      <w:r>
        <w:t xml:space="preserve">Time domain parameters </w:t>
      </w:r>
    </w:p>
    <w:p w:rsidR="007961D3" w:rsidRDefault="00356009" w:rsidP="00356009">
      <w:pPr>
        <w:rPr>
          <w:bCs/>
          <w:szCs w:val="28"/>
        </w:rPr>
      </w:pPr>
      <w:r w:rsidRPr="00B73DD9">
        <w:rPr>
          <w:b/>
          <w:bCs/>
          <w:szCs w:val="28"/>
        </w:rPr>
        <w:t>Time offset:</w:t>
      </w:r>
      <w:r w:rsidR="007961D3">
        <w:rPr>
          <w:b/>
          <w:bCs/>
          <w:szCs w:val="28"/>
        </w:rPr>
        <w:t xml:space="preserve"> </w:t>
      </w:r>
      <w:r w:rsidR="007961D3" w:rsidRPr="007961D3">
        <w:rPr>
          <w:bCs/>
          <w:szCs w:val="28"/>
        </w:rPr>
        <w:t xml:space="preserve">To specify the starting location of SBFD operation in the time domain, </w:t>
      </w:r>
      <w:r w:rsidR="00F42D2B" w:rsidRPr="007961D3">
        <w:rPr>
          <w:bCs/>
          <w:szCs w:val="28"/>
        </w:rPr>
        <w:t>symbol-level and slot-level</w:t>
      </w:r>
      <w:r w:rsidR="00F42D2B" w:rsidRPr="007961D3">
        <w:rPr>
          <w:bCs/>
          <w:szCs w:val="28"/>
        </w:rPr>
        <w:t xml:space="preserve"> </w:t>
      </w:r>
      <w:r w:rsidR="007961D3" w:rsidRPr="007961D3">
        <w:rPr>
          <w:bCs/>
          <w:szCs w:val="28"/>
        </w:rPr>
        <w:t>time of</w:t>
      </w:r>
      <w:r w:rsidR="00F42D2B">
        <w:rPr>
          <w:bCs/>
          <w:szCs w:val="28"/>
        </w:rPr>
        <w:t xml:space="preserve">fsets can be used. </w:t>
      </w:r>
      <w:r w:rsidR="007961D3" w:rsidRPr="007961D3">
        <w:rPr>
          <w:bCs/>
          <w:szCs w:val="28"/>
        </w:rPr>
        <w:t>Symbol-level time offset specifies the starting location o</w:t>
      </w:r>
      <w:r w:rsidR="00F42D2B">
        <w:rPr>
          <w:bCs/>
          <w:szCs w:val="28"/>
        </w:rPr>
        <w:t xml:space="preserve">f SBFD operation within a slot, and </w:t>
      </w:r>
      <w:r w:rsidR="007961D3" w:rsidRPr="007961D3">
        <w:rPr>
          <w:bCs/>
          <w:szCs w:val="28"/>
        </w:rPr>
        <w:t>slot-level time offset specifies the location of SBFD operation within a TDD period</w:t>
      </w:r>
      <w:r w:rsidR="00F42D2B">
        <w:rPr>
          <w:bCs/>
          <w:szCs w:val="28"/>
        </w:rPr>
        <w:t xml:space="preserve"> as shown in figure 1. The value of slot level time offset may </w:t>
      </w:r>
      <w:r w:rsidR="007961D3" w:rsidRPr="007961D3">
        <w:rPr>
          <w:bCs/>
          <w:szCs w:val="28"/>
        </w:rPr>
        <w:t xml:space="preserve">depends on the number of slots in the </w:t>
      </w:r>
      <w:r w:rsidR="00F42D2B">
        <w:rPr>
          <w:bCs/>
          <w:szCs w:val="28"/>
        </w:rPr>
        <w:t>TDD period</w:t>
      </w:r>
      <w:r w:rsidR="007961D3" w:rsidRPr="007961D3">
        <w:rPr>
          <w:bCs/>
          <w:szCs w:val="28"/>
        </w:rPr>
        <w:t>. For instance, if a TDD period has n slots and the slot-level offset is set to 1, the SBFD oper</w:t>
      </w:r>
      <w:r w:rsidR="007961D3">
        <w:rPr>
          <w:bCs/>
          <w:szCs w:val="28"/>
        </w:rPr>
        <w:t>ation will start from the 2</w:t>
      </w:r>
      <w:r w:rsidR="007961D3" w:rsidRPr="007961D3">
        <w:rPr>
          <w:bCs/>
          <w:szCs w:val="28"/>
        </w:rPr>
        <w:t>nd slot within the TDD period.</w:t>
      </w:r>
      <w:r w:rsidR="007961D3">
        <w:rPr>
          <w:bCs/>
          <w:szCs w:val="28"/>
        </w:rPr>
        <w:t xml:space="preserve"> </w:t>
      </w:r>
      <w:r w:rsidR="00F42D2B">
        <w:rPr>
          <w:bCs/>
          <w:szCs w:val="28"/>
        </w:rPr>
        <w:t xml:space="preserve">Both symbol level and slot level </w:t>
      </w:r>
      <w:r w:rsidR="0075775E">
        <w:rPr>
          <w:bCs/>
          <w:szCs w:val="28"/>
        </w:rPr>
        <w:t>time offset</w:t>
      </w:r>
      <w:r w:rsidR="00F42D2B">
        <w:rPr>
          <w:bCs/>
          <w:szCs w:val="28"/>
        </w:rPr>
        <w:t>s</w:t>
      </w:r>
      <w:r w:rsidR="0075775E">
        <w:rPr>
          <w:bCs/>
          <w:szCs w:val="28"/>
        </w:rPr>
        <w:t xml:space="preserve"> can be provided to the SBFD aware UE in the </w:t>
      </w:r>
      <w:r w:rsidR="00F42D2B">
        <w:rPr>
          <w:bCs/>
          <w:szCs w:val="28"/>
        </w:rPr>
        <w:t xml:space="preserve">configuration of SBFD operation. </w:t>
      </w:r>
    </w:p>
    <w:p w:rsidR="00020C48" w:rsidRDefault="00281DD8" w:rsidP="00020C48">
      <w:pPr>
        <w:keepNext/>
        <w:jc w:val="center"/>
      </w:pPr>
      <w:r>
        <w:object w:dxaOrig="5320" w:dyaOrig="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06.25pt;height:114.85pt" o:ole="">
            <v:imagedata r:id="rId9" o:title=""/>
          </v:shape>
          <o:OLEObject Type="Embed" ProgID="Visio.Drawing.15" ShapeID="_x0000_i1040" DrawAspect="Content" ObjectID="_1769865221" r:id="rId10"/>
        </w:object>
      </w:r>
    </w:p>
    <w:p w:rsidR="00356009" w:rsidRPr="00B73DD9" w:rsidRDefault="00020C48" w:rsidP="00020C48">
      <w:pPr>
        <w:pStyle w:val="Caption"/>
        <w:rPr>
          <w:b w:val="0"/>
          <w:bCs w:val="0"/>
          <w:szCs w:val="28"/>
        </w:rPr>
      </w:pPr>
      <w:r>
        <w:t xml:space="preserve">Figure </w:t>
      </w:r>
      <w:fldSimple w:instr=" SEQ Figure \* ARABIC ">
        <w:r>
          <w:rPr>
            <w:noProof/>
          </w:rPr>
          <w:t>1</w:t>
        </w:r>
      </w:fldSimple>
      <w:r>
        <w:t xml:space="preserve"> Symbols level and slots level time offset of SBFD operation within a TDD period </w:t>
      </w:r>
    </w:p>
    <w:p w:rsidR="00AD5BAD" w:rsidRDefault="00356009" w:rsidP="00356009">
      <w:r w:rsidRPr="00B73DD9">
        <w:rPr>
          <w:b/>
          <w:bCs/>
          <w:szCs w:val="28"/>
        </w:rPr>
        <w:t>SBFD period:</w:t>
      </w:r>
      <w:r w:rsidR="002F3FE2">
        <w:rPr>
          <w:rFonts w:ascii="Helvetica" w:hAnsi="Helvetica" w:cs="Helvetica"/>
          <w:color w:val="24292F"/>
          <w:sz w:val="21"/>
          <w:szCs w:val="21"/>
        </w:rPr>
        <w:t xml:space="preserve"> </w:t>
      </w:r>
      <w:r w:rsidR="00AD5BAD" w:rsidRPr="002F3FE2">
        <w:t xml:space="preserve">The </w:t>
      </w:r>
      <w:r w:rsidR="0075775E">
        <w:t xml:space="preserve">time </w:t>
      </w:r>
      <w:r w:rsidR="00AD5BAD" w:rsidRPr="002F3FE2">
        <w:t xml:space="preserve">period of SBFD operation is necessary to define, otherwise the SBFD aware UE may assume that the SBFD </w:t>
      </w:r>
      <w:r w:rsidR="00F42D2B">
        <w:t xml:space="preserve">operation </w:t>
      </w:r>
      <w:r w:rsidR="00AD5BAD" w:rsidRPr="002F3FE2">
        <w:t>is configured for an unlimited time duration.</w:t>
      </w:r>
      <w:r w:rsidR="00AD5BAD">
        <w:t xml:space="preserve"> </w:t>
      </w:r>
      <w:r w:rsidR="00AD5BAD" w:rsidRPr="002F3FE2">
        <w:t xml:space="preserve">Two types of </w:t>
      </w:r>
      <w:r w:rsidR="0075775E">
        <w:t xml:space="preserve">time </w:t>
      </w:r>
      <w:r w:rsidR="00AD5BAD" w:rsidRPr="002F3FE2">
        <w:t xml:space="preserve">periods can be </w:t>
      </w:r>
      <w:r w:rsidR="0075775E">
        <w:t xml:space="preserve">used </w:t>
      </w:r>
      <w:r w:rsidR="003B1C1A" w:rsidRPr="002F3FE2">
        <w:t>for SBFD operation</w:t>
      </w:r>
      <w:r w:rsidR="00AD5BAD" w:rsidRPr="002F3FE2">
        <w:t>: time period in milliseconds</w:t>
      </w:r>
      <w:r w:rsidR="0075775E">
        <w:t xml:space="preserve"> which refers to SBFD operation time period within a TDD period</w:t>
      </w:r>
      <w:r w:rsidR="00E73B34">
        <w:t>,</w:t>
      </w:r>
      <w:r w:rsidR="00AD5BAD" w:rsidRPr="002F3FE2">
        <w:t xml:space="preserve"> and </w:t>
      </w:r>
      <w:r w:rsidR="0075775E">
        <w:t xml:space="preserve">time </w:t>
      </w:r>
      <w:r w:rsidR="00AD5BAD" w:rsidRPr="002F3FE2">
        <w:t>period in symbols</w:t>
      </w:r>
      <w:r w:rsidR="0075775E">
        <w:t xml:space="preserve"> which refers to the number of symbols in a slot for which </w:t>
      </w:r>
      <w:r w:rsidR="00545665">
        <w:t xml:space="preserve">the SBFD </w:t>
      </w:r>
      <w:r w:rsidR="0075775E">
        <w:t>operation is configured as shown in Figure 2</w:t>
      </w:r>
      <w:r w:rsidR="00AD5BAD" w:rsidRPr="002F3FE2">
        <w:t xml:space="preserve">. The </w:t>
      </w:r>
      <w:r w:rsidR="0075775E">
        <w:t>millisecond</w:t>
      </w:r>
      <w:r w:rsidR="00545665">
        <w:t>s</w:t>
      </w:r>
      <w:r w:rsidR="0075775E">
        <w:t xml:space="preserve"> based </w:t>
      </w:r>
      <w:r w:rsidR="00AD5BAD" w:rsidRPr="002F3FE2">
        <w:t xml:space="preserve">time period should </w:t>
      </w:r>
      <w:r w:rsidR="0075775E">
        <w:t xml:space="preserve">be </w:t>
      </w:r>
      <w:r w:rsidR="00AD5BAD" w:rsidRPr="002F3FE2">
        <w:t>align with the</w:t>
      </w:r>
      <w:r w:rsidR="00F42D2B">
        <w:t xml:space="preserve"> existing</w:t>
      </w:r>
      <w:r w:rsidR="00AD5BAD" w:rsidRPr="002F3FE2">
        <w:t xml:space="preserve"> TDD period</w:t>
      </w:r>
      <w:r w:rsidR="00F42D2B">
        <w:t>,</w:t>
      </w:r>
      <w:r w:rsidR="00AD5BAD" w:rsidRPr="002F3FE2">
        <w:t xml:space="preserve"> </w:t>
      </w:r>
      <w:r w:rsidR="00F42D2B">
        <w:t xml:space="preserve">such as within the range </w:t>
      </w:r>
      <w:r w:rsidR="00AD5BAD" w:rsidRPr="002F3FE2">
        <w:t xml:space="preserve">of {ms0p5, ms0p625, ms1, ms1p25, ms2, ms2p5, ms5, ms10}. </w:t>
      </w:r>
      <w:r w:rsidR="0075775E">
        <w:t>Furthermore, a</w:t>
      </w:r>
      <w:r w:rsidR="00AD5BAD" w:rsidRPr="002F3FE2">
        <w:t xml:space="preserve"> mapping table </w:t>
      </w:r>
      <w:r w:rsidR="0075775E">
        <w:t xml:space="preserve">of SBFD time period and TDD time period </w:t>
      </w:r>
      <w:r w:rsidR="00AD5BAD" w:rsidRPr="002F3FE2">
        <w:t>can be used to avoid misalignment between</w:t>
      </w:r>
      <w:r w:rsidR="0075775E">
        <w:t xml:space="preserve"> the SBFD period and TDD period</w:t>
      </w:r>
      <w:r w:rsidR="00AD5BAD" w:rsidRPr="002F3FE2">
        <w:t xml:space="preserve">. </w:t>
      </w:r>
    </w:p>
    <w:p w:rsidR="00AD5BAD" w:rsidRPr="002C2545" w:rsidRDefault="00AD5BAD" w:rsidP="00356009">
      <w:pPr>
        <w:rPr>
          <w:rFonts w:ascii="Helvetica" w:hAnsi="Helvetica" w:cs="Helvetica"/>
          <w:color w:val="24292F"/>
          <w:sz w:val="21"/>
          <w:szCs w:val="21"/>
        </w:rPr>
      </w:pPr>
    </w:p>
    <w:p w:rsidR="00020C48" w:rsidRDefault="00281DD8" w:rsidP="00020C48">
      <w:pPr>
        <w:keepNext/>
        <w:jc w:val="center"/>
      </w:pPr>
      <w:r>
        <w:object w:dxaOrig="5320" w:dyaOrig="2041">
          <v:shape id="_x0000_i1033" type="#_x0000_t75" style="width:331.75pt;height:127.6pt" o:ole="">
            <v:imagedata r:id="rId11" o:title=""/>
          </v:shape>
          <o:OLEObject Type="Embed" ProgID="Visio.Drawing.15" ShapeID="_x0000_i1033" DrawAspect="Content" ObjectID="_1769865222" r:id="rId12"/>
        </w:object>
      </w:r>
    </w:p>
    <w:p w:rsidR="00356009" w:rsidRDefault="00020C48" w:rsidP="00020C48">
      <w:pPr>
        <w:pStyle w:val="Caption"/>
      </w:pPr>
      <w:r>
        <w:t xml:space="preserve">Figure </w:t>
      </w:r>
      <w:fldSimple w:instr=" SEQ Figure \* ARABIC ">
        <w:r>
          <w:rPr>
            <w:noProof/>
          </w:rPr>
          <w:t>2</w:t>
        </w:r>
      </w:fldSimple>
      <w:r>
        <w:t xml:space="preserve"> SBFD period within a slot and SBFD period within a TDD period </w:t>
      </w:r>
    </w:p>
    <w:p w:rsidR="00337853" w:rsidRDefault="00337853" w:rsidP="00337853">
      <w:pPr>
        <w:rPr>
          <w:bCs/>
          <w:szCs w:val="28"/>
        </w:rPr>
      </w:pPr>
    </w:p>
    <w:p w:rsidR="00337853" w:rsidRDefault="00337853" w:rsidP="00337853">
      <w:pPr>
        <w:rPr>
          <w:b/>
          <w:bCs/>
          <w:i/>
          <w:szCs w:val="28"/>
        </w:rPr>
      </w:pPr>
      <w:r w:rsidRPr="00337853">
        <w:rPr>
          <w:b/>
          <w:bCs/>
          <w:i/>
          <w:szCs w:val="28"/>
        </w:rPr>
        <w:t>Observation</w:t>
      </w:r>
      <w:r w:rsidR="0009698C">
        <w:rPr>
          <w:b/>
          <w:bCs/>
          <w:i/>
          <w:szCs w:val="28"/>
        </w:rPr>
        <w:t xml:space="preserve"> 1</w:t>
      </w:r>
      <w:r w:rsidRPr="00337853">
        <w:rPr>
          <w:b/>
          <w:bCs/>
          <w:i/>
          <w:szCs w:val="28"/>
        </w:rPr>
        <w:t xml:space="preserve">: Symbol-level time offset of SBFD operation can specifies the starting location of SBFD operation within a slot, and slot-level time offset specifies the location of SBFD operation within a TDD period. </w:t>
      </w:r>
    </w:p>
    <w:p w:rsidR="0009698C" w:rsidRPr="0009698C" w:rsidRDefault="00337853" w:rsidP="00337853">
      <w:pPr>
        <w:rPr>
          <w:b/>
          <w:i/>
          <w:color w:val="24292F"/>
          <w:sz w:val="21"/>
          <w:szCs w:val="21"/>
        </w:rPr>
      </w:pPr>
      <w:r w:rsidRPr="0009698C">
        <w:rPr>
          <w:b/>
          <w:i/>
        </w:rPr>
        <w:t>Observation</w:t>
      </w:r>
      <w:r w:rsidR="0009698C">
        <w:rPr>
          <w:b/>
          <w:i/>
        </w:rPr>
        <w:t xml:space="preserve"> 2</w:t>
      </w:r>
      <w:r w:rsidRPr="0009698C">
        <w:rPr>
          <w:b/>
          <w:i/>
        </w:rPr>
        <w:t xml:space="preserve">: </w:t>
      </w:r>
      <w:r w:rsidR="0009698C" w:rsidRPr="0009698C">
        <w:rPr>
          <w:b/>
          <w:i/>
          <w:color w:val="24292F"/>
          <w:sz w:val="21"/>
          <w:szCs w:val="21"/>
        </w:rPr>
        <w:t xml:space="preserve">It may be necessary to consider a </w:t>
      </w:r>
      <w:r w:rsidR="00686943">
        <w:rPr>
          <w:b/>
          <w:i/>
          <w:color w:val="24292F"/>
          <w:sz w:val="21"/>
          <w:szCs w:val="21"/>
        </w:rPr>
        <w:t xml:space="preserve">time </w:t>
      </w:r>
      <w:r w:rsidR="0009698C" w:rsidRPr="0009698C">
        <w:rPr>
          <w:b/>
          <w:i/>
          <w:color w:val="24292F"/>
          <w:sz w:val="21"/>
          <w:szCs w:val="21"/>
        </w:rPr>
        <w:t>period for SBFD operation; otherwise, the SBFD-aware UE may assume that SBFD operation is configured for unlimited time.</w:t>
      </w:r>
    </w:p>
    <w:p w:rsidR="00337853" w:rsidRPr="0009698C" w:rsidRDefault="00337853" w:rsidP="00337853">
      <w:pPr>
        <w:rPr>
          <w:b/>
          <w:i/>
        </w:rPr>
      </w:pPr>
      <w:r w:rsidRPr="0009698C">
        <w:rPr>
          <w:b/>
          <w:i/>
        </w:rPr>
        <w:t>Observation</w:t>
      </w:r>
      <w:r w:rsidR="0009698C">
        <w:rPr>
          <w:b/>
          <w:i/>
        </w:rPr>
        <w:t xml:space="preserve"> 3</w:t>
      </w:r>
      <w:r w:rsidRPr="0009698C">
        <w:rPr>
          <w:b/>
          <w:i/>
        </w:rPr>
        <w:t xml:space="preserve">: </w:t>
      </w:r>
      <w:r w:rsidR="0009698C" w:rsidRPr="0009698C">
        <w:rPr>
          <w:b/>
          <w:i/>
          <w:color w:val="24292F"/>
          <w:sz w:val="21"/>
          <w:szCs w:val="21"/>
        </w:rPr>
        <w:t>Defining a configurable time period for SBFD operation within the range of the TDD period can help</w:t>
      </w:r>
      <w:r w:rsidR="00545665">
        <w:rPr>
          <w:b/>
          <w:i/>
          <w:color w:val="24292F"/>
          <w:sz w:val="21"/>
          <w:szCs w:val="21"/>
        </w:rPr>
        <w:t xml:space="preserve"> to</w:t>
      </w:r>
      <w:r w:rsidR="0009698C" w:rsidRPr="0009698C">
        <w:rPr>
          <w:b/>
          <w:i/>
          <w:color w:val="24292F"/>
          <w:sz w:val="21"/>
          <w:szCs w:val="21"/>
        </w:rPr>
        <w:t xml:space="preserve"> avoid misalignment between the SBFD operation and the TDD in time domain. </w:t>
      </w:r>
    </w:p>
    <w:p w:rsidR="00337853" w:rsidRPr="0009698C" w:rsidRDefault="0009698C" w:rsidP="00337853">
      <w:pPr>
        <w:rPr>
          <w:b/>
        </w:rPr>
      </w:pPr>
      <w:r w:rsidRPr="0009698C">
        <w:rPr>
          <w:b/>
        </w:rPr>
        <w:t>Proposal</w:t>
      </w:r>
      <w:r>
        <w:rPr>
          <w:b/>
        </w:rPr>
        <w:t xml:space="preserve"> 1</w:t>
      </w:r>
      <w:r w:rsidRPr="0009698C">
        <w:rPr>
          <w:b/>
        </w:rPr>
        <w:t xml:space="preserve">: RAN1 to </w:t>
      </w:r>
      <w:r w:rsidR="00545665">
        <w:rPr>
          <w:b/>
        </w:rPr>
        <w:t xml:space="preserve">consider the </w:t>
      </w:r>
      <w:r w:rsidRPr="0009698C">
        <w:rPr>
          <w:b/>
        </w:rPr>
        <w:t xml:space="preserve">time offset and time period </w:t>
      </w:r>
      <w:r w:rsidR="00F36F79">
        <w:rPr>
          <w:b/>
        </w:rPr>
        <w:t xml:space="preserve">in </w:t>
      </w:r>
      <w:r w:rsidR="000319D1">
        <w:rPr>
          <w:b/>
        </w:rPr>
        <w:t>the configuration of</w:t>
      </w:r>
      <w:r w:rsidRPr="0009698C">
        <w:rPr>
          <w:b/>
        </w:rPr>
        <w:t xml:space="preserve"> SBFD operation within a TDD period. </w:t>
      </w:r>
    </w:p>
    <w:p w:rsidR="00FF1F3F" w:rsidRPr="00907AE4" w:rsidRDefault="00C955AB" w:rsidP="00B73DD9">
      <w:pPr>
        <w:pStyle w:val="Heading2"/>
        <w:tabs>
          <w:tab w:val="clear" w:pos="666"/>
        </w:tabs>
      </w:pPr>
      <w:r>
        <w:t xml:space="preserve">Frequency domain parameters </w:t>
      </w:r>
    </w:p>
    <w:p w:rsidR="00907AE4" w:rsidRPr="00907AE4" w:rsidRDefault="00907AE4" w:rsidP="00B73DD9">
      <w:r w:rsidRPr="00907AE4">
        <w:t>In Rel-18, it was agreed that SBFD-aware UEs should know both the time and frequency locations of subbands for SBFD operation [2]. However, there was no agreement on the size or bandwidth of SBFD subbands. If the size of SBFD subbands is left to the gNB implementation, there may be mismatches between the boundaries of SBFD subbands and the size of RBGs, CSI report subbands, PRGs, and SRS subbands (in</w:t>
      </w:r>
      <w:r w:rsidR="002B1CD1">
        <w:t xml:space="preserve"> case FH is enabled). This may</w:t>
      </w:r>
      <w:r w:rsidRPr="00907AE4">
        <w:t xml:space="preserve"> require a lot of specification work to solve the boundary mismatch issues. To avoid these issues and reduce the required specification effort, a configurable size for SBFD DL and UL subbands within a TDD carrier or BWP can be studied. The size of the SBFD subbands should </w:t>
      </w:r>
      <w:r w:rsidR="002B1CD1">
        <w:t xml:space="preserve">be </w:t>
      </w:r>
      <w:r w:rsidRPr="00907AE4">
        <w:t>align with the size of RBGs, CSI-report subbands, PRGs, SRS subbands, or any other channel to avoid mismatches and reduce the required signaling.</w:t>
      </w:r>
    </w:p>
    <w:p w:rsidR="002976C0" w:rsidRDefault="00B73DD9" w:rsidP="00422AA5">
      <w:pPr>
        <w:pStyle w:val="NormalWeb"/>
        <w:spacing w:before="0" w:beforeAutospacing="0"/>
        <w:rPr>
          <w:rFonts w:eastAsia="SimSun"/>
          <w:b/>
          <w:bCs/>
          <w:i/>
          <w:sz w:val="22"/>
          <w:szCs w:val="28"/>
        </w:rPr>
      </w:pPr>
      <w:r w:rsidRPr="0009698C">
        <w:rPr>
          <w:rFonts w:eastAsia="SimSun"/>
          <w:b/>
          <w:bCs/>
          <w:i/>
          <w:sz w:val="22"/>
          <w:szCs w:val="28"/>
        </w:rPr>
        <w:t>Observation</w:t>
      </w:r>
      <w:r w:rsidR="0009698C">
        <w:rPr>
          <w:rFonts w:eastAsia="SimSun"/>
          <w:b/>
          <w:bCs/>
          <w:i/>
          <w:sz w:val="22"/>
          <w:szCs w:val="28"/>
        </w:rPr>
        <w:t xml:space="preserve"> 4</w:t>
      </w:r>
      <w:r w:rsidRPr="0009698C">
        <w:rPr>
          <w:rFonts w:eastAsia="SimSun"/>
          <w:b/>
          <w:bCs/>
          <w:i/>
          <w:sz w:val="22"/>
          <w:szCs w:val="28"/>
        </w:rPr>
        <w:t xml:space="preserve">: </w:t>
      </w:r>
      <w:r w:rsidR="002B1CD1">
        <w:rPr>
          <w:b/>
          <w:i/>
          <w:color w:val="24292F"/>
          <w:sz w:val="21"/>
          <w:szCs w:val="21"/>
        </w:rPr>
        <w:t xml:space="preserve">Leaving </w:t>
      </w:r>
      <w:r w:rsidR="00422AA5" w:rsidRPr="0009698C">
        <w:rPr>
          <w:b/>
          <w:i/>
          <w:color w:val="24292F"/>
          <w:sz w:val="21"/>
          <w:szCs w:val="21"/>
        </w:rPr>
        <w:t xml:space="preserve">the size </w:t>
      </w:r>
      <w:r w:rsidR="002B1CD1">
        <w:rPr>
          <w:b/>
          <w:i/>
          <w:color w:val="24292F"/>
          <w:sz w:val="21"/>
          <w:szCs w:val="21"/>
        </w:rPr>
        <w:t xml:space="preserve">or bandwidth </w:t>
      </w:r>
      <w:r w:rsidR="00422AA5" w:rsidRPr="0009698C">
        <w:rPr>
          <w:b/>
          <w:i/>
          <w:color w:val="24292F"/>
          <w:sz w:val="21"/>
          <w:szCs w:val="21"/>
        </w:rPr>
        <w:t xml:space="preserve">of subbands to the gNB implementation may result in mismatches </w:t>
      </w:r>
      <w:r w:rsidR="002B1CD1">
        <w:rPr>
          <w:b/>
          <w:i/>
          <w:color w:val="24292F"/>
          <w:sz w:val="21"/>
          <w:szCs w:val="21"/>
        </w:rPr>
        <w:t xml:space="preserve">between the size of SBFD subbands </w:t>
      </w:r>
      <w:r w:rsidR="00422AA5" w:rsidRPr="0009698C">
        <w:rPr>
          <w:b/>
          <w:i/>
          <w:color w:val="24292F"/>
          <w:sz w:val="21"/>
          <w:szCs w:val="21"/>
        </w:rPr>
        <w:t xml:space="preserve">with the size of RBGs, CSI report subbands, PRGs, and SRS subbands. </w:t>
      </w:r>
    </w:p>
    <w:p w:rsidR="00FF1F3F" w:rsidRPr="002976C0" w:rsidRDefault="008B5C49" w:rsidP="00422AA5">
      <w:pPr>
        <w:pStyle w:val="NormalWeb"/>
        <w:spacing w:before="0" w:beforeAutospacing="0"/>
        <w:rPr>
          <w:rFonts w:eastAsia="SimSun"/>
          <w:b/>
          <w:bCs/>
          <w:i/>
          <w:sz w:val="22"/>
          <w:szCs w:val="28"/>
        </w:rPr>
      </w:pPr>
      <w:r>
        <w:rPr>
          <w:rFonts w:eastAsia="SimSun"/>
          <w:b/>
          <w:bCs/>
          <w:sz w:val="22"/>
          <w:szCs w:val="28"/>
        </w:rPr>
        <w:t>Proposal</w:t>
      </w:r>
      <w:r w:rsidR="0009698C">
        <w:rPr>
          <w:rFonts w:eastAsia="SimSun"/>
          <w:b/>
          <w:bCs/>
          <w:sz w:val="22"/>
          <w:szCs w:val="28"/>
        </w:rPr>
        <w:t xml:space="preserve"> 2</w:t>
      </w:r>
      <w:r w:rsidR="00605CF6">
        <w:rPr>
          <w:rFonts w:eastAsia="SimSun"/>
          <w:b/>
          <w:bCs/>
          <w:sz w:val="22"/>
          <w:szCs w:val="28"/>
        </w:rPr>
        <w:t xml:space="preserve">: RAN1 to consider </w:t>
      </w:r>
      <w:r w:rsidR="00B73DD9" w:rsidRPr="00B73DD9">
        <w:rPr>
          <w:rFonts w:eastAsia="SimSun"/>
          <w:b/>
          <w:bCs/>
          <w:sz w:val="22"/>
          <w:szCs w:val="28"/>
        </w:rPr>
        <w:t xml:space="preserve">configurable size of DL and UL subbands. </w:t>
      </w:r>
    </w:p>
    <w:p w:rsidR="00177658" w:rsidRPr="00277B76" w:rsidRDefault="00177658" w:rsidP="00277B76">
      <w:pPr>
        <w:pStyle w:val="Heading2"/>
        <w:tabs>
          <w:tab w:val="clear" w:pos="666"/>
        </w:tabs>
      </w:pPr>
      <w:r>
        <w:t xml:space="preserve">Semi-static </w:t>
      </w:r>
      <w:r w:rsidR="00EE0F9F">
        <w:t>si</w:t>
      </w:r>
      <w:r>
        <w:t>g</w:t>
      </w:r>
      <w:r w:rsidR="00EE0F9F">
        <w:t>na</w:t>
      </w:r>
      <w:r>
        <w:t>ling of time and frequency resources of SBFD operation</w:t>
      </w:r>
    </w:p>
    <w:p w:rsidR="00277B76" w:rsidRDefault="00277B76" w:rsidP="00177658">
      <w:r w:rsidRPr="00277B76">
        <w:t xml:space="preserve">In Rel-18, it was agreed that UL subbands can be configured in DL or flexible symbols/slots [2]. However, the signaling to configure SBFD operation to the SBFD aware UE was not standardized. One common view among </w:t>
      </w:r>
      <w:r w:rsidR="002B1CD1">
        <w:t xml:space="preserve">the </w:t>
      </w:r>
      <w:r w:rsidR="00605CF6">
        <w:t>companies were</w:t>
      </w:r>
      <w:r w:rsidRPr="00277B76">
        <w:t xml:space="preserve"> to use the existing semi-static cell common signaling, such as TDD-UL-DL-ConfigCommon, to configure the time and frequency location of SBFD subbands to the SBFD aware UE. In our view, reusing the existing cell common signaling to configure the time and frequency location of SBFD subbands to the SBFD aware UE may mislead </w:t>
      </w:r>
      <w:r w:rsidR="00605CF6">
        <w:t xml:space="preserve">the </w:t>
      </w:r>
      <w:r w:rsidRPr="00277B76">
        <w:t xml:space="preserve">legacy UEs about the TDD slot format, especially if </w:t>
      </w:r>
      <w:r w:rsidR="002B1CD1">
        <w:t xml:space="preserve">the </w:t>
      </w:r>
      <w:r w:rsidRPr="00277B76">
        <w:t xml:space="preserve">SBFD operation is configured in flexible TDD symbols. This can result in collisions between legacy UEs transmitting in the UL direction and SBFD UEs transmitting in the DL direction. Therefore, </w:t>
      </w:r>
      <w:r w:rsidR="00605CF6" w:rsidRPr="00277B76">
        <w:t>other</w:t>
      </w:r>
      <w:r w:rsidRPr="00277B76">
        <w:t xml:space="preserve"> options for semi-static configuration of time and frequency domain parameters of SBFD operation need to be considered</w:t>
      </w:r>
      <w:r w:rsidR="00605CF6">
        <w:t xml:space="preserve"> as explained below. </w:t>
      </w:r>
    </w:p>
    <w:p w:rsidR="00294605" w:rsidRPr="00294605" w:rsidRDefault="00223CE9" w:rsidP="000E125A">
      <w:pPr>
        <w:pStyle w:val="NormalWeb"/>
        <w:numPr>
          <w:ilvl w:val="0"/>
          <w:numId w:val="7"/>
        </w:numPr>
        <w:spacing w:before="240" w:beforeAutospacing="0" w:after="240" w:afterAutospacing="0"/>
        <w:rPr>
          <w:rFonts w:eastAsia="SimSun"/>
          <w:sz w:val="22"/>
          <w:szCs w:val="22"/>
        </w:rPr>
      </w:pPr>
      <w:r>
        <w:rPr>
          <w:rFonts w:eastAsia="SimSun"/>
          <w:sz w:val="22"/>
          <w:szCs w:val="22"/>
        </w:rPr>
        <w:t>The e</w:t>
      </w:r>
      <w:r w:rsidR="00294605" w:rsidRPr="00294605">
        <w:rPr>
          <w:rFonts w:eastAsia="SimSun"/>
          <w:sz w:val="22"/>
          <w:szCs w:val="22"/>
        </w:rPr>
        <w:t xml:space="preserve">xisting cell common signaling, such as TDD-UL-DL-ConfigCommon, </w:t>
      </w:r>
      <w:r>
        <w:rPr>
          <w:rFonts w:eastAsia="SimSun"/>
          <w:sz w:val="22"/>
          <w:szCs w:val="22"/>
        </w:rPr>
        <w:t xml:space="preserve">can be used </w:t>
      </w:r>
      <w:r w:rsidR="00294605" w:rsidRPr="00294605">
        <w:rPr>
          <w:rFonts w:eastAsia="SimSun"/>
          <w:sz w:val="22"/>
          <w:szCs w:val="22"/>
        </w:rPr>
        <w:t xml:space="preserve">to configure the TDD slot format </w:t>
      </w:r>
      <w:r>
        <w:rPr>
          <w:rFonts w:eastAsia="SimSun"/>
          <w:sz w:val="22"/>
          <w:szCs w:val="22"/>
        </w:rPr>
        <w:t>for all UEs in a cell, and</w:t>
      </w:r>
      <w:r w:rsidR="00294605" w:rsidRPr="00294605">
        <w:rPr>
          <w:rFonts w:eastAsia="SimSun"/>
          <w:sz w:val="22"/>
          <w:szCs w:val="22"/>
        </w:rPr>
        <w:t xml:space="preserve"> SIB-based signaling or new RRC signaling </w:t>
      </w:r>
      <w:r>
        <w:rPr>
          <w:rFonts w:eastAsia="SimSun"/>
          <w:sz w:val="22"/>
          <w:szCs w:val="22"/>
        </w:rPr>
        <w:t xml:space="preserve">can be used </w:t>
      </w:r>
      <w:r w:rsidR="00294605" w:rsidRPr="00294605">
        <w:rPr>
          <w:rFonts w:eastAsia="SimSun"/>
          <w:sz w:val="22"/>
          <w:szCs w:val="22"/>
        </w:rPr>
        <w:t>to configure SBFD operation, including the time location and its parameters, and the frequency location and its parameters of the SBFD subband</w:t>
      </w:r>
      <w:r w:rsidR="004A65BF">
        <w:rPr>
          <w:rFonts w:eastAsia="SimSun"/>
          <w:sz w:val="22"/>
          <w:szCs w:val="22"/>
        </w:rPr>
        <w:t>s</w:t>
      </w:r>
      <w:r w:rsidR="00294605" w:rsidRPr="00294605">
        <w:rPr>
          <w:rFonts w:eastAsia="SimSun"/>
          <w:sz w:val="22"/>
          <w:szCs w:val="22"/>
        </w:rPr>
        <w:t xml:space="preserve"> to the SBFD aware UE.</w:t>
      </w:r>
    </w:p>
    <w:p w:rsidR="00294605" w:rsidRPr="00294605" w:rsidRDefault="00294605" w:rsidP="000E125A">
      <w:pPr>
        <w:pStyle w:val="NormalWeb"/>
        <w:numPr>
          <w:ilvl w:val="0"/>
          <w:numId w:val="7"/>
        </w:numPr>
        <w:spacing w:before="240" w:beforeAutospacing="0" w:after="240" w:afterAutospacing="0"/>
        <w:rPr>
          <w:rFonts w:eastAsia="SimSun"/>
          <w:sz w:val="22"/>
          <w:szCs w:val="22"/>
        </w:rPr>
      </w:pPr>
      <w:r w:rsidRPr="00294605">
        <w:rPr>
          <w:rFonts w:eastAsia="SimSun"/>
          <w:sz w:val="22"/>
          <w:szCs w:val="22"/>
        </w:rPr>
        <w:t>SIB-based signaling can be used to configure the TDD slot format, which aligns with the TDD slot format of TD</w:t>
      </w:r>
      <w:r w:rsidR="00223CE9">
        <w:rPr>
          <w:rFonts w:eastAsia="SimSun"/>
          <w:sz w:val="22"/>
          <w:szCs w:val="22"/>
        </w:rPr>
        <w:t xml:space="preserve">D-UL-DL-ConfigCommon in a cell, </w:t>
      </w:r>
      <w:r w:rsidRPr="00294605">
        <w:rPr>
          <w:rFonts w:eastAsia="SimSun"/>
          <w:sz w:val="22"/>
          <w:szCs w:val="22"/>
        </w:rPr>
        <w:t>the time location and its parameters, and the frequency location and its parameter of the SBFD subbands to the SBFD aware UE.</w:t>
      </w:r>
    </w:p>
    <w:p w:rsidR="00177658" w:rsidRPr="00294605" w:rsidRDefault="00223CE9" w:rsidP="000E125A">
      <w:pPr>
        <w:pStyle w:val="NormalWeb"/>
        <w:numPr>
          <w:ilvl w:val="0"/>
          <w:numId w:val="7"/>
        </w:numPr>
        <w:spacing w:before="240" w:beforeAutospacing="0" w:after="240" w:afterAutospacing="0"/>
        <w:rPr>
          <w:rFonts w:eastAsia="SimSun"/>
          <w:sz w:val="22"/>
          <w:szCs w:val="22"/>
        </w:rPr>
      </w:pPr>
      <w:r>
        <w:rPr>
          <w:rFonts w:eastAsia="SimSun"/>
          <w:sz w:val="22"/>
          <w:szCs w:val="22"/>
        </w:rPr>
        <w:t>New</w:t>
      </w:r>
      <w:r w:rsidR="00294605" w:rsidRPr="00294605">
        <w:rPr>
          <w:rFonts w:eastAsia="SimSun"/>
          <w:sz w:val="22"/>
          <w:szCs w:val="22"/>
        </w:rPr>
        <w:t xml:space="preserve"> RRC group common signaling can be used to configure the TDD slot format, which aligns with the TDD slot format of TDD-UL-DL-ConfigCommon, as well as the time location and frequency location of SBFD </w:t>
      </w:r>
      <w:r>
        <w:rPr>
          <w:rFonts w:eastAsia="SimSun"/>
          <w:sz w:val="22"/>
          <w:szCs w:val="22"/>
        </w:rPr>
        <w:t xml:space="preserve">subbands </w:t>
      </w:r>
      <w:r w:rsidR="00294605" w:rsidRPr="00294605">
        <w:rPr>
          <w:rFonts w:eastAsia="SimSun"/>
          <w:sz w:val="22"/>
          <w:szCs w:val="22"/>
        </w:rPr>
        <w:t>to the SBFD aware UE.</w:t>
      </w:r>
    </w:p>
    <w:p w:rsidR="00177658" w:rsidRDefault="004A65BF" w:rsidP="00177658">
      <w:pPr>
        <w:rPr>
          <w:b/>
          <w:i/>
        </w:rPr>
      </w:pPr>
      <w:r w:rsidRPr="004A65BF">
        <w:rPr>
          <w:b/>
          <w:i/>
        </w:rPr>
        <w:t>Observation</w:t>
      </w:r>
      <w:r w:rsidR="001E756C">
        <w:rPr>
          <w:b/>
          <w:i/>
        </w:rPr>
        <w:t xml:space="preserve"> 5</w:t>
      </w:r>
      <w:r w:rsidRPr="004A65BF">
        <w:rPr>
          <w:b/>
          <w:i/>
        </w:rPr>
        <w:t>: Reusing the existing cell common signaling (TDD-UL-DL-ConfigCommon) to configure the time and frequency location of SBFD subbands to the SBFD aware UE may mislead legacy UEs about the TDD slot format, especially if SBFD operation is configured in flexible TDD symbols.</w:t>
      </w:r>
    </w:p>
    <w:p w:rsidR="005A33D3" w:rsidRPr="003679BF" w:rsidRDefault="004A65BF" w:rsidP="005A33D3">
      <w:pPr>
        <w:pStyle w:val="NormalWeb"/>
        <w:spacing w:before="0" w:beforeAutospacing="0" w:after="240" w:afterAutospacing="0"/>
        <w:rPr>
          <w:b/>
          <w:color w:val="24292F"/>
          <w:sz w:val="22"/>
          <w:szCs w:val="22"/>
        </w:rPr>
      </w:pPr>
      <w:r w:rsidRPr="003679BF">
        <w:rPr>
          <w:b/>
          <w:color w:val="24292F"/>
          <w:sz w:val="22"/>
          <w:szCs w:val="22"/>
        </w:rPr>
        <w:t>Proposal</w:t>
      </w:r>
      <w:r w:rsidR="001E756C" w:rsidRPr="003679BF">
        <w:rPr>
          <w:b/>
          <w:color w:val="24292F"/>
          <w:sz w:val="22"/>
          <w:szCs w:val="22"/>
        </w:rPr>
        <w:t xml:space="preserve"> 3</w:t>
      </w:r>
      <w:r w:rsidRPr="005A33D3">
        <w:rPr>
          <w:b/>
        </w:rPr>
        <w:t xml:space="preserve">: </w:t>
      </w:r>
      <w:r w:rsidR="005A33D3" w:rsidRPr="003679BF">
        <w:rPr>
          <w:b/>
          <w:color w:val="24292F"/>
          <w:sz w:val="22"/>
          <w:szCs w:val="22"/>
        </w:rPr>
        <w:t>To configure the time and frequency resources of the SBFD operation to the SBFD aware UE, the following semi-static signaling options can be studied:</w:t>
      </w:r>
    </w:p>
    <w:p w:rsidR="005A33D3" w:rsidRPr="003679BF" w:rsidRDefault="005A33D3" w:rsidP="000E125A">
      <w:pPr>
        <w:pStyle w:val="NormalWeb"/>
        <w:numPr>
          <w:ilvl w:val="0"/>
          <w:numId w:val="8"/>
        </w:numPr>
        <w:spacing w:before="0" w:beforeAutospacing="0" w:after="240" w:afterAutospacing="0"/>
        <w:rPr>
          <w:b/>
          <w:color w:val="24292F"/>
          <w:sz w:val="22"/>
          <w:szCs w:val="22"/>
        </w:rPr>
      </w:pPr>
      <w:r w:rsidRPr="003679BF">
        <w:rPr>
          <w:b/>
          <w:color w:val="24292F"/>
          <w:sz w:val="22"/>
          <w:szCs w:val="22"/>
        </w:rPr>
        <w:t>TDD-UL-DL-ConfigCommon</w:t>
      </w:r>
      <w:r w:rsidR="00605CF6">
        <w:rPr>
          <w:b/>
          <w:color w:val="24292F"/>
          <w:sz w:val="22"/>
          <w:szCs w:val="22"/>
        </w:rPr>
        <w:t xml:space="preserve"> can be used</w:t>
      </w:r>
      <w:r w:rsidR="00823021">
        <w:rPr>
          <w:b/>
          <w:color w:val="24292F"/>
          <w:sz w:val="22"/>
          <w:szCs w:val="22"/>
        </w:rPr>
        <w:t xml:space="preserve"> for indication of </w:t>
      </w:r>
      <w:r w:rsidRPr="003679BF">
        <w:rPr>
          <w:b/>
          <w:color w:val="24292F"/>
          <w:sz w:val="22"/>
          <w:szCs w:val="22"/>
        </w:rPr>
        <w:t>TDD slot format and SIB or new RRC signaling</w:t>
      </w:r>
      <w:r w:rsidR="00605CF6">
        <w:rPr>
          <w:b/>
          <w:color w:val="24292F"/>
          <w:sz w:val="22"/>
          <w:szCs w:val="22"/>
        </w:rPr>
        <w:t xml:space="preserve"> can be used</w:t>
      </w:r>
      <w:r w:rsidR="00823021">
        <w:rPr>
          <w:b/>
          <w:color w:val="24292F"/>
          <w:sz w:val="22"/>
          <w:szCs w:val="22"/>
        </w:rPr>
        <w:t xml:space="preserve"> for configuration of</w:t>
      </w:r>
      <w:r w:rsidRPr="003679BF">
        <w:rPr>
          <w:b/>
          <w:color w:val="24292F"/>
          <w:sz w:val="22"/>
          <w:szCs w:val="22"/>
        </w:rPr>
        <w:t xml:space="preserve"> time/frequency resources of SBFD subbands.</w:t>
      </w:r>
    </w:p>
    <w:p w:rsidR="005A33D3" w:rsidRPr="003679BF" w:rsidRDefault="005A33D3" w:rsidP="000E125A">
      <w:pPr>
        <w:pStyle w:val="NormalWeb"/>
        <w:numPr>
          <w:ilvl w:val="0"/>
          <w:numId w:val="8"/>
        </w:numPr>
        <w:spacing w:before="0" w:beforeAutospacing="0" w:after="240" w:afterAutospacing="0"/>
        <w:rPr>
          <w:b/>
          <w:color w:val="24292F"/>
          <w:sz w:val="22"/>
          <w:szCs w:val="22"/>
        </w:rPr>
      </w:pPr>
      <w:r w:rsidRPr="003679BF">
        <w:rPr>
          <w:b/>
          <w:color w:val="24292F"/>
          <w:sz w:val="22"/>
          <w:szCs w:val="22"/>
        </w:rPr>
        <w:t xml:space="preserve">SIB </w:t>
      </w:r>
      <w:r w:rsidR="00605CF6">
        <w:rPr>
          <w:b/>
          <w:color w:val="24292F"/>
          <w:sz w:val="22"/>
          <w:szCs w:val="22"/>
        </w:rPr>
        <w:t xml:space="preserve">can be used </w:t>
      </w:r>
      <w:r w:rsidRPr="003679BF">
        <w:rPr>
          <w:b/>
          <w:color w:val="24292F"/>
          <w:sz w:val="22"/>
          <w:szCs w:val="22"/>
        </w:rPr>
        <w:t>for confi</w:t>
      </w:r>
      <w:r w:rsidR="00823021">
        <w:rPr>
          <w:b/>
          <w:color w:val="24292F"/>
          <w:sz w:val="22"/>
          <w:szCs w:val="22"/>
        </w:rPr>
        <w:t xml:space="preserve">guration of both </w:t>
      </w:r>
      <w:r w:rsidRPr="003679BF">
        <w:rPr>
          <w:b/>
          <w:color w:val="24292F"/>
          <w:sz w:val="22"/>
          <w:szCs w:val="22"/>
        </w:rPr>
        <w:t>TDD slot format and time/frequency resources of SBFD subbands.</w:t>
      </w:r>
    </w:p>
    <w:p w:rsidR="005A33D3" w:rsidRPr="003679BF" w:rsidRDefault="00605CF6" w:rsidP="000E125A">
      <w:pPr>
        <w:pStyle w:val="NormalWeb"/>
        <w:numPr>
          <w:ilvl w:val="0"/>
          <w:numId w:val="8"/>
        </w:numPr>
        <w:spacing w:before="0" w:beforeAutospacing="0" w:after="240" w:afterAutospacing="0"/>
        <w:rPr>
          <w:b/>
          <w:color w:val="24292F"/>
          <w:sz w:val="22"/>
          <w:szCs w:val="22"/>
        </w:rPr>
      </w:pPr>
      <w:r>
        <w:rPr>
          <w:b/>
          <w:color w:val="24292F"/>
          <w:sz w:val="22"/>
          <w:szCs w:val="22"/>
        </w:rPr>
        <w:t xml:space="preserve">New </w:t>
      </w:r>
      <w:r w:rsidR="005A33D3" w:rsidRPr="003679BF">
        <w:rPr>
          <w:b/>
          <w:color w:val="24292F"/>
          <w:sz w:val="22"/>
          <w:szCs w:val="22"/>
        </w:rPr>
        <w:t xml:space="preserve">RRC signaling </w:t>
      </w:r>
      <w:r>
        <w:rPr>
          <w:b/>
          <w:color w:val="24292F"/>
          <w:sz w:val="22"/>
          <w:szCs w:val="22"/>
        </w:rPr>
        <w:t xml:space="preserve">can be used </w:t>
      </w:r>
      <w:r w:rsidR="005A33D3" w:rsidRPr="003679BF">
        <w:rPr>
          <w:b/>
          <w:color w:val="24292F"/>
          <w:sz w:val="22"/>
          <w:szCs w:val="22"/>
        </w:rPr>
        <w:t>for</w:t>
      </w:r>
      <w:r w:rsidR="00823021">
        <w:rPr>
          <w:b/>
          <w:color w:val="24292F"/>
          <w:sz w:val="22"/>
          <w:szCs w:val="22"/>
        </w:rPr>
        <w:t xml:space="preserve"> configuration of both</w:t>
      </w:r>
      <w:r w:rsidR="005A33D3" w:rsidRPr="003679BF">
        <w:rPr>
          <w:b/>
          <w:color w:val="24292F"/>
          <w:sz w:val="22"/>
          <w:szCs w:val="22"/>
        </w:rPr>
        <w:t xml:space="preserve"> TDD slot format and time/frequency resources of SBFD subbands.</w:t>
      </w:r>
    </w:p>
    <w:p w:rsidR="00177658" w:rsidRDefault="00177658" w:rsidP="001E756C">
      <w:pPr>
        <w:pStyle w:val="Heading1"/>
        <w:rPr>
          <w:lang w:eastAsia="zh-CN"/>
        </w:rPr>
      </w:pPr>
      <w:r>
        <w:rPr>
          <w:lang w:eastAsia="zh-CN"/>
        </w:rPr>
        <w:t>Legac</w:t>
      </w:r>
      <w:r w:rsidR="00CF1F6A">
        <w:rPr>
          <w:lang w:eastAsia="zh-CN"/>
        </w:rPr>
        <w:t>y UEs operation in SBFD symbols</w:t>
      </w:r>
      <w:r>
        <w:rPr>
          <w:lang w:eastAsia="zh-CN"/>
        </w:rPr>
        <w:t xml:space="preserve"> </w:t>
      </w:r>
    </w:p>
    <w:p w:rsidR="00371282" w:rsidRDefault="004B329F" w:rsidP="004B329F">
      <w:r w:rsidRPr="004B329F">
        <w:t xml:space="preserve">When an SBFD-aware UE is configured with semi-static SBFD operation in flexible symbols, it can cause </w:t>
      </w:r>
      <w:r w:rsidR="002B1CD1" w:rsidRPr="004B329F">
        <w:t>misunderstanding</w:t>
      </w:r>
      <w:r w:rsidRPr="004B329F">
        <w:t xml:space="preserve"> for </w:t>
      </w:r>
      <w:r w:rsidR="002B1CD1">
        <w:t xml:space="preserve">the </w:t>
      </w:r>
      <w:r w:rsidRPr="004B329F">
        <w:t xml:space="preserve">legacy UEs </w:t>
      </w:r>
      <w:r w:rsidR="002B1CD1">
        <w:t xml:space="preserve">in </w:t>
      </w:r>
      <w:r w:rsidRPr="004B329F">
        <w:t>DL subband</w:t>
      </w:r>
      <w:r w:rsidR="006E2595">
        <w:t>s</w:t>
      </w:r>
      <w:r w:rsidRPr="004B329F">
        <w:t xml:space="preserve">. This is because legacy UEs </w:t>
      </w:r>
      <w:r w:rsidR="006E2595">
        <w:t xml:space="preserve">may </w:t>
      </w:r>
      <w:r w:rsidRPr="004B329F">
        <w:t xml:space="preserve">use the same </w:t>
      </w:r>
      <w:r w:rsidR="006E2595">
        <w:t xml:space="preserve">flexible </w:t>
      </w:r>
      <w:r w:rsidRPr="004B329F">
        <w:t xml:space="preserve">symbols for UL transmission, leading to collisions between UL transmissions from legacy UEs and DL transmissions from SBFD UEs. To prevent such collisions, </w:t>
      </w:r>
      <w:r w:rsidR="006E2595">
        <w:t xml:space="preserve">we propose to study </w:t>
      </w:r>
      <w:r w:rsidRPr="004B329F">
        <w:t>the behavior of legacy UEs in SBFD symbols</w:t>
      </w:r>
      <w:r>
        <w:rPr>
          <w:rFonts w:ascii="Helvetica" w:hAnsi="Helvetica" w:cs="Helvetica"/>
          <w:color w:val="24292F"/>
          <w:sz w:val="21"/>
          <w:szCs w:val="21"/>
        </w:rPr>
        <w:t>.</w:t>
      </w:r>
      <w:r w:rsidR="00371282">
        <w:t xml:space="preserve"> In our view, there are two possible options as explained below </w:t>
      </w:r>
    </w:p>
    <w:p w:rsidR="004B329F" w:rsidRPr="00371282" w:rsidRDefault="00371282" w:rsidP="00371282">
      <w:pPr>
        <w:pStyle w:val="ListParagraph"/>
        <w:numPr>
          <w:ilvl w:val="0"/>
          <w:numId w:val="13"/>
        </w:numPr>
        <w:jc w:val="both"/>
        <w:rPr>
          <w:rFonts w:ascii="Times New Roman" w:hAnsi="Times New Roman"/>
          <w:sz w:val="22"/>
          <w:szCs w:val="22"/>
        </w:rPr>
      </w:pPr>
      <w:r w:rsidRPr="00371282">
        <w:rPr>
          <w:rFonts w:ascii="Times New Roman" w:hAnsi="Times New Roman"/>
          <w:sz w:val="22"/>
          <w:szCs w:val="22"/>
        </w:rPr>
        <w:t>In case</w:t>
      </w:r>
      <w:r w:rsidR="006E2595" w:rsidRPr="00371282">
        <w:rPr>
          <w:rFonts w:ascii="Times New Roman" w:hAnsi="Times New Roman"/>
          <w:sz w:val="22"/>
          <w:szCs w:val="22"/>
        </w:rPr>
        <w:t xml:space="preserve">, if </w:t>
      </w:r>
      <w:r w:rsidR="004B329F" w:rsidRPr="00371282">
        <w:rPr>
          <w:rFonts w:ascii="Times New Roman" w:hAnsi="Times New Roman"/>
          <w:sz w:val="22"/>
          <w:szCs w:val="22"/>
        </w:rPr>
        <w:t>legacy UEs are not allowed to perform any DL reception or UL transmission in SBFD symbols/slots, collisions between legacy UEs and SBFD-aware UEs can be effectively prevented without requiring enhancements to the physical channels. However, this option limits the transmission capabilities of legacy UEs in SBFD symbols/slots, which can negatively impact their performance in DL reception and UL transmission.</w:t>
      </w:r>
    </w:p>
    <w:p w:rsidR="003466EE" w:rsidRPr="00371282" w:rsidRDefault="009D52F0" w:rsidP="00371282">
      <w:pPr>
        <w:pStyle w:val="ListParagraph"/>
        <w:numPr>
          <w:ilvl w:val="0"/>
          <w:numId w:val="13"/>
        </w:numPr>
        <w:jc w:val="both"/>
        <w:rPr>
          <w:rFonts w:ascii="Helvetica" w:hAnsi="Helvetica" w:cs="Helvetica"/>
          <w:color w:val="24292F"/>
          <w:sz w:val="21"/>
          <w:szCs w:val="21"/>
        </w:rPr>
      </w:pPr>
      <w:r w:rsidRPr="00371282">
        <w:rPr>
          <w:rFonts w:ascii="Times New Roman" w:hAnsi="Times New Roman"/>
          <w:sz w:val="22"/>
          <w:szCs w:val="22"/>
        </w:rPr>
        <w:t xml:space="preserve">If legacy UEs are allowed to perform DL reception or UL transmission in SBFD symbols, the handling of collisions between opposite direction transmissions from legacy UEs and SBFD-aware UEs can depend on the SBFD configuration in DL or flexible symbols. For instance, if SBFD operation is configured in symbols that are configured as DL in TDD-UL-DL-ConfigCommon, whether to allow the legacy UE to transmit/receive in the SBFD symbols can be left to the gNB implementation. </w:t>
      </w:r>
      <w:r w:rsidR="003466EE" w:rsidRPr="00371282">
        <w:rPr>
          <w:rFonts w:ascii="Times New Roman" w:hAnsi="Times New Roman"/>
          <w:sz w:val="22"/>
          <w:szCs w:val="22"/>
        </w:rPr>
        <w:t xml:space="preserve">However, if SBFD operation is configured in symbols that are configured as Flexible in TDD-UL-DL-ConfigCommon, it may </w:t>
      </w:r>
      <w:r w:rsidR="006E2595" w:rsidRPr="00371282">
        <w:rPr>
          <w:rFonts w:ascii="Times New Roman" w:hAnsi="Times New Roman"/>
          <w:sz w:val="22"/>
          <w:szCs w:val="22"/>
        </w:rPr>
        <w:t>require</w:t>
      </w:r>
      <w:r w:rsidR="003466EE" w:rsidRPr="00371282">
        <w:rPr>
          <w:rFonts w:ascii="Times New Roman" w:hAnsi="Times New Roman"/>
          <w:sz w:val="22"/>
          <w:szCs w:val="22"/>
        </w:rPr>
        <w:t xml:space="preserve"> to define </w:t>
      </w:r>
      <w:r w:rsidR="00371282">
        <w:rPr>
          <w:rFonts w:ascii="Times New Roman" w:hAnsi="Times New Roman"/>
          <w:sz w:val="22"/>
          <w:szCs w:val="22"/>
        </w:rPr>
        <w:t xml:space="preserve">a procedure </w:t>
      </w:r>
      <w:r w:rsidR="003466EE" w:rsidRPr="00371282">
        <w:rPr>
          <w:rFonts w:ascii="Times New Roman" w:hAnsi="Times New Roman"/>
          <w:sz w:val="22"/>
          <w:szCs w:val="22"/>
        </w:rPr>
        <w:t>that determine whether legacy UEs are allowed to transmit/receive in the SBFD symbols.</w:t>
      </w:r>
    </w:p>
    <w:p w:rsidR="00371282" w:rsidRDefault="00371282" w:rsidP="00803554">
      <w:pPr>
        <w:rPr>
          <w:b/>
          <w:i/>
        </w:rPr>
      </w:pPr>
    </w:p>
    <w:p w:rsidR="003466EE" w:rsidRDefault="00361CA0" w:rsidP="00803554">
      <w:pPr>
        <w:rPr>
          <w:b/>
          <w:i/>
        </w:rPr>
      </w:pPr>
      <w:r w:rsidRPr="009D52F0">
        <w:rPr>
          <w:b/>
          <w:i/>
        </w:rPr>
        <w:t>Observation</w:t>
      </w:r>
      <w:r w:rsidR="003679BF">
        <w:rPr>
          <w:b/>
          <w:i/>
        </w:rPr>
        <w:t xml:space="preserve"> 6</w:t>
      </w:r>
      <w:r w:rsidRPr="009D52F0">
        <w:rPr>
          <w:b/>
          <w:i/>
        </w:rPr>
        <w:t xml:space="preserve">: </w:t>
      </w:r>
      <w:r w:rsidR="003466EE">
        <w:rPr>
          <w:b/>
          <w:i/>
        </w:rPr>
        <w:t xml:space="preserve">If legacy UEs are not allowed to transmit/receive in SBFD symbols, it may increase their latency in DL and UL transmission and negatively impact their performance. </w:t>
      </w:r>
    </w:p>
    <w:p w:rsidR="00361CA0" w:rsidRPr="001B6346" w:rsidRDefault="00820BA5" w:rsidP="00803554">
      <w:pPr>
        <w:rPr>
          <w:b/>
          <w:i/>
        </w:rPr>
      </w:pPr>
      <w:r w:rsidRPr="001B6346">
        <w:rPr>
          <w:b/>
          <w:i/>
        </w:rPr>
        <w:t>Observation</w:t>
      </w:r>
      <w:r w:rsidR="00B90AA5">
        <w:rPr>
          <w:b/>
          <w:i/>
        </w:rPr>
        <w:t xml:space="preserve"> </w:t>
      </w:r>
      <w:r w:rsidR="003679BF">
        <w:rPr>
          <w:b/>
          <w:i/>
        </w:rPr>
        <w:t>7</w:t>
      </w:r>
      <w:r w:rsidRPr="001B6346">
        <w:rPr>
          <w:b/>
          <w:i/>
        </w:rPr>
        <w:t xml:space="preserve">: </w:t>
      </w:r>
      <w:r w:rsidR="001B6346" w:rsidRPr="001B6346">
        <w:rPr>
          <w:b/>
          <w:i/>
        </w:rPr>
        <w:t xml:space="preserve">If legacy UEs are allowed to transmit/receive in SBFD symbols, which are configured as flexible in TDD-UL-DL-ConfigCommon, there is a possibility of </w:t>
      </w:r>
      <w:r w:rsidR="007825F7">
        <w:rPr>
          <w:b/>
          <w:i/>
        </w:rPr>
        <w:t xml:space="preserve">transmission </w:t>
      </w:r>
      <w:r w:rsidR="001B6346" w:rsidRPr="001B6346">
        <w:rPr>
          <w:b/>
          <w:i/>
        </w:rPr>
        <w:t>collision between the SBFD-aware UEs and legacy UEs.</w:t>
      </w:r>
    </w:p>
    <w:p w:rsidR="00177658" w:rsidRDefault="00361CA0" w:rsidP="00803554">
      <w:pPr>
        <w:rPr>
          <w:b/>
        </w:rPr>
      </w:pPr>
      <w:r w:rsidRPr="00361CA0">
        <w:rPr>
          <w:b/>
        </w:rPr>
        <w:t>Proposal</w:t>
      </w:r>
      <w:r w:rsidR="003679BF">
        <w:rPr>
          <w:b/>
        </w:rPr>
        <w:t xml:space="preserve"> 4</w:t>
      </w:r>
      <w:r w:rsidRPr="00361CA0">
        <w:rPr>
          <w:b/>
        </w:rPr>
        <w:t xml:space="preserve">: </w:t>
      </w:r>
      <w:r>
        <w:rPr>
          <w:b/>
        </w:rPr>
        <w:t>RAN</w:t>
      </w:r>
      <w:r w:rsidR="003466EE">
        <w:rPr>
          <w:b/>
        </w:rPr>
        <w:t>1</w:t>
      </w:r>
      <w:r>
        <w:rPr>
          <w:b/>
        </w:rPr>
        <w:t xml:space="preserve"> to s</w:t>
      </w:r>
      <w:r w:rsidRPr="00361CA0">
        <w:rPr>
          <w:b/>
        </w:rPr>
        <w:t>tudy legacy UEs operation</w:t>
      </w:r>
      <w:r>
        <w:rPr>
          <w:b/>
        </w:rPr>
        <w:t>/behavior</w:t>
      </w:r>
      <w:r w:rsidRPr="00361CA0">
        <w:rPr>
          <w:b/>
        </w:rPr>
        <w:t xml:space="preserve"> in SBFD symbols.  </w:t>
      </w:r>
    </w:p>
    <w:p w:rsidR="00641F8D" w:rsidRDefault="00641F8D" w:rsidP="00641F8D">
      <w:pPr>
        <w:pStyle w:val="Heading1"/>
        <w:rPr>
          <w:lang w:eastAsia="zh-CN"/>
        </w:rPr>
      </w:pPr>
      <w:r>
        <w:rPr>
          <w:lang w:eastAsia="zh-CN"/>
        </w:rPr>
        <w:t>SRS enhancement in SBFD symbols</w:t>
      </w:r>
    </w:p>
    <w:p w:rsidR="00977635" w:rsidRPr="00977635" w:rsidRDefault="00977635" w:rsidP="00641F8D">
      <w:r w:rsidRPr="00977635">
        <w:t xml:space="preserve">According to the current specification TS 38.214, SRS is transmitted periodically with a predefined slot level periodicities and offsets as defined by higher layer parameters </w:t>
      </w:r>
      <w:r w:rsidRPr="00977635">
        <w:rPr>
          <w:i/>
        </w:rPr>
        <w:t>periodicityAndOffset-p</w:t>
      </w:r>
      <w:r w:rsidRPr="00977635">
        <w:t xml:space="preserve">. If SRS is configured in the UL subband, the network may set the periodicity in a way that the SRS occasion </w:t>
      </w:r>
      <w:r w:rsidR="00AD4E01">
        <w:t xml:space="preserve">may </w:t>
      </w:r>
      <w:r w:rsidRPr="00977635">
        <w:t xml:space="preserve">occurs in both SBFD and non-SBFD symbols. </w:t>
      </w:r>
      <w:r w:rsidR="00AD4E01">
        <w:t>In other words, the SRS may</w:t>
      </w:r>
      <w:r w:rsidRPr="00977635">
        <w:t xml:space="preserve"> occur in SBFD symbols in a slot configured with SBFD operation, </w:t>
      </w:r>
      <w:r w:rsidR="00AD4E01">
        <w:t>and its periodic counterpart may</w:t>
      </w:r>
      <w:r w:rsidRPr="00977635">
        <w:t xml:space="preserve"> occur in non-SBFD symbols in a slot where legacy TDD operation is configured. In addition, a single instance of SRS in more than one symbol</w:t>
      </w:r>
      <w:r w:rsidR="00AD4E01">
        <w:t>s</w:t>
      </w:r>
      <w:r w:rsidRPr="00977635">
        <w:t xml:space="preserve"> may cross the boundary of SBFD symbols and occur in both SBFD and non-SBFD sym</w:t>
      </w:r>
      <w:r w:rsidR="00AD4E01">
        <w:t>bols within the same slot, and its</w:t>
      </w:r>
      <w:r w:rsidRPr="00977635">
        <w:t xml:space="preserve"> periodic counterpart </w:t>
      </w:r>
      <w:r w:rsidR="009563C7">
        <w:t xml:space="preserve">may occur in </w:t>
      </w:r>
      <w:r w:rsidRPr="00977635">
        <w:t>non-SBFD symbols.</w:t>
      </w:r>
    </w:p>
    <w:p w:rsidR="00977635" w:rsidRPr="00977635" w:rsidRDefault="00977635" w:rsidP="00977635">
      <w:pPr>
        <w:rPr>
          <w:rFonts w:eastAsia="Malgun Gothic"/>
        </w:rPr>
      </w:pPr>
      <w:r w:rsidRPr="00977635">
        <w:rPr>
          <w:rFonts w:eastAsia="Malgun Gothic"/>
        </w:rPr>
        <w:t xml:space="preserve">Due to the difference in bandwidth of SRS subbands and </w:t>
      </w:r>
      <w:r>
        <w:rPr>
          <w:rFonts w:eastAsia="Malgun Gothic"/>
        </w:rPr>
        <w:t xml:space="preserve">FH </w:t>
      </w:r>
      <w:r w:rsidRPr="00977635">
        <w:rPr>
          <w:rFonts w:eastAsia="Malgun Gothic"/>
        </w:rPr>
        <w:t>of SRS between SBFD and non-SBFD symbols, t</w:t>
      </w:r>
      <w:r w:rsidR="007F4445">
        <w:rPr>
          <w:rFonts w:eastAsia="Malgun Gothic"/>
        </w:rPr>
        <w:t>he existing configuration may not be</w:t>
      </w:r>
      <w:r w:rsidRPr="00977635">
        <w:rPr>
          <w:rFonts w:eastAsia="Malgun Gothic"/>
        </w:rPr>
        <w:t xml:space="preserve"> appropriate to configure SRS with periodicity that can occur in both SBFD and non-SBFD symbols. To address this issue, </w:t>
      </w:r>
      <w:r w:rsidR="007F4445">
        <w:rPr>
          <w:rFonts w:eastAsia="Malgun Gothic"/>
        </w:rPr>
        <w:t xml:space="preserve">there are two possible solutions as given below: </w:t>
      </w:r>
    </w:p>
    <w:p w:rsidR="00960F20" w:rsidRPr="00977635" w:rsidRDefault="00960F20" w:rsidP="00960F20">
      <w:pPr>
        <w:pStyle w:val="ListParagraph"/>
        <w:numPr>
          <w:ilvl w:val="0"/>
          <w:numId w:val="9"/>
        </w:numPr>
        <w:jc w:val="both"/>
        <w:rPr>
          <w:rFonts w:ascii="Times New Roman" w:eastAsia="Malgun Gothic" w:hAnsi="Times New Roman"/>
          <w:sz w:val="22"/>
          <w:szCs w:val="22"/>
        </w:rPr>
      </w:pPr>
      <w:r w:rsidRPr="00960F20">
        <w:rPr>
          <w:rFonts w:ascii="Times New Roman" w:eastAsia="Malgun Gothic" w:hAnsi="Times New Roman"/>
          <w:sz w:val="22"/>
          <w:szCs w:val="22"/>
        </w:rPr>
        <w:t>Two configurations of SRS can be considered, with one configuration associated with SBFD symbols and the other with non-SBFD symbols. Each configuration can have different SRS parameters (bandwidth and FH) based on the bandwidth of the UL subband and the DL BWP bandwidth, respectively</w:t>
      </w:r>
      <w:r>
        <w:rPr>
          <w:rFonts w:ascii="Times New Roman" w:eastAsia="Malgun Gothic" w:hAnsi="Times New Roman"/>
          <w:sz w:val="22"/>
          <w:szCs w:val="22"/>
        </w:rPr>
        <w:t xml:space="preserve">. </w:t>
      </w:r>
    </w:p>
    <w:p w:rsidR="00977635" w:rsidRPr="00977635" w:rsidRDefault="00960F20" w:rsidP="00960F20">
      <w:pPr>
        <w:pStyle w:val="ListParagraph"/>
        <w:numPr>
          <w:ilvl w:val="0"/>
          <w:numId w:val="9"/>
        </w:numPr>
        <w:jc w:val="both"/>
        <w:rPr>
          <w:rFonts w:ascii="Times New Roman" w:eastAsia="Malgun Gothic" w:hAnsi="Times New Roman"/>
          <w:sz w:val="22"/>
          <w:szCs w:val="22"/>
        </w:rPr>
      </w:pPr>
      <w:r>
        <w:rPr>
          <w:rFonts w:ascii="Times New Roman" w:eastAsia="Malgun Gothic" w:hAnsi="Times New Roman"/>
          <w:sz w:val="22"/>
          <w:szCs w:val="22"/>
        </w:rPr>
        <w:t xml:space="preserve">One </w:t>
      </w:r>
      <w:r w:rsidR="00977635" w:rsidRPr="00977635">
        <w:rPr>
          <w:rFonts w:ascii="Times New Roman" w:eastAsia="Malgun Gothic" w:hAnsi="Times New Roman"/>
          <w:sz w:val="22"/>
          <w:szCs w:val="22"/>
        </w:rPr>
        <w:t>configuration of SRS</w:t>
      </w:r>
      <w:r>
        <w:rPr>
          <w:rFonts w:ascii="Times New Roman" w:eastAsia="Malgun Gothic" w:hAnsi="Times New Roman"/>
          <w:sz w:val="22"/>
          <w:szCs w:val="22"/>
        </w:rPr>
        <w:t xml:space="preserve"> can be considered,</w:t>
      </w:r>
      <w:r w:rsidR="00977635" w:rsidRPr="00977635">
        <w:rPr>
          <w:rFonts w:ascii="Times New Roman" w:eastAsia="Malgun Gothic" w:hAnsi="Times New Roman"/>
          <w:sz w:val="22"/>
          <w:szCs w:val="22"/>
        </w:rPr>
        <w:t xml:space="preserve"> that is associated with SRS occurring in both SBFD symbols and non-SBFD symbols. However, this configuration may include two sub-configurations of SRS, where one sub-configuration is associated with SRS occurring in SBFD symbols, and the second sub-configuration is associated with the SRS occurring in non-SBFD symbols.</w:t>
      </w:r>
    </w:p>
    <w:p w:rsidR="00977635" w:rsidRPr="00D5051F" w:rsidRDefault="00977635" w:rsidP="00641F8D"/>
    <w:p w:rsidR="00977635" w:rsidRPr="00B42BF0" w:rsidRDefault="00977635" w:rsidP="00803554">
      <w:pPr>
        <w:rPr>
          <w:b/>
          <w:i/>
          <w:color w:val="24292F"/>
        </w:rPr>
      </w:pPr>
      <w:r w:rsidRPr="00B42BF0">
        <w:rPr>
          <w:b/>
          <w:i/>
        </w:rPr>
        <w:t>Observation</w:t>
      </w:r>
      <w:r w:rsidR="007B1E5A">
        <w:rPr>
          <w:b/>
          <w:i/>
        </w:rPr>
        <w:t xml:space="preserve"> 8</w:t>
      </w:r>
      <w:r w:rsidRPr="00B42BF0">
        <w:rPr>
          <w:b/>
          <w:i/>
        </w:rPr>
        <w:t xml:space="preserve">: </w:t>
      </w:r>
      <w:r w:rsidRPr="00B42BF0">
        <w:rPr>
          <w:b/>
          <w:i/>
          <w:color w:val="24292F"/>
        </w:rPr>
        <w:t xml:space="preserve">The existing configuration </w:t>
      </w:r>
      <w:r w:rsidR="0076503B">
        <w:rPr>
          <w:b/>
          <w:i/>
          <w:color w:val="24292F"/>
        </w:rPr>
        <w:t xml:space="preserve">of SRS may not be </w:t>
      </w:r>
      <w:r w:rsidRPr="00B42BF0">
        <w:rPr>
          <w:b/>
          <w:i/>
          <w:color w:val="24292F"/>
        </w:rPr>
        <w:t xml:space="preserve">suitable for configuring SRS with periodicity that can occur in both SBFD and non-SBFD symbols due to the difference in bandwidth of SRS subbands and FH of SRS. </w:t>
      </w:r>
    </w:p>
    <w:p w:rsidR="00977635" w:rsidRDefault="00977635" w:rsidP="00803554">
      <w:pPr>
        <w:rPr>
          <w:b/>
        </w:rPr>
      </w:pPr>
      <w:r>
        <w:rPr>
          <w:b/>
        </w:rPr>
        <w:t>Proposal</w:t>
      </w:r>
      <w:r w:rsidR="007B1E5A">
        <w:rPr>
          <w:b/>
        </w:rPr>
        <w:t xml:space="preserve"> 5</w:t>
      </w:r>
      <w:r>
        <w:rPr>
          <w:b/>
        </w:rPr>
        <w:t xml:space="preserve">: </w:t>
      </w:r>
      <w:r w:rsidR="00B42BF0">
        <w:rPr>
          <w:b/>
        </w:rPr>
        <w:t>Study the following options for configuration of SRS in SBFD and non-SBFD symbols</w:t>
      </w:r>
      <w:r w:rsidR="0076503B">
        <w:rPr>
          <w:b/>
        </w:rPr>
        <w:t>:</w:t>
      </w:r>
    </w:p>
    <w:p w:rsidR="00B42BF0" w:rsidRPr="00B42BF0" w:rsidRDefault="00B42BF0" w:rsidP="000E125A">
      <w:pPr>
        <w:pStyle w:val="ListParagraph"/>
        <w:numPr>
          <w:ilvl w:val="0"/>
          <w:numId w:val="10"/>
        </w:numPr>
        <w:rPr>
          <w:rFonts w:ascii="Times New Roman" w:hAnsi="Times New Roman"/>
          <w:b/>
          <w:sz w:val="22"/>
          <w:szCs w:val="22"/>
        </w:rPr>
      </w:pPr>
      <w:r w:rsidRPr="00B42BF0">
        <w:rPr>
          <w:rFonts w:ascii="Times New Roman" w:hAnsi="Times New Roman"/>
          <w:b/>
          <w:sz w:val="22"/>
          <w:szCs w:val="22"/>
        </w:rPr>
        <w:t xml:space="preserve">Two configurations of SRS, one for </w:t>
      </w:r>
      <w:r w:rsidR="00B3776E">
        <w:rPr>
          <w:rFonts w:ascii="Times New Roman" w:hAnsi="Times New Roman"/>
          <w:b/>
          <w:sz w:val="22"/>
          <w:szCs w:val="22"/>
        </w:rPr>
        <w:t xml:space="preserve">SRS in </w:t>
      </w:r>
      <w:r w:rsidRPr="00B42BF0">
        <w:rPr>
          <w:rFonts w:ascii="Times New Roman" w:hAnsi="Times New Roman"/>
          <w:b/>
          <w:sz w:val="22"/>
          <w:szCs w:val="22"/>
        </w:rPr>
        <w:t xml:space="preserve">SBFD symbols and the other for </w:t>
      </w:r>
      <w:r w:rsidR="00B3776E">
        <w:rPr>
          <w:rFonts w:ascii="Times New Roman" w:hAnsi="Times New Roman"/>
          <w:b/>
          <w:sz w:val="22"/>
          <w:szCs w:val="22"/>
        </w:rPr>
        <w:t>SRS in non-SBFD symbols</w:t>
      </w:r>
      <w:r w:rsidR="00F66C3D">
        <w:rPr>
          <w:rFonts w:ascii="Times New Roman" w:hAnsi="Times New Roman"/>
          <w:b/>
          <w:sz w:val="22"/>
          <w:szCs w:val="22"/>
        </w:rPr>
        <w:t>.</w:t>
      </w:r>
    </w:p>
    <w:p w:rsidR="00B42BF0" w:rsidRDefault="00B42BF0" w:rsidP="000E125A">
      <w:pPr>
        <w:pStyle w:val="ListParagraph"/>
        <w:numPr>
          <w:ilvl w:val="0"/>
          <w:numId w:val="10"/>
        </w:numPr>
        <w:rPr>
          <w:rFonts w:ascii="Times New Roman" w:hAnsi="Times New Roman"/>
          <w:b/>
          <w:sz w:val="22"/>
          <w:szCs w:val="22"/>
        </w:rPr>
      </w:pPr>
      <w:r w:rsidRPr="00B42BF0">
        <w:rPr>
          <w:rFonts w:ascii="Times New Roman" w:hAnsi="Times New Roman"/>
          <w:b/>
          <w:sz w:val="22"/>
          <w:szCs w:val="22"/>
        </w:rPr>
        <w:t>One configuration of SRS with separate parameters for SRS in SBFD</w:t>
      </w:r>
      <w:r w:rsidR="00F66C3D">
        <w:rPr>
          <w:rFonts w:ascii="Times New Roman" w:hAnsi="Times New Roman"/>
          <w:b/>
          <w:sz w:val="22"/>
          <w:szCs w:val="22"/>
        </w:rPr>
        <w:t xml:space="preserve"> symbols</w:t>
      </w:r>
      <w:r w:rsidRPr="00B42BF0">
        <w:rPr>
          <w:rFonts w:ascii="Times New Roman" w:hAnsi="Times New Roman"/>
          <w:b/>
          <w:sz w:val="22"/>
          <w:szCs w:val="22"/>
        </w:rPr>
        <w:t xml:space="preserve"> and non-SBFD symbols</w:t>
      </w:r>
      <w:r w:rsidR="00F66C3D">
        <w:rPr>
          <w:rFonts w:ascii="Times New Roman" w:hAnsi="Times New Roman"/>
          <w:b/>
          <w:sz w:val="22"/>
          <w:szCs w:val="22"/>
        </w:rPr>
        <w:t xml:space="preserve">. </w:t>
      </w:r>
    </w:p>
    <w:p w:rsidR="00D40370" w:rsidRDefault="00D40370" w:rsidP="00D40370">
      <w:pPr>
        <w:rPr>
          <w:b/>
        </w:rPr>
      </w:pPr>
    </w:p>
    <w:p w:rsidR="007569EF" w:rsidRDefault="00D40370" w:rsidP="007569EF">
      <w:pPr>
        <w:pStyle w:val="Heading1"/>
        <w:rPr>
          <w:lang w:eastAsia="zh-CN"/>
        </w:rPr>
      </w:pPr>
      <w:r>
        <w:rPr>
          <w:lang w:eastAsia="zh-CN"/>
        </w:rPr>
        <w:t>Interleav</w:t>
      </w:r>
      <w:r w:rsidR="00E350AA">
        <w:rPr>
          <w:lang w:eastAsia="zh-CN"/>
        </w:rPr>
        <w:t>ed VRB-to-PRB mapping</w:t>
      </w:r>
      <w:r>
        <w:rPr>
          <w:lang w:eastAsia="zh-CN"/>
        </w:rPr>
        <w:t xml:space="preserve"> in SBFD symbols </w:t>
      </w:r>
    </w:p>
    <w:p w:rsidR="007569EF" w:rsidRDefault="007569EF" w:rsidP="00914C21">
      <w:pPr>
        <w:spacing w:before="80"/>
      </w:pPr>
      <w:r w:rsidRPr="007569EF">
        <w:t xml:space="preserve">Interleaved VRB-to-PRB mapping is used to allocate modulated and pre-coded symbols to PRBs in a non-sequential and dispersed manner, which helps resist frequency selective fading during PDSCH transmission. The current specification uses 2 and 4 RBs bundles for this mapping. However, if interleaved VRB-to-PRB mapping is enabled for PDSCH transmission in SBFD symbols, there is a high possibility that the VRB bundle may be mapped to a PRB bundle in the UL subband, causing an overlap with its frequency resources. This could potentially disturb PDSCH transmission and cause collisions with PUSCH transmission in the same frequency resources. Therefore, we propose </w:t>
      </w:r>
      <w:r>
        <w:t xml:space="preserve">to </w:t>
      </w:r>
      <w:r w:rsidR="00D177F8">
        <w:t>further study the</w:t>
      </w:r>
      <w:r w:rsidRPr="007569EF">
        <w:t xml:space="preserve"> interleaved VRB-to-PRB mapping</w:t>
      </w:r>
      <w:r>
        <w:t xml:space="preserve"> for PDSCH transmission</w:t>
      </w:r>
      <w:r w:rsidRPr="007569EF">
        <w:t xml:space="preserve"> in SBFD symbols.</w:t>
      </w:r>
    </w:p>
    <w:p w:rsidR="007569EF" w:rsidRPr="007569EF" w:rsidRDefault="00881CD6" w:rsidP="00914C21">
      <w:pPr>
        <w:spacing w:before="80"/>
        <w:rPr>
          <w:b/>
          <w:i/>
        </w:rPr>
      </w:pPr>
      <w:r w:rsidRPr="007569EF">
        <w:rPr>
          <w:b/>
          <w:i/>
        </w:rPr>
        <w:t>Observation</w:t>
      </w:r>
      <w:r>
        <w:rPr>
          <w:b/>
          <w:i/>
        </w:rPr>
        <w:t xml:space="preserve"> 9</w:t>
      </w:r>
      <w:r w:rsidR="007569EF" w:rsidRPr="007569EF">
        <w:rPr>
          <w:b/>
          <w:i/>
        </w:rPr>
        <w:t xml:space="preserve">: </w:t>
      </w:r>
      <w:r w:rsidR="007569EF" w:rsidRPr="007569EF">
        <w:rPr>
          <w:b/>
          <w:i/>
          <w:color w:val="24292F"/>
          <w:sz w:val="21"/>
          <w:szCs w:val="21"/>
        </w:rPr>
        <w:t>Interleaved VRB-to-PRB mapping for PDSCH transmission in SBFD symbols may result in VRB mapping to PRBs that are assigned to the UL subband.</w:t>
      </w:r>
    </w:p>
    <w:p w:rsidR="00D40370" w:rsidRPr="00914C21" w:rsidRDefault="00914C21" w:rsidP="00D40370">
      <w:pPr>
        <w:rPr>
          <w:b/>
          <w:lang w:eastAsia="zh-CN"/>
        </w:rPr>
      </w:pPr>
      <w:r w:rsidRPr="00914C21">
        <w:rPr>
          <w:b/>
          <w:lang w:eastAsia="zh-CN"/>
        </w:rPr>
        <w:t>Proposal</w:t>
      </w:r>
      <w:r w:rsidR="00881CD6">
        <w:rPr>
          <w:b/>
          <w:lang w:eastAsia="zh-CN"/>
        </w:rPr>
        <w:t xml:space="preserve"> 6</w:t>
      </w:r>
      <w:r w:rsidRPr="00914C21">
        <w:rPr>
          <w:b/>
          <w:lang w:eastAsia="zh-CN"/>
        </w:rPr>
        <w:t xml:space="preserve">: RAN1 to study </w:t>
      </w:r>
      <w:r w:rsidR="00CC0A17">
        <w:rPr>
          <w:b/>
          <w:lang w:eastAsia="zh-CN"/>
        </w:rPr>
        <w:t xml:space="preserve">interleaved </w:t>
      </w:r>
      <w:r w:rsidRPr="00914C21">
        <w:rPr>
          <w:b/>
          <w:lang w:eastAsia="zh-CN"/>
        </w:rPr>
        <w:t xml:space="preserve">VRB-to-PRB in SBFD symbols. </w:t>
      </w:r>
    </w:p>
    <w:p w:rsidR="003D519B" w:rsidRPr="003D519B" w:rsidRDefault="00C955AB" w:rsidP="003D519B">
      <w:pPr>
        <w:pStyle w:val="Heading1"/>
        <w:rPr>
          <w:lang w:eastAsia="zh-CN"/>
        </w:rPr>
      </w:pPr>
      <w:r>
        <w:rPr>
          <w:lang w:eastAsia="zh-CN"/>
        </w:rPr>
        <w:t>Remaining issues of SBFD operation</w:t>
      </w:r>
    </w:p>
    <w:p w:rsidR="00AB2FAB" w:rsidRPr="00A371BD" w:rsidRDefault="00A371BD" w:rsidP="00A371BD">
      <w:pPr>
        <w:pStyle w:val="Heading2"/>
        <w:tabs>
          <w:tab w:val="clear" w:pos="666"/>
        </w:tabs>
      </w:pPr>
      <w:r>
        <w:t>Granularity of SBFD operation in time domain</w:t>
      </w:r>
    </w:p>
    <w:p w:rsidR="003E5AA5" w:rsidRPr="00FF043D" w:rsidRDefault="00BA4FC0" w:rsidP="00FF043D">
      <w:pPr>
        <w:pStyle w:val="NormalWeb"/>
        <w:spacing w:before="0" w:beforeAutospacing="0" w:after="240" w:afterAutospacing="0"/>
        <w:jc w:val="both"/>
        <w:rPr>
          <w:rFonts w:eastAsia="SimSun"/>
          <w:sz w:val="22"/>
          <w:szCs w:val="22"/>
        </w:rPr>
      </w:pPr>
      <w:r w:rsidRPr="00FF043D">
        <w:rPr>
          <w:bCs/>
          <w:sz w:val="22"/>
          <w:szCs w:val="22"/>
        </w:rPr>
        <w:t>R</w:t>
      </w:r>
      <w:r w:rsidR="00700835" w:rsidRPr="00FF043D">
        <w:rPr>
          <w:bCs/>
          <w:sz w:val="22"/>
          <w:szCs w:val="22"/>
        </w:rPr>
        <w:t>egarding the granularity of SBFD operation in time domain</w:t>
      </w:r>
      <w:r w:rsidRPr="00FF043D">
        <w:rPr>
          <w:bCs/>
          <w:sz w:val="22"/>
          <w:szCs w:val="22"/>
        </w:rPr>
        <w:t>, a</w:t>
      </w:r>
      <w:r w:rsidR="009C022F" w:rsidRPr="00FF043D">
        <w:rPr>
          <w:bCs/>
          <w:sz w:val="22"/>
          <w:szCs w:val="22"/>
        </w:rPr>
        <w:t xml:space="preserve">n agreement was achieved in Rel-18 which highlight the benefits of a slot </w:t>
      </w:r>
      <w:r w:rsidR="00686253" w:rsidRPr="00FF043D">
        <w:rPr>
          <w:bCs/>
          <w:sz w:val="22"/>
          <w:szCs w:val="22"/>
        </w:rPr>
        <w:t xml:space="preserve">consisting of </w:t>
      </w:r>
      <w:r w:rsidR="009C022F" w:rsidRPr="00FF043D">
        <w:rPr>
          <w:bCs/>
          <w:sz w:val="22"/>
          <w:szCs w:val="22"/>
        </w:rPr>
        <w:t>both SBFD and non-SBFD</w:t>
      </w:r>
      <w:r w:rsidR="00751D0A">
        <w:rPr>
          <w:bCs/>
          <w:sz w:val="22"/>
          <w:szCs w:val="22"/>
        </w:rPr>
        <w:t xml:space="preserve"> symbols,</w:t>
      </w:r>
      <w:r w:rsidR="009C022F" w:rsidRPr="00FF043D">
        <w:rPr>
          <w:bCs/>
          <w:sz w:val="22"/>
          <w:szCs w:val="22"/>
        </w:rPr>
        <w:t xml:space="preserve"> such as scheduling flexibility, </w:t>
      </w:r>
      <w:r w:rsidR="00C453D7" w:rsidRPr="00FF043D">
        <w:rPr>
          <w:bCs/>
          <w:sz w:val="22"/>
          <w:szCs w:val="22"/>
        </w:rPr>
        <w:t>compatibly</w:t>
      </w:r>
      <w:r w:rsidR="009C022F" w:rsidRPr="00FF043D">
        <w:rPr>
          <w:bCs/>
          <w:sz w:val="22"/>
          <w:szCs w:val="22"/>
        </w:rPr>
        <w:t xml:space="preserve"> with legacy TDD DL/UL configuration. However, it was not decided whether or not a slot can consist of both SBFD a</w:t>
      </w:r>
      <w:r w:rsidR="00C9304C">
        <w:rPr>
          <w:bCs/>
          <w:sz w:val="22"/>
          <w:szCs w:val="22"/>
        </w:rPr>
        <w:t>nd non-SBFD symbols. W</w:t>
      </w:r>
      <w:r w:rsidR="00686253" w:rsidRPr="00FF043D">
        <w:rPr>
          <w:rFonts w:eastAsia="SimSun"/>
          <w:sz w:val="22"/>
          <w:szCs w:val="22"/>
        </w:rPr>
        <w:t>e s</w:t>
      </w:r>
      <w:r w:rsidR="00751D0A">
        <w:rPr>
          <w:rFonts w:eastAsia="SimSun"/>
          <w:sz w:val="22"/>
          <w:szCs w:val="22"/>
        </w:rPr>
        <w:t xml:space="preserve">upport the idea that a slot </w:t>
      </w:r>
      <w:r w:rsidR="00686253" w:rsidRPr="00FF043D">
        <w:rPr>
          <w:rFonts w:eastAsia="SimSun"/>
          <w:sz w:val="22"/>
          <w:szCs w:val="22"/>
        </w:rPr>
        <w:t>contain</w:t>
      </w:r>
      <w:r w:rsidR="00751D0A">
        <w:rPr>
          <w:rFonts w:eastAsia="SimSun"/>
          <w:sz w:val="22"/>
          <w:szCs w:val="22"/>
        </w:rPr>
        <w:t>s</w:t>
      </w:r>
      <w:r w:rsidR="00686253" w:rsidRPr="00FF043D">
        <w:rPr>
          <w:rFonts w:eastAsia="SimSun"/>
          <w:sz w:val="22"/>
          <w:szCs w:val="22"/>
        </w:rPr>
        <w:t xml:space="preserve"> both SBFD and non-SBFD symbols. However, to avoid </w:t>
      </w:r>
      <w:r w:rsidR="00FF043D" w:rsidRPr="00FF043D">
        <w:rPr>
          <w:rFonts w:eastAsia="SimSun"/>
          <w:sz w:val="22"/>
          <w:szCs w:val="22"/>
        </w:rPr>
        <w:t xml:space="preserve">maximum </w:t>
      </w:r>
      <w:r w:rsidR="00686253" w:rsidRPr="00FF043D">
        <w:rPr>
          <w:rFonts w:eastAsia="SimSun"/>
          <w:sz w:val="22"/>
          <w:szCs w:val="22"/>
        </w:rPr>
        <w:t>switching between SBFD and non-SBFD operations within a slot</w:t>
      </w:r>
      <w:r w:rsidR="00FF043D" w:rsidRPr="00FF043D">
        <w:rPr>
          <w:rFonts w:eastAsia="SimSun"/>
          <w:sz w:val="22"/>
          <w:szCs w:val="22"/>
        </w:rPr>
        <w:t xml:space="preserve">, </w:t>
      </w:r>
      <w:r w:rsidR="00686253" w:rsidRPr="00FF043D">
        <w:rPr>
          <w:rFonts w:eastAsia="SimSun"/>
          <w:sz w:val="22"/>
          <w:szCs w:val="22"/>
        </w:rPr>
        <w:t>consecutive SBFD symbols within a time slot should be considered.</w:t>
      </w:r>
    </w:p>
    <w:p w:rsidR="00C67F62" w:rsidRPr="00FF043D" w:rsidRDefault="00686253" w:rsidP="00FF043D">
      <w:pPr>
        <w:spacing w:before="60"/>
      </w:pPr>
      <w:r w:rsidRPr="00686253">
        <w:t>Furthermore, in Rel-18 it was agreed that maximum of two transition points, including one from non-SBFD symbols to SBFD symbols and one from SBFD symbols to non-SBFD symbols, should be considered within a TDD UL/DL pattern period. However, this may limit the gNB's flexibility to switch between non-SBFD and SBFD operations over a long period. Therefore, it may be more appropriate to specify the maximum number of transition points between non-SBFD and SBFD symbols on a per-slot basis rather than for a longer TDD UL/DL period. This would allow for more flexibility in switching between non-SBFD and SBFD operations.</w:t>
      </w:r>
    </w:p>
    <w:p w:rsidR="00FF043D" w:rsidRPr="00FF043D" w:rsidRDefault="00FF043D" w:rsidP="00FF043D">
      <w:pPr>
        <w:spacing w:before="60" w:line="288" w:lineRule="auto"/>
        <w:rPr>
          <w:b/>
          <w:i/>
        </w:rPr>
      </w:pPr>
      <w:r w:rsidRPr="00062823">
        <w:rPr>
          <w:b/>
          <w:i/>
        </w:rPr>
        <w:t>Observation</w:t>
      </w:r>
      <w:r w:rsidR="00881CD6">
        <w:rPr>
          <w:b/>
          <w:i/>
        </w:rPr>
        <w:t xml:space="preserve"> 10</w:t>
      </w:r>
      <w:r>
        <w:rPr>
          <w:b/>
          <w:i/>
        </w:rPr>
        <w:t xml:space="preserve">: The maximum number of two transition points </w:t>
      </w:r>
      <w:r w:rsidRPr="00062823">
        <w:rPr>
          <w:b/>
          <w:i/>
        </w:rPr>
        <w:t>between non-SBFD and SBF</w:t>
      </w:r>
      <w:r>
        <w:rPr>
          <w:b/>
          <w:i/>
        </w:rPr>
        <w:t xml:space="preserve">D symbols for a longer period of </w:t>
      </w:r>
      <w:r w:rsidRPr="00062823">
        <w:rPr>
          <w:b/>
          <w:i/>
        </w:rPr>
        <w:t xml:space="preserve">TDD UL/DL (up to 10ms) reduces the gNB flexibility. </w:t>
      </w:r>
    </w:p>
    <w:p w:rsidR="008A0B94" w:rsidRPr="00686253" w:rsidRDefault="00C67F62" w:rsidP="00686253">
      <w:pPr>
        <w:rPr>
          <w:b/>
        </w:rPr>
      </w:pPr>
      <w:r w:rsidRPr="004C7892">
        <w:rPr>
          <w:b/>
        </w:rPr>
        <w:t>Proposal</w:t>
      </w:r>
      <w:r w:rsidR="00881CD6">
        <w:rPr>
          <w:b/>
        </w:rPr>
        <w:t xml:space="preserve"> 7</w:t>
      </w:r>
      <w:r w:rsidRPr="004C7892">
        <w:rPr>
          <w:b/>
        </w:rPr>
        <w:t xml:space="preserve">: </w:t>
      </w:r>
      <w:r w:rsidR="00316194">
        <w:rPr>
          <w:b/>
        </w:rPr>
        <w:t xml:space="preserve">Consider </w:t>
      </w:r>
      <w:r w:rsidR="00537088">
        <w:rPr>
          <w:b/>
        </w:rPr>
        <w:t>both SBFD and non-</w:t>
      </w:r>
      <w:r w:rsidRPr="004C7892">
        <w:rPr>
          <w:b/>
        </w:rPr>
        <w:t>SBFD</w:t>
      </w:r>
      <w:r>
        <w:rPr>
          <w:b/>
        </w:rPr>
        <w:t xml:space="preserve"> symbols</w:t>
      </w:r>
      <w:r w:rsidR="00316194">
        <w:rPr>
          <w:b/>
        </w:rPr>
        <w:t xml:space="preserve"> in a slot, where</w:t>
      </w:r>
      <w:r w:rsidR="0030307D">
        <w:rPr>
          <w:b/>
        </w:rPr>
        <w:t xml:space="preserve"> the</w:t>
      </w:r>
      <w:r w:rsidRPr="004C7892">
        <w:rPr>
          <w:b/>
        </w:rPr>
        <w:t xml:space="preserve"> SB</w:t>
      </w:r>
      <w:r>
        <w:rPr>
          <w:b/>
        </w:rPr>
        <w:t xml:space="preserve">FD symbols </w:t>
      </w:r>
      <w:r w:rsidR="00316194">
        <w:rPr>
          <w:b/>
        </w:rPr>
        <w:t xml:space="preserve">are </w:t>
      </w:r>
      <w:r w:rsidR="00316194" w:rsidRPr="004C7892">
        <w:rPr>
          <w:b/>
        </w:rPr>
        <w:t>contiguous</w:t>
      </w:r>
      <w:r w:rsidR="00316194">
        <w:rPr>
          <w:b/>
        </w:rPr>
        <w:t xml:space="preserve"> </w:t>
      </w:r>
      <w:r w:rsidR="003C0D8F">
        <w:rPr>
          <w:b/>
        </w:rPr>
        <w:t>in a</w:t>
      </w:r>
      <w:r w:rsidR="00316194">
        <w:rPr>
          <w:b/>
        </w:rPr>
        <w:t xml:space="preserve"> slot</w:t>
      </w:r>
      <w:r w:rsidR="00F64153">
        <w:rPr>
          <w:b/>
        </w:rPr>
        <w:t xml:space="preserve">. </w:t>
      </w:r>
    </w:p>
    <w:p w:rsidR="00A816B0" w:rsidRPr="00734E88" w:rsidRDefault="00062823" w:rsidP="00734E88">
      <w:pPr>
        <w:spacing w:before="60" w:line="288" w:lineRule="auto"/>
        <w:rPr>
          <w:b/>
        </w:rPr>
      </w:pPr>
      <w:r>
        <w:rPr>
          <w:b/>
        </w:rPr>
        <w:t>Proposal</w:t>
      </w:r>
      <w:r w:rsidR="00881CD6">
        <w:rPr>
          <w:b/>
        </w:rPr>
        <w:t xml:space="preserve"> 8</w:t>
      </w:r>
      <w:r>
        <w:rPr>
          <w:b/>
        </w:rPr>
        <w:t>: The maximum</w:t>
      </w:r>
      <w:r w:rsidR="008A0B94" w:rsidRPr="008A0B94">
        <w:rPr>
          <w:b/>
        </w:rPr>
        <w:t xml:space="preserve"> of </w:t>
      </w:r>
      <w:r>
        <w:rPr>
          <w:b/>
        </w:rPr>
        <w:t xml:space="preserve">two </w:t>
      </w:r>
      <w:r w:rsidR="008A0B94" w:rsidRPr="008A0B94">
        <w:rPr>
          <w:b/>
        </w:rPr>
        <w:t xml:space="preserve">transition points between non-SBFD and SBFD symbols is within a single slot. </w:t>
      </w:r>
    </w:p>
    <w:p w:rsidR="00C4357D" w:rsidRPr="000C6F75" w:rsidRDefault="000C6F75" w:rsidP="00121E87">
      <w:pPr>
        <w:pStyle w:val="Heading2"/>
        <w:tabs>
          <w:tab w:val="clear" w:pos="666"/>
        </w:tabs>
      </w:pPr>
      <w:r w:rsidRPr="000C6F75">
        <w:rPr>
          <w:rFonts w:hint="eastAsia"/>
        </w:rPr>
        <w:t>Transition time</w:t>
      </w:r>
      <w:r w:rsidR="000545C8">
        <w:t xml:space="preserve"> </w:t>
      </w:r>
      <w:r w:rsidRPr="000C6F75">
        <w:rPr>
          <w:rFonts w:hint="eastAsia"/>
        </w:rPr>
        <w:t>between SBFD and non-SBFD</w:t>
      </w:r>
      <w:r w:rsidRPr="000C6F75">
        <w:t xml:space="preserve"> symbols</w:t>
      </w:r>
    </w:p>
    <w:p w:rsidR="00987678" w:rsidRPr="00C4357D" w:rsidRDefault="00987678" w:rsidP="00C4357D">
      <w:pPr>
        <w:rPr>
          <w:szCs w:val="20"/>
          <w:lang w:eastAsia="x-none"/>
        </w:rPr>
      </w:pPr>
      <w:r w:rsidRPr="00FF58B9">
        <w:rPr>
          <w:szCs w:val="20"/>
          <w:lang w:eastAsia="x-none"/>
        </w:rPr>
        <w:t>A transition time may only be necessary on the gNB side when switching between SBFD and non-SBFD symbols. This is because the gNB may need to switch some antenna ports or RF chains from DL transmission to UL reception when switching from non-SBFD to SBFD operation. Therefore, a proper Rx-Tx and Tx-Rx switching time needs to be designed.</w:t>
      </w:r>
    </w:p>
    <w:p w:rsidR="006665AB" w:rsidRDefault="00C4357D" w:rsidP="00C4357D">
      <w:pPr>
        <w:rPr>
          <w:szCs w:val="20"/>
          <w:lang w:eastAsia="x-none"/>
        </w:rPr>
      </w:pPr>
      <w:r w:rsidRPr="00C4357D">
        <w:rPr>
          <w:szCs w:val="20"/>
          <w:lang w:eastAsia="x-none"/>
        </w:rPr>
        <w:t xml:space="preserve">One simple solution </w:t>
      </w:r>
      <w:r>
        <w:rPr>
          <w:szCs w:val="20"/>
          <w:lang w:eastAsia="x-none"/>
        </w:rPr>
        <w:t xml:space="preserve">could be based on reserving </w:t>
      </w:r>
      <w:r w:rsidRPr="00C4357D">
        <w:rPr>
          <w:szCs w:val="20"/>
          <w:lang w:eastAsia="x-none"/>
        </w:rPr>
        <w:t>a set of antenna ports/RF chains for Tx transmission and another set for Rx reception for a TDD UL/DL time period in which SB</w:t>
      </w:r>
      <w:r>
        <w:rPr>
          <w:szCs w:val="20"/>
          <w:lang w:eastAsia="x-none"/>
        </w:rPr>
        <w:t>FD operation is configured</w:t>
      </w:r>
      <w:r w:rsidR="00E735CD">
        <w:rPr>
          <w:szCs w:val="20"/>
          <w:lang w:eastAsia="x-none"/>
        </w:rPr>
        <w:t xml:space="preserve">. </w:t>
      </w:r>
      <w:r w:rsidRPr="00C4357D">
        <w:rPr>
          <w:szCs w:val="20"/>
          <w:lang w:eastAsia="x-none"/>
        </w:rPr>
        <w:t>This may eliminate the need for transition time to switch between non-SBFD and SBFD operation</w:t>
      </w:r>
      <w:r w:rsidR="00992388">
        <w:rPr>
          <w:szCs w:val="20"/>
          <w:lang w:eastAsia="x-none"/>
        </w:rPr>
        <w:t xml:space="preserve"> in both semi static SBFD and dynamic SBFD</w:t>
      </w:r>
      <w:r w:rsidRPr="00C4357D">
        <w:rPr>
          <w:szCs w:val="20"/>
          <w:lang w:eastAsia="x-none"/>
        </w:rPr>
        <w:t xml:space="preserve">. </w:t>
      </w:r>
      <w:r w:rsidR="00D05C09" w:rsidRPr="00D05C09">
        <w:rPr>
          <w:szCs w:val="20"/>
          <w:lang w:eastAsia="x-none"/>
        </w:rPr>
        <w:t>An alternative solution could be to use the TA offset as a transition time between non-SBFD and SBFD operation and reuse the N_Tx-Rx time of</w:t>
      </w:r>
      <w:r w:rsidR="00987678">
        <w:rPr>
          <w:szCs w:val="20"/>
          <w:lang w:eastAsia="x-none"/>
        </w:rPr>
        <w:t xml:space="preserve"> TS 38.211, as given in Table 1</w:t>
      </w:r>
      <w:r w:rsidR="00D05C09" w:rsidRPr="00D05C09">
        <w:rPr>
          <w:szCs w:val="20"/>
          <w:lang w:eastAsia="x-none"/>
        </w:rPr>
        <w:t xml:space="preserve"> between SBFD and non-SBFD opera</w:t>
      </w:r>
      <w:r w:rsidR="00987678">
        <w:rPr>
          <w:szCs w:val="20"/>
          <w:lang w:eastAsia="x-none"/>
        </w:rPr>
        <w:t>tion, as illustrated in Figure 3</w:t>
      </w:r>
      <w:r w:rsidR="00D05C09" w:rsidRPr="00D05C09">
        <w:rPr>
          <w:szCs w:val="20"/>
          <w:lang w:eastAsia="x-none"/>
        </w:rPr>
        <w:t>. In case the TA offset is considered as zero for transmission in UL subband, the transition time can be based on the gNB implementation, and the gNB could utilize the UL transmission delay as a transition time between non-SBFD operations to SBFD operation at th</w:t>
      </w:r>
      <w:r w:rsidR="000254F4">
        <w:rPr>
          <w:szCs w:val="20"/>
          <w:lang w:eastAsia="x-none"/>
        </w:rPr>
        <w:t>e gNB side, as shown in Figure 4</w:t>
      </w:r>
      <w:r w:rsidR="00D05C09" w:rsidRPr="00D05C09">
        <w:rPr>
          <w:szCs w:val="20"/>
          <w:lang w:eastAsia="x-none"/>
        </w:rPr>
        <w:t>.</w:t>
      </w:r>
    </w:p>
    <w:p w:rsidR="00561343" w:rsidRDefault="00C329B5" w:rsidP="00561343">
      <w:pPr>
        <w:pStyle w:val="Caption"/>
      </w:pPr>
      <w:r>
        <w:t>Table 1</w:t>
      </w:r>
      <w:r w:rsidR="00561343">
        <w:t xml:space="preserve"> </w:t>
      </w:r>
      <w:r w:rsidR="00561343" w:rsidRPr="00561343">
        <w:t>38.211 - Table 4.3.2-3: Transition time NRx-Tx and NTx-Rx</w:t>
      </w:r>
    </w:p>
    <w:tbl>
      <w:tblPr>
        <w:tblStyle w:val="TableGrid7"/>
        <w:tblW w:w="4248" w:type="dxa"/>
        <w:jc w:val="center"/>
        <w:tblLayout w:type="fixed"/>
        <w:tblLook w:val="04A0" w:firstRow="1" w:lastRow="0" w:firstColumn="1" w:lastColumn="0" w:noHBand="0" w:noVBand="1"/>
      </w:tblPr>
      <w:tblGrid>
        <w:gridCol w:w="2122"/>
        <w:gridCol w:w="1134"/>
        <w:gridCol w:w="992"/>
      </w:tblGrid>
      <w:tr w:rsidR="00561343" w:rsidTr="00F20A74">
        <w:trPr>
          <w:jc w:val="center"/>
        </w:trPr>
        <w:tc>
          <w:tcPr>
            <w:tcW w:w="2122" w:type="dxa"/>
          </w:tcPr>
          <w:p w:rsidR="00561343" w:rsidRDefault="00561343" w:rsidP="00F20A74">
            <w:pPr>
              <w:keepNext/>
              <w:keepLines/>
              <w:jc w:val="center"/>
              <w:rPr>
                <w:rFonts w:ascii="Arial" w:hAnsi="Arial"/>
                <w:b/>
                <w:sz w:val="18"/>
              </w:rPr>
            </w:pPr>
            <w:r>
              <w:rPr>
                <w:rFonts w:ascii="Arial" w:hAnsi="Arial"/>
                <w:b/>
                <w:sz w:val="18"/>
              </w:rPr>
              <w:t>Transition time</w:t>
            </w:r>
          </w:p>
        </w:tc>
        <w:tc>
          <w:tcPr>
            <w:tcW w:w="1134" w:type="dxa"/>
          </w:tcPr>
          <w:p w:rsidR="00561343" w:rsidRDefault="00561343" w:rsidP="00F20A74">
            <w:pPr>
              <w:keepNext/>
              <w:keepLines/>
              <w:jc w:val="center"/>
              <w:rPr>
                <w:rFonts w:ascii="Arial" w:hAnsi="Arial"/>
                <w:b/>
                <w:sz w:val="18"/>
              </w:rPr>
            </w:pPr>
            <w:r>
              <w:rPr>
                <w:rFonts w:ascii="Arial" w:hAnsi="Arial"/>
                <w:b/>
                <w:sz w:val="18"/>
              </w:rPr>
              <w:t>FR1</w:t>
            </w:r>
          </w:p>
        </w:tc>
        <w:tc>
          <w:tcPr>
            <w:tcW w:w="992" w:type="dxa"/>
          </w:tcPr>
          <w:p w:rsidR="00561343" w:rsidRDefault="00561343" w:rsidP="00F20A74">
            <w:pPr>
              <w:keepNext/>
              <w:keepLines/>
              <w:jc w:val="center"/>
              <w:rPr>
                <w:rFonts w:ascii="Arial" w:hAnsi="Arial"/>
                <w:b/>
                <w:sz w:val="18"/>
              </w:rPr>
            </w:pPr>
            <w:r>
              <w:rPr>
                <w:rFonts w:ascii="Arial" w:hAnsi="Arial"/>
                <w:b/>
                <w:sz w:val="18"/>
              </w:rPr>
              <w:t>FR2</w:t>
            </w:r>
          </w:p>
        </w:tc>
      </w:tr>
      <w:tr w:rsidR="00561343" w:rsidTr="00F20A74">
        <w:trPr>
          <w:jc w:val="center"/>
        </w:trPr>
        <w:tc>
          <w:tcPr>
            <w:tcW w:w="2122" w:type="dxa"/>
          </w:tcPr>
          <w:p w:rsidR="00561343" w:rsidRDefault="002D5DB2" w:rsidP="00F20A74">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rsidR="00561343" w:rsidRDefault="00561343" w:rsidP="00F20A74">
            <w:pPr>
              <w:keepNext/>
              <w:keepLines/>
              <w:jc w:val="center"/>
              <w:rPr>
                <w:rFonts w:ascii="Arial" w:hAnsi="Arial"/>
                <w:sz w:val="18"/>
              </w:rPr>
            </w:pPr>
            <w:r>
              <w:rPr>
                <w:rFonts w:ascii="Arial" w:hAnsi="Arial"/>
                <w:sz w:val="18"/>
              </w:rPr>
              <w:t>25600</w:t>
            </w:r>
          </w:p>
        </w:tc>
        <w:tc>
          <w:tcPr>
            <w:tcW w:w="992" w:type="dxa"/>
          </w:tcPr>
          <w:p w:rsidR="00561343" w:rsidRDefault="00561343" w:rsidP="00F20A74">
            <w:pPr>
              <w:keepNext/>
              <w:keepLines/>
              <w:jc w:val="center"/>
              <w:rPr>
                <w:rFonts w:ascii="Arial" w:hAnsi="Arial"/>
                <w:sz w:val="18"/>
              </w:rPr>
            </w:pPr>
            <w:r>
              <w:rPr>
                <w:rFonts w:ascii="Arial" w:hAnsi="Arial"/>
                <w:sz w:val="18"/>
              </w:rPr>
              <w:t>13792</w:t>
            </w:r>
          </w:p>
        </w:tc>
      </w:tr>
      <w:tr w:rsidR="00561343" w:rsidTr="00F20A74">
        <w:trPr>
          <w:jc w:val="center"/>
        </w:trPr>
        <w:tc>
          <w:tcPr>
            <w:tcW w:w="2122" w:type="dxa"/>
          </w:tcPr>
          <w:p w:rsidR="00561343" w:rsidRDefault="002D5DB2" w:rsidP="00F20A74">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rsidR="00561343" w:rsidRDefault="00561343" w:rsidP="00F20A74">
            <w:pPr>
              <w:keepNext/>
              <w:keepLines/>
              <w:jc w:val="center"/>
              <w:rPr>
                <w:rFonts w:ascii="Arial" w:hAnsi="Arial"/>
                <w:sz w:val="18"/>
              </w:rPr>
            </w:pPr>
            <w:r>
              <w:rPr>
                <w:rFonts w:ascii="Arial" w:hAnsi="Arial"/>
                <w:sz w:val="18"/>
              </w:rPr>
              <w:t>25600</w:t>
            </w:r>
          </w:p>
        </w:tc>
        <w:tc>
          <w:tcPr>
            <w:tcW w:w="992" w:type="dxa"/>
          </w:tcPr>
          <w:p w:rsidR="00561343" w:rsidRDefault="00561343" w:rsidP="00F20A74">
            <w:pPr>
              <w:keepNext/>
              <w:keepLines/>
              <w:jc w:val="center"/>
              <w:rPr>
                <w:rFonts w:ascii="Arial" w:hAnsi="Arial"/>
                <w:sz w:val="18"/>
              </w:rPr>
            </w:pPr>
            <w:r>
              <w:rPr>
                <w:rFonts w:ascii="Arial" w:hAnsi="Arial"/>
                <w:sz w:val="18"/>
              </w:rPr>
              <w:t>13792</w:t>
            </w:r>
          </w:p>
        </w:tc>
      </w:tr>
    </w:tbl>
    <w:p w:rsidR="00561343" w:rsidRPr="00C4357D" w:rsidRDefault="00561343" w:rsidP="00C4357D">
      <w:pPr>
        <w:rPr>
          <w:szCs w:val="20"/>
          <w:lang w:eastAsia="x-none"/>
        </w:rPr>
      </w:pPr>
    </w:p>
    <w:p w:rsidR="0097673E" w:rsidRDefault="001B2B28" w:rsidP="0097673E">
      <w:pPr>
        <w:keepNext/>
        <w:jc w:val="center"/>
      </w:pPr>
      <w:r>
        <w:object w:dxaOrig="6141" w:dyaOrig="3391">
          <v:shape id="_x0000_i1027" type="#_x0000_t75" style="width:307.15pt;height:169.5pt" o:ole="">
            <v:imagedata r:id="rId13" o:title=""/>
          </v:shape>
          <o:OLEObject Type="Embed" ProgID="Visio.Drawing.15" ShapeID="_x0000_i1027" DrawAspect="Content" ObjectID="_1769865223" r:id="rId14"/>
        </w:object>
      </w:r>
    </w:p>
    <w:p w:rsidR="00C4357D" w:rsidRDefault="0097673E" w:rsidP="0097673E">
      <w:pPr>
        <w:pStyle w:val="Caption"/>
      </w:pPr>
      <w:r>
        <w:t xml:space="preserve">Figure </w:t>
      </w:r>
      <w:r w:rsidR="00C329B5">
        <w:t>3</w:t>
      </w:r>
      <w:r w:rsidR="006665AB">
        <w:t xml:space="preserve"> TA offset and N_Tx-Rx based transition time between SBFD and non-SBFD operation </w:t>
      </w:r>
    </w:p>
    <w:p w:rsidR="002827DB" w:rsidRDefault="002827DB" w:rsidP="001B2B28">
      <w:pPr>
        <w:jc w:val="center"/>
      </w:pPr>
    </w:p>
    <w:p w:rsidR="0097673E" w:rsidRDefault="002827DB" w:rsidP="0097673E">
      <w:pPr>
        <w:keepNext/>
        <w:jc w:val="center"/>
      </w:pPr>
      <w:r>
        <w:object w:dxaOrig="5751" w:dyaOrig="3830">
          <v:shape id="_x0000_i1028" type="#_x0000_t75" style="width:287.55pt;height:191.4pt" o:ole="">
            <v:imagedata r:id="rId15" o:title=""/>
          </v:shape>
          <o:OLEObject Type="Embed" ProgID="Visio.Drawing.15" ShapeID="_x0000_i1028" DrawAspect="Content" ObjectID="_1769865224" r:id="rId16"/>
        </w:object>
      </w:r>
    </w:p>
    <w:p w:rsidR="002827DB" w:rsidRDefault="0097673E" w:rsidP="0097673E">
      <w:pPr>
        <w:pStyle w:val="Caption"/>
      </w:pPr>
      <w:r w:rsidRPr="0078421E">
        <w:t xml:space="preserve">Figure </w:t>
      </w:r>
      <w:r w:rsidR="00C329B5">
        <w:t>4</w:t>
      </w:r>
      <w:r w:rsidR="006665AB">
        <w:t xml:space="preserve"> UL transmission delay used as transition time between non-SBFD and SBFD operation  </w:t>
      </w:r>
    </w:p>
    <w:p w:rsidR="00D05C09" w:rsidRDefault="00D05C09" w:rsidP="00D05C09">
      <w:pPr>
        <w:rPr>
          <w:b/>
          <w:i/>
        </w:rPr>
      </w:pPr>
      <w:r w:rsidRPr="00D05C09">
        <w:rPr>
          <w:b/>
          <w:i/>
        </w:rPr>
        <w:t>Observation</w:t>
      </w:r>
      <w:r w:rsidR="00881CD6">
        <w:rPr>
          <w:b/>
          <w:i/>
        </w:rPr>
        <w:t xml:space="preserve"> 11</w:t>
      </w:r>
      <w:r w:rsidRPr="00D05C09">
        <w:rPr>
          <w:b/>
          <w:i/>
        </w:rPr>
        <w:t>: The transi</w:t>
      </w:r>
      <w:r>
        <w:rPr>
          <w:b/>
          <w:i/>
        </w:rPr>
        <w:t>tion time between SBFD</w:t>
      </w:r>
      <w:r w:rsidRPr="00D05C09">
        <w:rPr>
          <w:b/>
          <w:i/>
        </w:rPr>
        <w:t xml:space="preserve"> and non-SBFD operation may only be required on gNB side. </w:t>
      </w:r>
    </w:p>
    <w:p w:rsidR="00D05C09" w:rsidRPr="00D100A3" w:rsidRDefault="00D05C09" w:rsidP="00D05C09">
      <w:pPr>
        <w:rPr>
          <w:b/>
        </w:rPr>
      </w:pPr>
      <w:r w:rsidRPr="00D100A3">
        <w:rPr>
          <w:b/>
        </w:rPr>
        <w:t>Proposal</w:t>
      </w:r>
      <w:r w:rsidR="00881CD6">
        <w:rPr>
          <w:b/>
        </w:rPr>
        <w:t xml:space="preserve"> 9</w:t>
      </w:r>
      <w:r w:rsidRPr="00D100A3">
        <w:rPr>
          <w:b/>
        </w:rPr>
        <w:t xml:space="preserve">: The transition time between SBFD and non-SBFD operation may </w:t>
      </w:r>
      <w:r w:rsidR="00D100A3" w:rsidRPr="00D100A3">
        <w:rPr>
          <w:b/>
        </w:rPr>
        <w:t xml:space="preserve">use one of the following options based on gNB implementation </w:t>
      </w:r>
    </w:p>
    <w:p w:rsidR="00D100A3" w:rsidRPr="00D100A3" w:rsidRDefault="00D100A3" w:rsidP="000E125A">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00D100A3" w:rsidRPr="00D100A3">
        <w:rPr>
          <w:rFonts w:ascii="Times New Roman" w:hAnsi="Times New Roman"/>
          <w:b/>
          <w:sz w:val="22"/>
          <w:szCs w:val="22"/>
        </w:rPr>
        <w:t>TA offset and N</w:t>
      </w:r>
      <w:r>
        <w:rPr>
          <w:rFonts w:ascii="Times New Roman" w:hAnsi="Times New Roman"/>
          <w:b/>
          <w:sz w:val="22"/>
          <w:szCs w:val="22"/>
        </w:rPr>
        <w:t>_</w:t>
      </w:r>
      <w:r w:rsidR="00D100A3" w:rsidRPr="00D100A3">
        <w:rPr>
          <w:rFonts w:ascii="Times New Roman" w:hAnsi="Times New Roman"/>
          <w:b/>
          <w:sz w:val="22"/>
          <w:szCs w:val="22"/>
        </w:rPr>
        <w:t xml:space="preserve">Tx-Rx as </w:t>
      </w:r>
      <w:r>
        <w:rPr>
          <w:rFonts w:ascii="Times New Roman" w:hAnsi="Times New Roman"/>
          <w:b/>
          <w:sz w:val="22"/>
          <w:szCs w:val="22"/>
        </w:rPr>
        <w:t xml:space="preserve">the </w:t>
      </w:r>
      <w:r w:rsidR="00D100A3" w:rsidRPr="00D100A3">
        <w:rPr>
          <w:rFonts w:ascii="Times New Roman" w:hAnsi="Times New Roman"/>
          <w:b/>
          <w:sz w:val="22"/>
          <w:szCs w:val="22"/>
        </w:rPr>
        <w:t xml:space="preserve">transition time </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00D100A3" w:rsidRPr="00D100A3">
        <w:rPr>
          <w:rFonts w:ascii="Times New Roman" w:hAnsi="Times New Roman"/>
          <w:b/>
          <w:sz w:val="22"/>
          <w:szCs w:val="22"/>
        </w:rPr>
        <w:t>UL transmission delay as</w:t>
      </w:r>
      <w:r>
        <w:rPr>
          <w:rFonts w:ascii="Times New Roman" w:hAnsi="Times New Roman"/>
          <w:b/>
          <w:sz w:val="22"/>
          <w:szCs w:val="22"/>
        </w:rPr>
        <w:t xml:space="preserve"> the</w:t>
      </w:r>
      <w:r w:rsidR="00D100A3" w:rsidRPr="00D100A3">
        <w:rPr>
          <w:rFonts w:ascii="Times New Roman" w:hAnsi="Times New Roman"/>
          <w:b/>
          <w:sz w:val="22"/>
          <w:szCs w:val="22"/>
        </w:rPr>
        <w:t xml:space="preserve"> transition time </w:t>
      </w:r>
    </w:p>
    <w:p w:rsidR="00D100A3" w:rsidRPr="00D05C09" w:rsidRDefault="00D100A3" w:rsidP="00D05C09">
      <w:pPr>
        <w:rPr>
          <w:b/>
          <w:i/>
        </w:rPr>
      </w:pPr>
    </w:p>
    <w:p w:rsidR="006A12F0" w:rsidRPr="00B05CE3" w:rsidRDefault="006A12F0" w:rsidP="00301F4F">
      <w:pPr>
        <w:pStyle w:val="Heading2"/>
        <w:tabs>
          <w:tab w:val="clear" w:pos="666"/>
        </w:tabs>
      </w:pPr>
      <w:r w:rsidRPr="00B05CE3">
        <w:t xml:space="preserve">Transmission/reception across SBFD and non SBFD symbols within </w:t>
      </w:r>
      <w:r w:rsidR="00B05CE3">
        <w:t xml:space="preserve">a slot </w:t>
      </w:r>
      <w:r w:rsidRPr="00B05CE3">
        <w:t>for a UE</w:t>
      </w:r>
    </w:p>
    <w:p w:rsidR="006A12F0" w:rsidRDefault="00AE1563" w:rsidP="006A12F0">
      <w:r>
        <w:t xml:space="preserve">Regarding the physical channel/signal mapping to SBFD and non-SBFD symbols within a slot, </w:t>
      </w:r>
      <w:r w:rsidR="00E735CD">
        <w:t xml:space="preserve">the following two options were studied in Rel-18 [2]. </w:t>
      </w:r>
    </w:p>
    <w:p w:rsidR="00E735CD" w:rsidRPr="002757AC" w:rsidRDefault="00E735CD" w:rsidP="000E125A">
      <w:pPr>
        <w:numPr>
          <w:ilvl w:val="0"/>
          <w:numId w:val="11"/>
        </w:numPr>
        <w:autoSpaceDE/>
        <w:autoSpaceDN/>
        <w:adjustRightInd/>
        <w:snapToGrid/>
        <w:spacing w:after="180"/>
        <w:ind w:hanging="357"/>
        <w:jc w:val="left"/>
      </w:pPr>
      <w:r w:rsidRPr="002757AC">
        <w:rPr>
          <w:rFonts w:hint="eastAsia"/>
        </w:rPr>
        <w:t>Option 1: UE does not transmit or receive the</w:t>
      </w:r>
      <w:r w:rsidRPr="002757AC">
        <w:t xml:space="preserve"> physical channel/signal</w:t>
      </w:r>
      <w:r w:rsidRPr="002757AC">
        <w:rPr>
          <w:rFonts w:hint="eastAsia"/>
        </w:rPr>
        <w:t xml:space="preserve"> within the slot.</w:t>
      </w:r>
    </w:p>
    <w:p w:rsidR="00E735CD" w:rsidRDefault="00E735CD" w:rsidP="000E125A">
      <w:pPr>
        <w:numPr>
          <w:ilvl w:val="0"/>
          <w:numId w:val="11"/>
        </w:numPr>
        <w:autoSpaceDE/>
        <w:autoSpaceDN/>
        <w:adjustRightInd/>
        <w:snapToGrid/>
        <w:spacing w:after="180"/>
        <w:ind w:hanging="357"/>
        <w:jc w:val="left"/>
      </w:pPr>
      <w:r w:rsidRPr="002757AC">
        <w:rPr>
          <w:rFonts w:hint="eastAsia"/>
        </w:rPr>
        <w:t>Option 2: UE can transmit or receive the</w:t>
      </w:r>
      <w:r w:rsidRPr="002757AC">
        <w:t xml:space="preserve"> physical channel/signal within </w:t>
      </w:r>
      <w:r w:rsidRPr="002757AC">
        <w:rPr>
          <w:rFonts w:hint="eastAsia"/>
        </w:rPr>
        <w:t>the</w:t>
      </w:r>
      <w:r w:rsidRPr="002757AC">
        <w:t xml:space="preserve"> slot</w:t>
      </w:r>
      <w:r w:rsidRPr="002757AC">
        <w:rPr>
          <w:rFonts w:hint="eastAsia"/>
        </w:rPr>
        <w:t xml:space="preserve"> only under certain conditions.</w:t>
      </w:r>
    </w:p>
    <w:p w:rsidR="006A12F0" w:rsidRPr="00A94D01" w:rsidRDefault="00E0511E" w:rsidP="006A12F0">
      <w:r>
        <w:t xml:space="preserve">In our view, </w:t>
      </w:r>
      <w:r w:rsidR="00B733A2">
        <w:t xml:space="preserve">the potential benefits for </w:t>
      </w:r>
      <w:r>
        <w:t>option 2</w:t>
      </w:r>
      <w:r w:rsidR="00B733A2">
        <w:t xml:space="preserve"> </w:t>
      </w:r>
      <w:r w:rsidR="006A12F0">
        <w:rPr>
          <w:rFonts w:eastAsiaTheme="minorEastAsia"/>
          <w:lang w:eastAsia="zh-CN"/>
        </w:rPr>
        <w:t xml:space="preserve">is to reduce the transmission latency especially in case of PDCCH or PUCCH repetition. For instance, </w:t>
      </w:r>
      <w:r w:rsidR="00B733A2">
        <w:rPr>
          <w:rFonts w:eastAsiaTheme="minorEastAsia"/>
          <w:lang w:eastAsia="zh-CN"/>
        </w:rPr>
        <w:t xml:space="preserve">if </w:t>
      </w:r>
      <w:r w:rsidR="006A12F0">
        <w:rPr>
          <w:rFonts w:eastAsiaTheme="minorEastAsia"/>
          <w:lang w:eastAsia="zh-CN"/>
        </w:rPr>
        <w:t xml:space="preserve">a UE miss the detection of PDCCH in the non SBFD symbols, </w:t>
      </w:r>
      <w:r w:rsidR="00B733A2">
        <w:rPr>
          <w:rFonts w:eastAsiaTheme="minorEastAsia"/>
          <w:lang w:eastAsia="zh-CN"/>
        </w:rPr>
        <w:t xml:space="preserve">it </w:t>
      </w:r>
      <w:r w:rsidR="006A12F0">
        <w:rPr>
          <w:rFonts w:eastAsiaTheme="minorEastAsia"/>
          <w:lang w:eastAsia="zh-CN"/>
        </w:rPr>
        <w:t xml:space="preserve">need to wait for another monitoring occasion for PDDCH in the upcoming slot. If </w:t>
      </w:r>
      <w:r w:rsidR="00B733A2" w:rsidRPr="00EE405C">
        <w:rPr>
          <w:rFonts w:eastAsia="Malgun Gothic" w:hint="eastAsia"/>
        </w:rPr>
        <w:t>UE can transmit or receive the</w:t>
      </w:r>
      <w:r w:rsidR="00B733A2" w:rsidRPr="00EE405C">
        <w:rPr>
          <w:rFonts w:eastAsia="Malgun Gothic"/>
        </w:rPr>
        <w:t xml:space="preserve"> physical channel/signal within </w:t>
      </w:r>
      <w:r w:rsidR="00B733A2" w:rsidRPr="00EE405C">
        <w:rPr>
          <w:rFonts w:eastAsia="Malgun Gothic" w:hint="eastAsia"/>
        </w:rPr>
        <w:t>the</w:t>
      </w:r>
      <w:r w:rsidR="00B733A2" w:rsidRPr="00EE405C">
        <w:rPr>
          <w:rFonts w:eastAsia="Malgun Gothic"/>
        </w:rPr>
        <w:t xml:space="preserve"> slot</w:t>
      </w:r>
      <w:r w:rsidR="00B733A2">
        <w:rPr>
          <w:rFonts w:eastAsia="Malgun Gothic" w:hint="eastAsia"/>
        </w:rPr>
        <w:t xml:space="preserve">, </w:t>
      </w:r>
      <w:r w:rsidR="006A12F0">
        <w:rPr>
          <w:rFonts w:eastAsiaTheme="minorEastAsia"/>
          <w:lang w:eastAsia="zh-CN"/>
        </w:rPr>
        <w:t xml:space="preserve">the repetition can also be performed in the same monitoring occasions. In case of </w:t>
      </w:r>
      <w:r w:rsidR="006A12F0">
        <w:rPr>
          <w:color w:val="000000" w:themeColor="text1"/>
        </w:rPr>
        <w:t>PUSCH repetition</w:t>
      </w:r>
      <w:r w:rsidR="006A12F0" w:rsidRPr="0036639B">
        <w:rPr>
          <w:color w:val="000000" w:themeColor="text1"/>
        </w:rPr>
        <w:t xml:space="preserve"> configured for the UE,</w:t>
      </w:r>
      <w:r w:rsidR="00B733A2">
        <w:rPr>
          <w:color w:val="000000" w:themeColor="text1"/>
        </w:rPr>
        <w:t xml:space="preserve"> in option 2</w:t>
      </w:r>
      <w:r w:rsidR="006A12F0">
        <w:rPr>
          <w:color w:val="000000" w:themeColor="text1"/>
        </w:rPr>
        <w:t>, the UL budget can be</w:t>
      </w:r>
      <w:r w:rsidR="006A12F0" w:rsidRPr="0036639B">
        <w:rPr>
          <w:color w:val="000000" w:themeColor="text1"/>
        </w:rPr>
        <w:t xml:space="preserve"> improved</w:t>
      </w:r>
      <w:r w:rsidR="006A12F0">
        <w:rPr>
          <w:color w:val="000000" w:themeColor="text1"/>
        </w:rPr>
        <w:t xml:space="preserve">. This is </w:t>
      </w:r>
      <w:r w:rsidR="006A12F0" w:rsidRPr="0036639B">
        <w:rPr>
          <w:color w:val="000000" w:themeColor="text1"/>
        </w:rPr>
        <w:t xml:space="preserve">because </w:t>
      </w:r>
      <w:r w:rsidR="006A12F0">
        <w:rPr>
          <w:color w:val="000000" w:themeColor="text1"/>
        </w:rPr>
        <w:t xml:space="preserve">the maximum </w:t>
      </w:r>
      <w:r w:rsidR="006A12F0" w:rsidRPr="0036639B">
        <w:rPr>
          <w:color w:val="000000" w:themeColor="text1"/>
        </w:rPr>
        <w:t xml:space="preserve">symbols </w:t>
      </w:r>
      <w:r w:rsidR="006A12F0">
        <w:rPr>
          <w:color w:val="000000" w:themeColor="text1"/>
        </w:rPr>
        <w:t xml:space="preserve">in a slot </w:t>
      </w:r>
      <w:r w:rsidR="006A12F0" w:rsidRPr="0036639B">
        <w:rPr>
          <w:color w:val="000000" w:themeColor="text1"/>
        </w:rPr>
        <w:t>can be used for PUS</w:t>
      </w:r>
      <w:r w:rsidR="006A12F0">
        <w:rPr>
          <w:color w:val="000000" w:themeColor="text1"/>
        </w:rPr>
        <w:t xml:space="preserve">CH transmission in slot, which is also aligned with objective of study item. </w:t>
      </w:r>
      <w:r w:rsidR="006A12F0">
        <w:rPr>
          <w:rFonts w:eastAsiaTheme="minorEastAsia"/>
          <w:lang w:eastAsia="zh-CN"/>
        </w:rPr>
        <w:t xml:space="preserve">Moreover, </w:t>
      </w:r>
      <w:r w:rsidR="00A94D01">
        <w:rPr>
          <w:rFonts w:eastAsiaTheme="minorEastAsia"/>
          <w:lang w:eastAsia="zh-CN"/>
        </w:rPr>
        <w:t>for option 2</w:t>
      </w:r>
      <w:r w:rsidR="006A12F0" w:rsidRPr="00710AF4">
        <w:rPr>
          <w:rFonts w:eastAsiaTheme="minorEastAsia"/>
          <w:lang w:eastAsia="zh-CN"/>
        </w:rPr>
        <w:t>, there may not be a significant interruption of transmission/reception during the transition because the transmission direction</w:t>
      </w:r>
      <w:r w:rsidR="006A12F0">
        <w:rPr>
          <w:rFonts w:eastAsiaTheme="minorEastAsia"/>
          <w:lang w:eastAsia="zh-CN"/>
        </w:rPr>
        <w:t xml:space="preserve"> configured or indicated to a UE or group of UEs is either UL or DL</w:t>
      </w:r>
      <w:r w:rsidR="006A12F0" w:rsidRPr="00710AF4">
        <w:rPr>
          <w:rFonts w:eastAsiaTheme="minorEastAsia"/>
          <w:lang w:eastAsia="zh-CN"/>
        </w:rPr>
        <w:t>.</w:t>
      </w:r>
      <w:r w:rsidR="006A12F0">
        <w:rPr>
          <w:rFonts w:eastAsiaTheme="minorEastAsia"/>
          <w:lang w:eastAsia="zh-CN"/>
        </w:rPr>
        <w:t xml:space="preserve"> </w:t>
      </w:r>
    </w:p>
    <w:p w:rsidR="00B733A2" w:rsidRDefault="00B733A2" w:rsidP="006A12F0">
      <w:pPr>
        <w:rPr>
          <w:rFonts w:eastAsiaTheme="minorEastAsia"/>
          <w:lang w:eastAsia="zh-CN"/>
        </w:rPr>
      </w:pPr>
      <w:r w:rsidRPr="00B733A2">
        <w:rPr>
          <w:rFonts w:eastAsiaTheme="minorEastAsia"/>
          <w:lang w:eastAsia="zh-CN"/>
        </w:rPr>
        <w:t xml:space="preserve">Regarding the </w:t>
      </w:r>
      <w:bookmarkStart w:id="2" w:name="_GoBack"/>
      <w:r w:rsidRPr="00B733A2">
        <w:rPr>
          <w:rFonts w:eastAsiaTheme="minorEastAsia"/>
          <w:lang w:eastAsia="zh-CN"/>
        </w:rPr>
        <w:t xml:space="preserve">condition for option 2, such as phase distortion, it occurs due to the difference in bandwidth between non SBFD and SBFD symbols. However, since the phase distortion occurs in different symbols in the time domain, equalization </w:t>
      </w:r>
      <w:bookmarkEnd w:id="2"/>
      <w:r w:rsidRPr="00B733A2">
        <w:rPr>
          <w:rFonts w:eastAsiaTheme="minorEastAsia"/>
          <w:lang w:eastAsia="zh-CN"/>
        </w:rPr>
        <w:t>and phase correction techniques can be emp</w:t>
      </w:r>
      <w:r>
        <w:rPr>
          <w:rFonts w:eastAsiaTheme="minorEastAsia"/>
          <w:lang w:eastAsia="zh-CN"/>
        </w:rPr>
        <w:t>loyed at the UE</w:t>
      </w:r>
      <w:r w:rsidRPr="00B733A2">
        <w:rPr>
          <w:rFonts w:eastAsiaTheme="minorEastAsia"/>
          <w:lang w:eastAsia="zh-CN"/>
        </w:rPr>
        <w:t xml:space="preserve"> side to mitigate these effects</w:t>
      </w:r>
    </w:p>
    <w:p w:rsidR="006A12F0" w:rsidRPr="002976C0" w:rsidRDefault="006A12F0" w:rsidP="006A12F0">
      <w:pPr>
        <w:rPr>
          <w:rFonts w:eastAsiaTheme="minorEastAsia"/>
          <w:b/>
          <w:i/>
          <w:lang w:eastAsia="zh-CN"/>
        </w:rPr>
      </w:pPr>
      <w:r w:rsidRPr="002976C0">
        <w:rPr>
          <w:rFonts w:eastAsiaTheme="minorEastAsia"/>
          <w:b/>
          <w:i/>
          <w:lang w:eastAsia="zh-CN"/>
        </w:rPr>
        <w:t>Observation</w:t>
      </w:r>
      <w:r w:rsidR="00881CD6" w:rsidRPr="002976C0">
        <w:rPr>
          <w:rFonts w:eastAsiaTheme="minorEastAsia"/>
          <w:b/>
          <w:i/>
          <w:lang w:eastAsia="zh-CN"/>
        </w:rPr>
        <w:t xml:space="preserve"> 12</w:t>
      </w:r>
      <w:r w:rsidRPr="002976C0">
        <w:rPr>
          <w:rFonts w:eastAsiaTheme="minorEastAsia"/>
          <w:b/>
          <w:i/>
          <w:lang w:eastAsia="zh-CN"/>
        </w:rPr>
        <w:t xml:space="preserve">: A </w:t>
      </w:r>
      <w:r w:rsidR="00B733A2" w:rsidRPr="002976C0">
        <w:rPr>
          <w:rFonts w:eastAsiaTheme="minorEastAsia" w:hint="eastAsia"/>
          <w:b/>
          <w:i/>
          <w:lang w:eastAsia="zh-CN"/>
        </w:rPr>
        <w:t>UE transmit</w:t>
      </w:r>
      <w:r w:rsidR="00B733A2" w:rsidRPr="002976C0">
        <w:rPr>
          <w:rFonts w:eastAsiaTheme="minorEastAsia"/>
          <w:b/>
          <w:i/>
          <w:lang w:eastAsia="zh-CN"/>
        </w:rPr>
        <w:t>s</w:t>
      </w:r>
      <w:r w:rsidR="00B733A2" w:rsidRPr="002976C0">
        <w:rPr>
          <w:rFonts w:eastAsiaTheme="minorEastAsia" w:hint="eastAsia"/>
          <w:b/>
          <w:i/>
          <w:lang w:eastAsia="zh-CN"/>
        </w:rPr>
        <w:t xml:space="preserve"> or receive</w:t>
      </w:r>
      <w:r w:rsidR="00B733A2" w:rsidRPr="002976C0">
        <w:rPr>
          <w:rFonts w:eastAsiaTheme="minorEastAsia"/>
          <w:b/>
          <w:i/>
          <w:lang w:eastAsia="zh-CN"/>
        </w:rPr>
        <w:t>s</w:t>
      </w:r>
      <w:r w:rsidR="00B733A2" w:rsidRPr="002976C0">
        <w:rPr>
          <w:rFonts w:eastAsiaTheme="minorEastAsia" w:hint="eastAsia"/>
          <w:b/>
          <w:i/>
          <w:lang w:eastAsia="zh-CN"/>
        </w:rPr>
        <w:t xml:space="preserve"> the</w:t>
      </w:r>
      <w:r w:rsidR="00B733A2" w:rsidRPr="002976C0">
        <w:rPr>
          <w:rFonts w:eastAsiaTheme="minorEastAsia"/>
          <w:b/>
          <w:i/>
          <w:lang w:eastAsia="zh-CN"/>
        </w:rPr>
        <w:t xml:space="preserve"> physical channel/signal within </w:t>
      </w:r>
      <w:r w:rsidR="00B733A2" w:rsidRPr="002976C0">
        <w:rPr>
          <w:rFonts w:eastAsiaTheme="minorEastAsia" w:hint="eastAsia"/>
          <w:b/>
          <w:i/>
          <w:lang w:eastAsia="zh-CN"/>
        </w:rPr>
        <w:t>a</w:t>
      </w:r>
      <w:r w:rsidR="00B733A2" w:rsidRPr="002976C0">
        <w:rPr>
          <w:rFonts w:eastAsiaTheme="minorEastAsia"/>
          <w:b/>
          <w:i/>
          <w:lang w:eastAsia="zh-CN"/>
        </w:rPr>
        <w:t xml:space="preserve"> slot</w:t>
      </w:r>
      <w:r w:rsidR="00B733A2" w:rsidRPr="002976C0">
        <w:rPr>
          <w:rFonts w:eastAsiaTheme="minorEastAsia" w:hint="eastAsia"/>
          <w:b/>
          <w:i/>
          <w:lang w:eastAsia="zh-CN"/>
        </w:rPr>
        <w:t xml:space="preserve"> </w:t>
      </w:r>
      <w:r w:rsidRPr="002976C0">
        <w:rPr>
          <w:rFonts w:eastAsiaTheme="minorEastAsia"/>
          <w:b/>
          <w:i/>
          <w:lang w:eastAsia="zh-CN"/>
        </w:rPr>
        <w:t xml:space="preserve">can:  </w:t>
      </w:r>
    </w:p>
    <w:p w:rsidR="006A12F0" w:rsidRPr="002976C0" w:rsidRDefault="006A12F0" w:rsidP="000E125A">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6A12F0" w:rsidRPr="002976C0" w:rsidRDefault="006A12F0" w:rsidP="000E125A">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6A12F0" w:rsidRPr="002976C0" w:rsidRDefault="001761B2" w:rsidP="000E125A">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w:t>
      </w:r>
      <w:r w:rsidR="006A12F0" w:rsidRPr="002976C0">
        <w:rPr>
          <w:rFonts w:ascii="Times New Roman" w:eastAsiaTheme="minorEastAsia" w:hAnsi="Times New Roman"/>
          <w:b/>
          <w:i/>
          <w:sz w:val="22"/>
          <w:szCs w:val="22"/>
          <w:lang w:eastAsia="zh-CN"/>
        </w:rPr>
        <w:t xml:space="preserve"> using equalization and phase correction techniques at the UE side.</w:t>
      </w:r>
    </w:p>
    <w:p w:rsidR="006A12F0" w:rsidRPr="002976C0" w:rsidRDefault="006A12F0" w:rsidP="006A12F0">
      <w:pPr>
        <w:rPr>
          <w:rFonts w:eastAsiaTheme="minorEastAsia"/>
          <w:b/>
          <w:i/>
          <w:lang w:eastAsia="zh-CN"/>
        </w:rPr>
      </w:pPr>
    </w:p>
    <w:p w:rsidR="006A12F0" w:rsidRPr="002976C0" w:rsidRDefault="006A12F0" w:rsidP="006A12F0">
      <w:pPr>
        <w:rPr>
          <w:rFonts w:eastAsiaTheme="minorEastAsia"/>
          <w:b/>
          <w:lang w:eastAsia="zh-CN"/>
        </w:rPr>
      </w:pPr>
      <w:r w:rsidRPr="002976C0">
        <w:rPr>
          <w:rFonts w:eastAsiaTheme="minorEastAsia"/>
          <w:b/>
          <w:lang w:eastAsia="zh-CN"/>
        </w:rPr>
        <w:t>Proposal</w:t>
      </w:r>
      <w:r w:rsidR="00881CD6" w:rsidRPr="002976C0">
        <w:rPr>
          <w:rFonts w:eastAsiaTheme="minorEastAsia"/>
          <w:b/>
          <w:lang w:eastAsia="zh-CN"/>
        </w:rPr>
        <w:t xml:space="preserve"> 10</w:t>
      </w:r>
      <w:r w:rsidRPr="002976C0">
        <w:rPr>
          <w:rFonts w:eastAsiaTheme="minorEastAsia"/>
          <w:b/>
          <w:lang w:eastAsia="zh-CN"/>
        </w:rPr>
        <w:t xml:space="preserve">: </w:t>
      </w:r>
      <w:r w:rsidR="00AE1563" w:rsidRPr="002976C0">
        <w:rPr>
          <w:rFonts w:eastAsia="Malgun Gothic" w:hint="eastAsia"/>
          <w:b/>
        </w:rPr>
        <w:t>For a physical channel/signal occasion mapped to SBFD and non-SBFD symbols within a slot</w:t>
      </w:r>
      <w:r w:rsidR="00AE1563" w:rsidRPr="002976C0">
        <w:rPr>
          <w:rFonts w:eastAsia="Malgun Gothic"/>
          <w:b/>
        </w:rPr>
        <w:t xml:space="preserve">, support </w:t>
      </w:r>
      <w:r w:rsidR="00AE1563" w:rsidRPr="002976C0">
        <w:rPr>
          <w:rFonts w:eastAsia="Malgun Gothic" w:hint="eastAsia"/>
          <w:b/>
        </w:rPr>
        <w:t>Option 2: UE can transmit or receive the</w:t>
      </w:r>
      <w:r w:rsidR="00AE1563" w:rsidRPr="002976C0">
        <w:rPr>
          <w:rFonts w:eastAsia="Malgun Gothic"/>
          <w:b/>
        </w:rPr>
        <w:t xml:space="preserve"> physical channel/signal within </w:t>
      </w:r>
      <w:r w:rsidR="00AE1563" w:rsidRPr="002976C0">
        <w:rPr>
          <w:rFonts w:eastAsia="Malgun Gothic" w:hint="eastAsia"/>
          <w:b/>
        </w:rPr>
        <w:t>the</w:t>
      </w:r>
      <w:r w:rsidR="00AE1563" w:rsidRPr="002976C0">
        <w:rPr>
          <w:rFonts w:eastAsia="Malgun Gothic"/>
          <w:b/>
        </w:rPr>
        <w:t xml:space="preserve"> slot</w:t>
      </w:r>
      <w:r w:rsidRPr="002976C0">
        <w:rPr>
          <w:b/>
        </w:rPr>
        <w:t xml:space="preserve">. </w:t>
      </w:r>
    </w:p>
    <w:p w:rsidR="001A0564" w:rsidRPr="00BC00E2" w:rsidRDefault="001A0564" w:rsidP="001324BE">
      <w:pPr>
        <w:rPr>
          <w:rFonts w:eastAsiaTheme="minorEastAsia"/>
          <w:lang w:val="en-GB" w:eastAsia="zh-CN"/>
        </w:rPr>
      </w:pPr>
    </w:p>
    <w:p w:rsidR="00205820" w:rsidRDefault="00205820" w:rsidP="00205820">
      <w:pPr>
        <w:pStyle w:val="Heading1"/>
      </w:pPr>
      <w:r>
        <w:t>Conclusion</w:t>
      </w:r>
    </w:p>
    <w:p w:rsidR="0006519C" w:rsidRPr="002976C0" w:rsidRDefault="00A033ED" w:rsidP="0006519C">
      <w:pPr>
        <w:rPr>
          <w:color w:val="000000" w:themeColor="text1"/>
        </w:rPr>
      </w:pPr>
      <w:r w:rsidRPr="002976C0">
        <w:rPr>
          <w:color w:val="000000" w:themeColor="text1"/>
        </w:rPr>
        <w:t>In this contribution, we discussed the semi-static indication of time and frequency resources to the SBFD-aware UE, its signaling details, the operation of legacy UEs in SBFD symbols, periodic SRS transmission in SBFD and non-SBFD symbols, the granularity of SBFD operation in the time domain, and physical channel mapping to SBFD and non-SBFD symbols within a slot or in different slots. We made the following observations and proposals.</w:t>
      </w:r>
    </w:p>
    <w:p w:rsidR="002976C0" w:rsidRPr="002976C0" w:rsidRDefault="002976C0" w:rsidP="002976C0">
      <w:pPr>
        <w:rPr>
          <w:b/>
          <w:bCs/>
          <w:i/>
        </w:rPr>
      </w:pPr>
      <w:r w:rsidRPr="002976C0">
        <w:rPr>
          <w:b/>
          <w:bCs/>
          <w:i/>
        </w:rPr>
        <w:t xml:space="preserve">Observation 1: Symbol-level time offset of SBFD operation can specifies the starting location of SBFD operation within a slot, and slot-level time offset specifies the location of SBFD operation within a TDD period. </w:t>
      </w:r>
    </w:p>
    <w:p w:rsidR="002976C0" w:rsidRPr="002976C0" w:rsidRDefault="002976C0" w:rsidP="002976C0">
      <w:pPr>
        <w:rPr>
          <w:b/>
          <w:i/>
          <w:color w:val="24292F"/>
        </w:rPr>
      </w:pPr>
      <w:r w:rsidRPr="002976C0">
        <w:rPr>
          <w:b/>
          <w:i/>
        </w:rPr>
        <w:t xml:space="preserve">Observation 2: </w:t>
      </w:r>
      <w:r w:rsidRPr="002976C0">
        <w:rPr>
          <w:b/>
          <w:i/>
          <w:color w:val="24292F"/>
        </w:rPr>
        <w:t>It may be necessary to consider a time period for SBFD operation; otherwise, the SBFD-aware UE may assume that SBFD operation is configured for unlimited time.</w:t>
      </w:r>
    </w:p>
    <w:p w:rsidR="002976C0" w:rsidRPr="002976C0" w:rsidRDefault="002976C0" w:rsidP="002976C0">
      <w:pPr>
        <w:rPr>
          <w:b/>
          <w:i/>
        </w:rPr>
      </w:pPr>
      <w:r w:rsidRPr="002976C0">
        <w:rPr>
          <w:b/>
          <w:i/>
        </w:rPr>
        <w:t xml:space="preserve">Observation 3: </w:t>
      </w:r>
      <w:r w:rsidRPr="002976C0">
        <w:rPr>
          <w:b/>
          <w:i/>
          <w:color w:val="24292F"/>
        </w:rPr>
        <w:t xml:space="preserve">Defining a configurable time period for SBFD operation within the range of the TDD period can help to avoid misalignment between the SBFD operation and the TDD in time domain. </w:t>
      </w:r>
    </w:p>
    <w:p w:rsidR="002976C0" w:rsidRPr="002976C0" w:rsidRDefault="002976C0" w:rsidP="002976C0">
      <w:pPr>
        <w:pStyle w:val="NormalWeb"/>
        <w:spacing w:before="0" w:beforeAutospacing="0"/>
        <w:rPr>
          <w:rFonts w:eastAsia="SimSun"/>
          <w:b/>
          <w:bCs/>
          <w:i/>
          <w:sz w:val="22"/>
          <w:szCs w:val="22"/>
        </w:rPr>
      </w:pPr>
      <w:r w:rsidRPr="002976C0">
        <w:rPr>
          <w:rFonts w:eastAsia="SimSun"/>
          <w:b/>
          <w:bCs/>
          <w:i/>
          <w:sz w:val="22"/>
          <w:szCs w:val="22"/>
        </w:rPr>
        <w:t xml:space="preserve">Observation 4: </w:t>
      </w:r>
      <w:r w:rsidRPr="002976C0">
        <w:rPr>
          <w:b/>
          <w:i/>
          <w:color w:val="24292F"/>
          <w:sz w:val="22"/>
          <w:szCs w:val="22"/>
        </w:rPr>
        <w:t xml:space="preserve">Leaving the size or bandwidth of subbands to the gNB implementation may result in mismatches between the size of SBFD subbands with the size of RBGs, CSI report subbands, PRGs, and SRS subbands. </w:t>
      </w:r>
    </w:p>
    <w:p w:rsidR="002976C0" w:rsidRPr="002976C0" w:rsidRDefault="002976C0" w:rsidP="002976C0">
      <w:pPr>
        <w:rPr>
          <w:b/>
          <w:i/>
        </w:rPr>
      </w:pPr>
      <w:r w:rsidRPr="002976C0">
        <w:rPr>
          <w:b/>
          <w:i/>
        </w:rPr>
        <w:t>Observation 5: Reusing the existing cell common signaling (TDD-UL-DL-ConfigCommon) to configure the time and frequency location of SBFD subbands to the SBFD aware UE may mislead legacy UEs about the TDD slot format, especially if SBFD operation is configured in flexible TDD symbols.</w:t>
      </w:r>
    </w:p>
    <w:p w:rsidR="002976C0" w:rsidRPr="002976C0" w:rsidRDefault="002976C0" w:rsidP="002976C0">
      <w:pPr>
        <w:rPr>
          <w:b/>
          <w:i/>
        </w:rPr>
      </w:pPr>
      <w:r w:rsidRPr="002976C0">
        <w:rPr>
          <w:b/>
          <w:i/>
        </w:rPr>
        <w:t xml:space="preserve">Observation 6: If legacy UEs are not allowed to transmit/receive in SBFD symbols, it may increase their latency in DL and UL transmission and negatively impact their performance. </w:t>
      </w:r>
    </w:p>
    <w:p w:rsidR="002976C0" w:rsidRPr="002976C0" w:rsidRDefault="002976C0" w:rsidP="002976C0">
      <w:pPr>
        <w:rPr>
          <w:b/>
          <w:i/>
        </w:rPr>
      </w:pPr>
      <w:r w:rsidRPr="002976C0">
        <w:rPr>
          <w:b/>
          <w:i/>
        </w:rPr>
        <w:t>Observation 7: If legacy UEs are allowed to transmit/receive in SBFD symbols, which are configured as flexible in TDD-UL-DL-ConfigCommon, there is a possibility of transmission collision between the SBFD-aware UEs and legacy UEs.</w:t>
      </w:r>
    </w:p>
    <w:p w:rsidR="002976C0" w:rsidRPr="002976C0" w:rsidRDefault="002976C0" w:rsidP="002976C0">
      <w:pPr>
        <w:rPr>
          <w:b/>
          <w:i/>
          <w:color w:val="24292F"/>
        </w:rPr>
      </w:pPr>
      <w:r w:rsidRPr="002976C0">
        <w:rPr>
          <w:b/>
          <w:i/>
        </w:rPr>
        <w:t xml:space="preserve">Observation 8: </w:t>
      </w:r>
      <w:r w:rsidRPr="002976C0">
        <w:rPr>
          <w:b/>
          <w:i/>
          <w:color w:val="24292F"/>
        </w:rPr>
        <w:t xml:space="preserve">The existing configuration of SRS may not be suitable for configuring SRS with periodicity that can occur in both SBFD and non-SBFD symbols due to the difference in bandwidth of SRS subbands and FH of SRS. </w:t>
      </w:r>
    </w:p>
    <w:p w:rsidR="002976C0" w:rsidRPr="002976C0" w:rsidRDefault="002976C0" w:rsidP="002976C0">
      <w:pPr>
        <w:spacing w:before="80"/>
        <w:rPr>
          <w:b/>
          <w:i/>
        </w:rPr>
      </w:pPr>
      <w:r w:rsidRPr="002976C0">
        <w:rPr>
          <w:b/>
          <w:i/>
        </w:rPr>
        <w:t xml:space="preserve">Observation 9: </w:t>
      </w:r>
      <w:r w:rsidRPr="002976C0">
        <w:rPr>
          <w:b/>
          <w:i/>
          <w:color w:val="24292F"/>
        </w:rPr>
        <w:t>Interleaved VRB-to-PRB mapping for PDSCH transmission in SBFD symbols may result in VRB mapping to PRBs that are assigned to the UL subband.</w:t>
      </w:r>
    </w:p>
    <w:p w:rsidR="002976C0" w:rsidRPr="002976C0" w:rsidRDefault="002976C0" w:rsidP="002976C0">
      <w:pPr>
        <w:spacing w:before="60" w:line="288" w:lineRule="auto"/>
        <w:rPr>
          <w:b/>
          <w:i/>
        </w:rPr>
      </w:pPr>
      <w:r w:rsidRPr="002976C0">
        <w:rPr>
          <w:b/>
          <w:i/>
        </w:rPr>
        <w:t xml:space="preserve">Observation 10: The maximum number of two transition points between non-SBFD and SBFD symbols for a longer period of TDD UL/DL (up to 10ms) reduces the gNB flexibility. </w:t>
      </w:r>
    </w:p>
    <w:p w:rsidR="002976C0" w:rsidRPr="002976C0" w:rsidRDefault="002976C0" w:rsidP="002976C0">
      <w:pPr>
        <w:rPr>
          <w:b/>
          <w:i/>
        </w:rPr>
      </w:pPr>
      <w:r w:rsidRPr="002976C0">
        <w:rPr>
          <w:b/>
          <w:i/>
        </w:rPr>
        <w:t xml:space="preserve">Observation 11: The transition time between SBFD and non-SBFD operation may only be required on gNB side. </w:t>
      </w:r>
    </w:p>
    <w:p w:rsidR="002976C0" w:rsidRPr="002976C0" w:rsidRDefault="002976C0" w:rsidP="002976C0">
      <w:pPr>
        <w:rPr>
          <w:rFonts w:eastAsiaTheme="minorEastAsia"/>
          <w:b/>
          <w:i/>
          <w:lang w:eastAsia="zh-CN"/>
        </w:rPr>
      </w:pPr>
      <w:r w:rsidRPr="002976C0">
        <w:rPr>
          <w:rFonts w:eastAsiaTheme="minorEastAsia"/>
          <w:b/>
          <w:i/>
          <w:lang w:eastAsia="zh-CN"/>
        </w:rPr>
        <w:t xml:space="preserve">Observation 12: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2976C0" w:rsidRPr="002976C0" w:rsidRDefault="002976C0" w:rsidP="002976C0">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2976C0" w:rsidRPr="002976C0" w:rsidRDefault="002976C0" w:rsidP="002976C0">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2976C0" w:rsidRPr="002976C0" w:rsidRDefault="002976C0" w:rsidP="002976C0">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2976C0" w:rsidRPr="002976C0" w:rsidRDefault="002976C0" w:rsidP="002976C0">
      <w:pPr>
        <w:rPr>
          <w:b/>
        </w:rPr>
      </w:pPr>
    </w:p>
    <w:p w:rsidR="0006519C" w:rsidRPr="002976C0" w:rsidRDefault="002976C0" w:rsidP="0006519C">
      <w:pPr>
        <w:rPr>
          <w:b/>
        </w:rPr>
      </w:pPr>
      <w:r w:rsidRPr="002976C0">
        <w:rPr>
          <w:b/>
        </w:rPr>
        <w:t xml:space="preserve">Proposal 1: RAN1 to consider the time offset and time period in the configuration of SBFD operation within a TDD period. </w:t>
      </w:r>
    </w:p>
    <w:p w:rsidR="0056358F" w:rsidRPr="002976C0" w:rsidRDefault="002976C0" w:rsidP="002976C0">
      <w:pPr>
        <w:pStyle w:val="NormalWeb"/>
        <w:spacing w:before="0" w:beforeAutospacing="0"/>
        <w:rPr>
          <w:rFonts w:eastAsia="SimSun"/>
          <w:b/>
          <w:bCs/>
          <w:i/>
          <w:sz w:val="22"/>
          <w:szCs w:val="22"/>
        </w:rPr>
      </w:pPr>
      <w:r w:rsidRPr="002976C0">
        <w:rPr>
          <w:rFonts w:eastAsia="SimSun"/>
          <w:b/>
          <w:bCs/>
          <w:sz w:val="22"/>
          <w:szCs w:val="22"/>
        </w:rPr>
        <w:t xml:space="preserve">Proposal 2: RAN1 to consider configurable size of DL and UL subbands. </w:t>
      </w:r>
    </w:p>
    <w:p w:rsidR="002976C0" w:rsidRPr="002976C0" w:rsidRDefault="002976C0" w:rsidP="002976C0">
      <w:pPr>
        <w:pStyle w:val="NormalWeb"/>
        <w:spacing w:before="0" w:beforeAutospacing="0" w:after="240" w:afterAutospacing="0"/>
        <w:rPr>
          <w:b/>
          <w:color w:val="24292F"/>
          <w:sz w:val="22"/>
          <w:szCs w:val="22"/>
        </w:rPr>
      </w:pPr>
      <w:r w:rsidRPr="002976C0">
        <w:rPr>
          <w:b/>
          <w:color w:val="24292F"/>
          <w:sz w:val="22"/>
          <w:szCs w:val="22"/>
        </w:rPr>
        <w:t>Proposal 3</w:t>
      </w:r>
      <w:r w:rsidRPr="002976C0">
        <w:rPr>
          <w:b/>
          <w:sz w:val="22"/>
          <w:szCs w:val="22"/>
        </w:rPr>
        <w:t xml:space="preserve">: </w:t>
      </w:r>
      <w:r w:rsidRPr="002976C0">
        <w:rPr>
          <w:b/>
          <w:color w:val="24292F"/>
          <w:sz w:val="22"/>
          <w:szCs w:val="22"/>
        </w:rPr>
        <w:t>To configure the time and frequency resources of the SBFD operation to the SBFD aware UE, the following semi-static signaling options can be studied:</w:t>
      </w:r>
    </w:p>
    <w:p w:rsidR="002976C0" w:rsidRPr="002976C0" w:rsidRDefault="002976C0" w:rsidP="002976C0">
      <w:pPr>
        <w:pStyle w:val="NormalWeb"/>
        <w:numPr>
          <w:ilvl w:val="0"/>
          <w:numId w:val="8"/>
        </w:numPr>
        <w:spacing w:before="0" w:beforeAutospacing="0" w:after="240" w:afterAutospacing="0"/>
        <w:rPr>
          <w:b/>
          <w:color w:val="24292F"/>
          <w:sz w:val="22"/>
          <w:szCs w:val="22"/>
        </w:rPr>
      </w:pPr>
      <w:r w:rsidRPr="002976C0">
        <w:rPr>
          <w:b/>
          <w:color w:val="24292F"/>
          <w:sz w:val="22"/>
          <w:szCs w:val="22"/>
        </w:rPr>
        <w:t>TDD-UL-DL-ConfigCommon can be used for indication of TDD slot format and SIB or new RRC signaling can be used for configuration of time/frequency resources of SBFD subbands.</w:t>
      </w:r>
    </w:p>
    <w:p w:rsidR="002976C0" w:rsidRPr="002976C0" w:rsidRDefault="002976C0" w:rsidP="002976C0">
      <w:pPr>
        <w:pStyle w:val="NormalWeb"/>
        <w:numPr>
          <w:ilvl w:val="0"/>
          <w:numId w:val="8"/>
        </w:numPr>
        <w:spacing w:before="0" w:beforeAutospacing="0" w:after="240" w:afterAutospacing="0"/>
        <w:rPr>
          <w:b/>
          <w:color w:val="24292F"/>
          <w:sz w:val="22"/>
          <w:szCs w:val="22"/>
        </w:rPr>
      </w:pPr>
      <w:r w:rsidRPr="002976C0">
        <w:rPr>
          <w:b/>
          <w:color w:val="24292F"/>
          <w:sz w:val="22"/>
          <w:szCs w:val="22"/>
        </w:rPr>
        <w:t>SIB can be used for configuration of both TDD slot format and time/frequency resources of SBFD subbands.</w:t>
      </w:r>
    </w:p>
    <w:p w:rsidR="0056358F" w:rsidRPr="002976C0" w:rsidRDefault="002976C0" w:rsidP="0006519C">
      <w:pPr>
        <w:pStyle w:val="NormalWeb"/>
        <w:numPr>
          <w:ilvl w:val="0"/>
          <w:numId w:val="8"/>
        </w:numPr>
        <w:spacing w:before="0" w:beforeAutospacing="0" w:after="240" w:afterAutospacing="0"/>
        <w:rPr>
          <w:b/>
          <w:color w:val="24292F"/>
          <w:sz w:val="22"/>
          <w:szCs w:val="22"/>
        </w:rPr>
      </w:pPr>
      <w:r w:rsidRPr="002976C0">
        <w:rPr>
          <w:b/>
          <w:color w:val="24292F"/>
          <w:sz w:val="22"/>
          <w:szCs w:val="22"/>
        </w:rPr>
        <w:t>New RRC signaling can be used for configuration of both TDD slot format and time/frequency resources of SBFD subbands.</w:t>
      </w:r>
    </w:p>
    <w:p w:rsidR="0056358F" w:rsidRPr="002976C0" w:rsidRDefault="002976C0" w:rsidP="0006519C">
      <w:pPr>
        <w:rPr>
          <w:b/>
        </w:rPr>
      </w:pPr>
      <w:r w:rsidRPr="002976C0">
        <w:rPr>
          <w:b/>
        </w:rPr>
        <w:t xml:space="preserve">Proposal 4: RAN1 to study legacy UEs operation/behavior in SBFD symbols.  </w:t>
      </w:r>
    </w:p>
    <w:p w:rsidR="002976C0" w:rsidRPr="002976C0" w:rsidRDefault="002976C0" w:rsidP="002976C0">
      <w:pPr>
        <w:rPr>
          <w:b/>
        </w:rPr>
      </w:pPr>
      <w:r w:rsidRPr="002976C0">
        <w:rPr>
          <w:b/>
        </w:rPr>
        <w:t>Proposal 5: Study the following options for configuration of SRS in SBFD and non-SBFD symbols:</w:t>
      </w:r>
    </w:p>
    <w:p w:rsidR="002976C0" w:rsidRPr="002976C0" w:rsidRDefault="002976C0" w:rsidP="002976C0">
      <w:pPr>
        <w:pStyle w:val="ListParagraph"/>
        <w:numPr>
          <w:ilvl w:val="0"/>
          <w:numId w:val="10"/>
        </w:numPr>
        <w:rPr>
          <w:rFonts w:ascii="Times New Roman" w:hAnsi="Times New Roman"/>
          <w:b/>
          <w:sz w:val="22"/>
          <w:szCs w:val="22"/>
        </w:rPr>
      </w:pPr>
      <w:r w:rsidRPr="002976C0">
        <w:rPr>
          <w:rFonts w:ascii="Times New Roman" w:hAnsi="Times New Roman"/>
          <w:b/>
          <w:sz w:val="22"/>
          <w:szCs w:val="22"/>
        </w:rPr>
        <w:t>Two configurations of SRS, one for SRS in SBFD symbols and the other for SRS in non-SBFD symbols.</w:t>
      </w:r>
    </w:p>
    <w:p w:rsidR="0056358F" w:rsidRPr="002976C0" w:rsidRDefault="002976C0" w:rsidP="0006519C">
      <w:pPr>
        <w:pStyle w:val="ListParagraph"/>
        <w:numPr>
          <w:ilvl w:val="0"/>
          <w:numId w:val="10"/>
        </w:numPr>
        <w:rPr>
          <w:rFonts w:ascii="Times New Roman" w:hAnsi="Times New Roman"/>
          <w:b/>
          <w:sz w:val="22"/>
          <w:szCs w:val="22"/>
        </w:rPr>
      </w:pPr>
      <w:r w:rsidRPr="002976C0">
        <w:rPr>
          <w:rFonts w:ascii="Times New Roman" w:hAnsi="Times New Roman"/>
          <w:b/>
          <w:sz w:val="22"/>
          <w:szCs w:val="22"/>
        </w:rPr>
        <w:t xml:space="preserve">One configuration of SRS with separate parameters for SRS in SBFD symbols and non-SBFD symbols. </w:t>
      </w:r>
    </w:p>
    <w:p w:rsidR="002976C0" w:rsidRPr="002976C0" w:rsidRDefault="002976C0" w:rsidP="002976C0">
      <w:pPr>
        <w:rPr>
          <w:b/>
        </w:rPr>
      </w:pPr>
    </w:p>
    <w:p w:rsidR="0056358F" w:rsidRPr="002976C0" w:rsidRDefault="002976C0" w:rsidP="0006519C">
      <w:pPr>
        <w:rPr>
          <w:b/>
          <w:lang w:eastAsia="zh-CN"/>
        </w:rPr>
      </w:pPr>
      <w:r w:rsidRPr="002976C0">
        <w:rPr>
          <w:b/>
          <w:lang w:eastAsia="zh-CN"/>
        </w:rPr>
        <w:t xml:space="preserve">Proposal 6: RAN1 to study interleaved VRB-to-PRB in SBFD symbols. </w:t>
      </w:r>
    </w:p>
    <w:p w:rsidR="002976C0" w:rsidRPr="002976C0" w:rsidRDefault="002976C0" w:rsidP="002976C0">
      <w:pPr>
        <w:rPr>
          <w:b/>
        </w:rPr>
      </w:pPr>
      <w:r w:rsidRPr="002976C0">
        <w:rPr>
          <w:b/>
        </w:rPr>
        <w:t xml:space="preserve">Proposal 7: Consider both SBFD and non-SBFD symbols in a slot, where the SBFD symbols are contiguous in a slot. </w:t>
      </w:r>
    </w:p>
    <w:p w:rsidR="002976C0" w:rsidRPr="002976C0" w:rsidRDefault="002976C0" w:rsidP="002976C0">
      <w:pPr>
        <w:spacing w:before="60" w:line="288" w:lineRule="auto"/>
        <w:rPr>
          <w:b/>
        </w:rPr>
      </w:pPr>
      <w:r w:rsidRPr="002976C0">
        <w:rPr>
          <w:b/>
        </w:rPr>
        <w:t xml:space="preserve">Proposal 8: The maximum of two transition points between non-SBFD and SBFD symbols is within a single slot. </w:t>
      </w:r>
    </w:p>
    <w:p w:rsidR="002976C0" w:rsidRPr="002976C0" w:rsidRDefault="002976C0" w:rsidP="002976C0">
      <w:pPr>
        <w:rPr>
          <w:b/>
        </w:rPr>
      </w:pPr>
      <w:r w:rsidRPr="002976C0">
        <w:rPr>
          <w:b/>
        </w:rPr>
        <w:t xml:space="preserve">Proposal 9: The transition time between SBFD and non-SBFD operation may use one of the following options based on gNB implementation </w:t>
      </w:r>
    </w:p>
    <w:p w:rsidR="002976C0" w:rsidRPr="002976C0" w:rsidRDefault="002976C0" w:rsidP="002976C0">
      <w:pPr>
        <w:pStyle w:val="ListParagraph"/>
        <w:numPr>
          <w:ilvl w:val="0"/>
          <w:numId w:val="6"/>
        </w:numPr>
        <w:rPr>
          <w:rFonts w:ascii="Times New Roman" w:hAnsi="Times New Roman"/>
          <w:b/>
          <w:sz w:val="22"/>
          <w:szCs w:val="22"/>
        </w:rPr>
      </w:pPr>
      <w:r w:rsidRPr="002976C0">
        <w:rPr>
          <w:rFonts w:ascii="Times New Roman" w:hAnsi="Times New Roman"/>
          <w:b/>
          <w:sz w:val="22"/>
          <w:szCs w:val="22"/>
        </w:rPr>
        <w:t>Reserving antenna ports for DL and UL transmission for a period of SBFD</w:t>
      </w:r>
    </w:p>
    <w:p w:rsidR="002976C0" w:rsidRPr="002976C0" w:rsidRDefault="002976C0" w:rsidP="002976C0">
      <w:pPr>
        <w:pStyle w:val="ListParagraph"/>
        <w:numPr>
          <w:ilvl w:val="0"/>
          <w:numId w:val="6"/>
        </w:numPr>
        <w:rPr>
          <w:rFonts w:ascii="Times New Roman" w:hAnsi="Times New Roman"/>
          <w:b/>
          <w:sz w:val="22"/>
          <w:szCs w:val="22"/>
        </w:rPr>
      </w:pPr>
      <w:r w:rsidRPr="002976C0">
        <w:rPr>
          <w:rFonts w:ascii="Times New Roman" w:hAnsi="Times New Roman"/>
          <w:b/>
          <w:sz w:val="22"/>
          <w:szCs w:val="22"/>
        </w:rPr>
        <w:t xml:space="preserve">Using TA offset and N_Tx-Rx as the transition time </w:t>
      </w:r>
    </w:p>
    <w:p w:rsidR="002976C0" w:rsidRPr="002976C0" w:rsidRDefault="002976C0" w:rsidP="002976C0">
      <w:pPr>
        <w:pStyle w:val="ListParagraph"/>
        <w:numPr>
          <w:ilvl w:val="0"/>
          <w:numId w:val="6"/>
        </w:numPr>
        <w:rPr>
          <w:rFonts w:ascii="Times New Roman" w:hAnsi="Times New Roman"/>
          <w:b/>
          <w:sz w:val="22"/>
          <w:szCs w:val="22"/>
        </w:rPr>
      </w:pPr>
      <w:r w:rsidRPr="002976C0">
        <w:rPr>
          <w:rFonts w:ascii="Times New Roman" w:hAnsi="Times New Roman"/>
          <w:b/>
          <w:sz w:val="22"/>
          <w:szCs w:val="22"/>
        </w:rPr>
        <w:t xml:space="preserve">Utilizing the UL transmission delay as the transition time </w:t>
      </w:r>
    </w:p>
    <w:p w:rsidR="002976C0" w:rsidRPr="002976C0" w:rsidRDefault="002976C0" w:rsidP="002976C0">
      <w:pPr>
        <w:rPr>
          <w:rFonts w:eastAsiaTheme="minorEastAsia"/>
          <w:b/>
          <w:i/>
          <w:lang w:eastAsia="zh-CN"/>
        </w:rPr>
      </w:pPr>
    </w:p>
    <w:p w:rsidR="002976C0" w:rsidRPr="002976C0" w:rsidRDefault="002976C0" w:rsidP="002976C0">
      <w:pPr>
        <w:rPr>
          <w:rFonts w:eastAsiaTheme="minorEastAsia"/>
          <w:b/>
          <w:lang w:eastAsia="zh-CN"/>
        </w:rPr>
      </w:pPr>
      <w:r w:rsidRPr="002976C0">
        <w:rPr>
          <w:rFonts w:eastAsiaTheme="minorEastAsia"/>
          <w:b/>
          <w:lang w:eastAsia="zh-CN"/>
        </w:rPr>
        <w:t xml:space="preserve">Proposal 10: </w:t>
      </w:r>
      <w:r w:rsidRPr="002976C0">
        <w:rPr>
          <w:rFonts w:eastAsia="Malgun Gothic" w:hint="eastAsia"/>
          <w:b/>
        </w:rPr>
        <w:t>For a physical channel/signal occasion mapped to SBFD and non-SBFD symbols within a slot</w:t>
      </w:r>
      <w:r w:rsidRPr="002976C0">
        <w:rPr>
          <w:rFonts w:eastAsia="Malgun Gothic"/>
          <w:b/>
        </w:rPr>
        <w:t xml:space="preserve">, support </w:t>
      </w:r>
      <w:r w:rsidRPr="002976C0">
        <w:rPr>
          <w:rFonts w:eastAsia="Malgun Gothic" w:hint="eastAsia"/>
          <w:b/>
        </w:rPr>
        <w:t>Option 2: UE can transmit or receive the</w:t>
      </w:r>
      <w:r w:rsidRPr="002976C0">
        <w:rPr>
          <w:rFonts w:eastAsia="Malgun Gothic"/>
          <w:b/>
        </w:rPr>
        <w:t xml:space="preserve"> physical channel/signal within </w:t>
      </w:r>
      <w:r w:rsidRPr="002976C0">
        <w:rPr>
          <w:rFonts w:eastAsia="Malgun Gothic" w:hint="eastAsia"/>
          <w:b/>
        </w:rPr>
        <w:t>the</w:t>
      </w:r>
      <w:r w:rsidRPr="002976C0">
        <w:rPr>
          <w:rFonts w:eastAsia="Malgun Gothic"/>
          <w:b/>
        </w:rPr>
        <w:t xml:space="preserve"> slot</w:t>
      </w:r>
      <w:r w:rsidRPr="002976C0">
        <w:rPr>
          <w:b/>
        </w:rPr>
        <w:t xml:space="preserve">. </w:t>
      </w:r>
    </w:p>
    <w:p w:rsidR="0056358F" w:rsidRDefault="0056358F" w:rsidP="0006519C">
      <w:pPr>
        <w:rPr>
          <w:rFonts w:eastAsiaTheme="minorEastAsia"/>
          <w:b/>
          <w:i/>
          <w:lang w:eastAsia="zh-CN"/>
        </w:rPr>
      </w:pPr>
    </w:p>
    <w:p w:rsidR="0056358F" w:rsidRDefault="0056358F"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Pr="0006519C" w:rsidRDefault="002976C0" w:rsidP="0006519C">
      <w:pPr>
        <w:rPr>
          <w:rFonts w:eastAsiaTheme="minorEastAsia"/>
          <w:b/>
          <w:i/>
          <w:lang w:eastAsia="zh-CN"/>
        </w:rPr>
      </w:pPr>
    </w:p>
    <w:p w:rsidR="0006519C" w:rsidRPr="0006519C" w:rsidRDefault="0006519C">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FE2298" w:rsidRDefault="00FE2298" w:rsidP="00FE2298">
      <w:pPr>
        <w:pStyle w:val="References"/>
        <w:rPr>
          <w:lang w:eastAsia="zh-CN"/>
        </w:rPr>
      </w:pPr>
      <w:r>
        <w:rPr>
          <w:rFonts w:hint="eastAsia"/>
          <w:lang w:eastAsia="zh-CN"/>
        </w:rPr>
        <w:t xml:space="preserve">RP-221352, </w:t>
      </w:r>
      <w:r>
        <w:rPr>
          <w:rFonts w:hint="eastAsia"/>
          <w:lang w:eastAsia="zh-CN"/>
        </w:rPr>
        <w:t>“</w:t>
      </w:r>
      <w:r>
        <w:rPr>
          <w:rFonts w:hint="eastAsia"/>
          <w:lang w:eastAsia="zh-CN"/>
        </w:rPr>
        <w:t>Revised SID: Study on evolution of NR duplex operation</w:t>
      </w:r>
      <w:r>
        <w:rPr>
          <w:rFonts w:hint="eastAsia"/>
          <w:lang w:eastAsia="zh-CN"/>
        </w:rPr>
        <w:t>”</w:t>
      </w:r>
      <w:r>
        <w:rPr>
          <w:rFonts w:hint="eastAsia"/>
          <w:lang w:eastAsia="zh-CN"/>
        </w:rPr>
        <w:t>, CMCC (Moderator)</w:t>
      </w:r>
    </w:p>
    <w:p w:rsidR="00E54723" w:rsidRDefault="00E54723" w:rsidP="00301F4F">
      <w:pPr>
        <w:pStyle w:val="References"/>
        <w:numPr>
          <w:ilvl w:val="0"/>
          <w:numId w:val="0"/>
        </w:numPr>
      </w:pPr>
    </w:p>
    <w:p w:rsidR="00CB72FA" w:rsidRDefault="00CB72FA" w:rsidP="00CB72FA">
      <w:pPr>
        <w:pStyle w:val="References"/>
        <w:numPr>
          <w:ilvl w:val="0"/>
          <w:numId w:val="0"/>
        </w:numPr>
        <w:tabs>
          <w:tab w:val="left" w:pos="1778"/>
        </w:tabs>
        <w:ind w:left="360"/>
      </w:pPr>
    </w:p>
    <w:sectPr w:rsidR="00CB72FA" w:rsidSect="0083389B">
      <w:footerReference w:type="default" r:id="rId17"/>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DB2" w:rsidRDefault="002D5DB2">
      <w:pPr>
        <w:spacing w:after="0"/>
      </w:pPr>
      <w:r>
        <w:separator/>
      </w:r>
    </w:p>
  </w:endnote>
  <w:endnote w:type="continuationSeparator" w:id="0">
    <w:p w:rsidR="002D5DB2" w:rsidRDefault="002D5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4622DD" w:rsidRDefault="004622DD">
        <w:pPr>
          <w:pStyle w:val="Footer"/>
          <w:jc w:val="center"/>
        </w:pPr>
        <w:r>
          <w:fldChar w:fldCharType="begin"/>
        </w:r>
        <w:r>
          <w:instrText xml:space="preserve"> PAGE   \* MERGEFORMAT </w:instrText>
        </w:r>
        <w:r>
          <w:fldChar w:fldCharType="separate"/>
        </w:r>
        <w:r w:rsidR="002D5DB2">
          <w:rPr>
            <w:noProof/>
          </w:rPr>
          <w:t>1</w:t>
        </w:r>
        <w:r>
          <w:fldChar w:fldCharType="end"/>
        </w:r>
      </w:p>
    </w:sdtContent>
  </w:sdt>
  <w:p w:rsidR="004622DD" w:rsidRDefault="00462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DB2" w:rsidRDefault="002D5DB2">
      <w:pPr>
        <w:spacing w:after="0"/>
      </w:pPr>
      <w:r>
        <w:separator/>
      </w:r>
    </w:p>
  </w:footnote>
  <w:footnote w:type="continuationSeparator" w:id="0">
    <w:p w:rsidR="002D5DB2" w:rsidRDefault="002D5D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1" w15:restartNumberingAfterBreak="0">
    <w:nsid w:val="085A0D92"/>
    <w:multiLevelType w:val="hybridMultilevel"/>
    <w:tmpl w:val="9042C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33ACB"/>
    <w:multiLevelType w:val="hybridMultilevel"/>
    <w:tmpl w:val="6AC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60C13"/>
    <w:multiLevelType w:val="multilevel"/>
    <w:tmpl w:val="A72CE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54936DA"/>
    <w:multiLevelType w:val="hybridMultilevel"/>
    <w:tmpl w:val="1CF0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D27E5"/>
    <w:multiLevelType w:val="hybridMultilevel"/>
    <w:tmpl w:val="814A7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5AB6351A"/>
    <w:multiLevelType w:val="hybridMultilevel"/>
    <w:tmpl w:val="47DC1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0"/>
  </w:num>
  <w:num w:numId="4">
    <w:abstractNumId w:val="0"/>
  </w:num>
  <w:num w:numId="5">
    <w:abstractNumId w:val="12"/>
  </w:num>
  <w:num w:numId="6">
    <w:abstractNumId w:val="4"/>
  </w:num>
  <w:num w:numId="7">
    <w:abstractNumId w:val="11"/>
  </w:num>
  <w:num w:numId="8">
    <w:abstractNumId w:val="9"/>
  </w:num>
  <w:num w:numId="9">
    <w:abstractNumId w:val="1"/>
  </w:num>
  <w:num w:numId="10">
    <w:abstractNumId w:val="2"/>
  </w:num>
  <w:num w:numId="11">
    <w:abstractNumId w:val="5"/>
  </w:num>
  <w:num w:numId="12">
    <w:abstractNumId w:val="3"/>
  </w:num>
  <w:num w:numId="1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2BE"/>
    <w:rsid w:val="00006346"/>
    <w:rsid w:val="00006E5A"/>
    <w:rsid w:val="000072B6"/>
    <w:rsid w:val="00007813"/>
    <w:rsid w:val="000109B1"/>
    <w:rsid w:val="000109E6"/>
    <w:rsid w:val="00010A62"/>
    <w:rsid w:val="00011F67"/>
    <w:rsid w:val="00012712"/>
    <w:rsid w:val="00012862"/>
    <w:rsid w:val="000128E6"/>
    <w:rsid w:val="000149E6"/>
    <w:rsid w:val="00015500"/>
    <w:rsid w:val="00015EFB"/>
    <w:rsid w:val="00016451"/>
    <w:rsid w:val="000165E2"/>
    <w:rsid w:val="00016DFD"/>
    <w:rsid w:val="000172BE"/>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7CD"/>
    <w:rsid w:val="000319D1"/>
    <w:rsid w:val="00031ADB"/>
    <w:rsid w:val="00032056"/>
    <w:rsid w:val="000328CA"/>
    <w:rsid w:val="00032E40"/>
    <w:rsid w:val="0003376B"/>
    <w:rsid w:val="00034676"/>
    <w:rsid w:val="000346E6"/>
    <w:rsid w:val="00034DF1"/>
    <w:rsid w:val="000352B3"/>
    <w:rsid w:val="000360A8"/>
    <w:rsid w:val="000377AE"/>
    <w:rsid w:val="0004023E"/>
    <w:rsid w:val="0004024B"/>
    <w:rsid w:val="00041C57"/>
    <w:rsid w:val="000434B7"/>
    <w:rsid w:val="000435E4"/>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65C8"/>
    <w:rsid w:val="00057DC8"/>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EB"/>
    <w:rsid w:val="000823B0"/>
    <w:rsid w:val="0008335B"/>
    <w:rsid w:val="00083379"/>
    <w:rsid w:val="00083587"/>
    <w:rsid w:val="00083838"/>
    <w:rsid w:val="00083B6A"/>
    <w:rsid w:val="0008501C"/>
    <w:rsid w:val="00085E04"/>
    <w:rsid w:val="00086800"/>
    <w:rsid w:val="00087913"/>
    <w:rsid w:val="000902DC"/>
    <w:rsid w:val="00090D2B"/>
    <w:rsid w:val="000911AE"/>
    <w:rsid w:val="0009139F"/>
    <w:rsid w:val="00093234"/>
    <w:rsid w:val="00093697"/>
    <w:rsid w:val="00093D42"/>
    <w:rsid w:val="00093DD0"/>
    <w:rsid w:val="000944A1"/>
    <w:rsid w:val="0009473B"/>
    <w:rsid w:val="00094A16"/>
    <w:rsid w:val="00094DE6"/>
    <w:rsid w:val="00095B6D"/>
    <w:rsid w:val="00095BA0"/>
    <w:rsid w:val="00096356"/>
    <w:rsid w:val="0009665C"/>
    <w:rsid w:val="00096785"/>
    <w:rsid w:val="0009698C"/>
    <w:rsid w:val="00097210"/>
    <w:rsid w:val="00097C99"/>
    <w:rsid w:val="000A0F14"/>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0FA"/>
    <w:rsid w:val="000A7B38"/>
    <w:rsid w:val="000B0343"/>
    <w:rsid w:val="000B0468"/>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25A"/>
    <w:rsid w:val="000E1380"/>
    <w:rsid w:val="000E18DF"/>
    <w:rsid w:val="000E317C"/>
    <w:rsid w:val="000E499F"/>
    <w:rsid w:val="000E4B47"/>
    <w:rsid w:val="000E53C0"/>
    <w:rsid w:val="000E59A0"/>
    <w:rsid w:val="000E62E2"/>
    <w:rsid w:val="000E7A84"/>
    <w:rsid w:val="000F0BDB"/>
    <w:rsid w:val="000F1004"/>
    <w:rsid w:val="000F1167"/>
    <w:rsid w:val="000F15BC"/>
    <w:rsid w:val="000F180A"/>
    <w:rsid w:val="000F1C92"/>
    <w:rsid w:val="000F2EEE"/>
    <w:rsid w:val="000F33B5"/>
    <w:rsid w:val="000F3697"/>
    <w:rsid w:val="000F4616"/>
    <w:rsid w:val="000F5F90"/>
    <w:rsid w:val="000F670C"/>
    <w:rsid w:val="000F6AE5"/>
    <w:rsid w:val="000F7F58"/>
    <w:rsid w:val="00100128"/>
    <w:rsid w:val="00100FF3"/>
    <w:rsid w:val="001026CA"/>
    <w:rsid w:val="00102E8B"/>
    <w:rsid w:val="001043C2"/>
    <w:rsid w:val="001043E1"/>
    <w:rsid w:val="00104D14"/>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29B6"/>
    <w:rsid w:val="001534AA"/>
    <w:rsid w:val="00153629"/>
    <w:rsid w:val="0015368D"/>
    <w:rsid w:val="00153E26"/>
    <w:rsid w:val="001559FA"/>
    <w:rsid w:val="00156374"/>
    <w:rsid w:val="00156CDC"/>
    <w:rsid w:val="001577D8"/>
    <w:rsid w:val="00157FC3"/>
    <w:rsid w:val="00160739"/>
    <w:rsid w:val="00160EC9"/>
    <w:rsid w:val="00161EEE"/>
    <w:rsid w:val="0016271E"/>
    <w:rsid w:val="00162D7A"/>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1B2"/>
    <w:rsid w:val="0017631D"/>
    <w:rsid w:val="00177069"/>
    <w:rsid w:val="00177658"/>
    <w:rsid w:val="00177FC1"/>
    <w:rsid w:val="00180223"/>
    <w:rsid w:val="00180E50"/>
    <w:rsid w:val="001815A2"/>
    <w:rsid w:val="00181FC1"/>
    <w:rsid w:val="00183034"/>
    <w:rsid w:val="001830F7"/>
    <w:rsid w:val="00183373"/>
    <w:rsid w:val="00183A5C"/>
    <w:rsid w:val="00183EA5"/>
    <w:rsid w:val="00183EE6"/>
    <w:rsid w:val="0018588A"/>
    <w:rsid w:val="00186469"/>
    <w:rsid w:val="00186FB5"/>
    <w:rsid w:val="00187252"/>
    <w:rsid w:val="0019033B"/>
    <w:rsid w:val="0019053D"/>
    <w:rsid w:val="001905BB"/>
    <w:rsid w:val="00190859"/>
    <w:rsid w:val="001910CD"/>
    <w:rsid w:val="00191C91"/>
    <w:rsid w:val="0019264D"/>
    <w:rsid w:val="00192DD9"/>
    <w:rsid w:val="00193CF5"/>
    <w:rsid w:val="00194339"/>
    <w:rsid w:val="00194848"/>
    <w:rsid w:val="0019500D"/>
    <w:rsid w:val="001958EA"/>
    <w:rsid w:val="00195E0E"/>
    <w:rsid w:val="00197951"/>
    <w:rsid w:val="001A0564"/>
    <w:rsid w:val="001A0589"/>
    <w:rsid w:val="001A0A88"/>
    <w:rsid w:val="001A180D"/>
    <w:rsid w:val="001A1BAC"/>
    <w:rsid w:val="001A23CE"/>
    <w:rsid w:val="001A2C89"/>
    <w:rsid w:val="001A33BB"/>
    <w:rsid w:val="001A350C"/>
    <w:rsid w:val="001A3889"/>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378"/>
    <w:rsid w:val="001C2A8F"/>
    <w:rsid w:val="001C2E6E"/>
    <w:rsid w:val="001C39A1"/>
    <w:rsid w:val="001C3AE5"/>
    <w:rsid w:val="001C3EE9"/>
    <w:rsid w:val="001C3FA4"/>
    <w:rsid w:val="001C40F9"/>
    <w:rsid w:val="001C4411"/>
    <w:rsid w:val="001C458B"/>
    <w:rsid w:val="001C5046"/>
    <w:rsid w:val="001C53C8"/>
    <w:rsid w:val="001C5D4F"/>
    <w:rsid w:val="001C64C0"/>
    <w:rsid w:val="001C665D"/>
    <w:rsid w:val="001C66C6"/>
    <w:rsid w:val="001C69DA"/>
    <w:rsid w:val="001C6F06"/>
    <w:rsid w:val="001C74B3"/>
    <w:rsid w:val="001C7BCC"/>
    <w:rsid w:val="001D04A3"/>
    <w:rsid w:val="001D1B4E"/>
    <w:rsid w:val="001D2360"/>
    <w:rsid w:val="001D3109"/>
    <w:rsid w:val="001D320B"/>
    <w:rsid w:val="001D332E"/>
    <w:rsid w:val="001D33C5"/>
    <w:rsid w:val="001D3E95"/>
    <w:rsid w:val="001D5033"/>
    <w:rsid w:val="001D5C88"/>
    <w:rsid w:val="001D6567"/>
    <w:rsid w:val="001D695C"/>
    <w:rsid w:val="001D6A6E"/>
    <w:rsid w:val="001D6FD9"/>
    <w:rsid w:val="001D740F"/>
    <w:rsid w:val="001D780E"/>
    <w:rsid w:val="001E02E4"/>
    <w:rsid w:val="001E05C3"/>
    <w:rsid w:val="001E0AD3"/>
    <w:rsid w:val="001E2552"/>
    <w:rsid w:val="001E2735"/>
    <w:rsid w:val="001E36E4"/>
    <w:rsid w:val="001E379D"/>
    <w:rsid w:val="001E3A3C"/>
    <w:rsid w:val="001E5107"/>
    <w:rsid w:val="001E5C23"/>
    <w:rsid w:val="001E7162"/>
    <w:rsid w:val="001E7504"/>
    <w:rsid w:val="001E756C"/>
    <w:rsid w:val="001E76DF"/>
    <w:rsid w:val="001E7842"/>
    <w:rsid w:val="001F09A2"/>
    <w:rsid w:val="001F1308"/>
    <w:rsid w:val="001F1525"/>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70E2"/>
    <w:rsid w:val="001F7121"/>
    <w:rsid w:val="001F772C"/>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3CE9"/>
    <w:rsid w:val="00224952"/>
    <w:rsid w:val="00224DD2"/>
    <w:rsid w:val="00225A6A"/>
    <w:rsid w:val="00225AC7"/>
    <w:rsid w:val="00225ACC"/>
    <w:rsid w:val="00226637"/>
    <w:rsid w:val="00226EA1"/>
    <w:rsid w:val="0022756D"/>
    <w:rsid w:val="00231977"/>
    <w:rsid w:val="00231C25"/>
    <w:rsid w:val="00231C6F"/>
    <w:rsid w:val="00232A90"/>
    <w:rsid w:val="00234151"/>
    <w:rsid w:val="002344AA"/>
    <w:rsid w:val="00234F8C"/>
    <w:rsid w:val="00235542"/>
    <w:rsid w:val="002369B0"/>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6D6"/>
    <w:rsid w:val="002608F5"/>
    <w:rsid w:val="00261C98"/>
    <w:rsid w:val="0026248E"/>
    <w:rsid w:val="00262914"/>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95D"/>
    <w:rsid w:val="00272A05"/>
    <w:rsid w:val="00272B03"/>
    <w:rsid w:val="002733E2"/>
    <w:rsid w:val="00273CA8"/>
    <w:rsid w:val="002750B1"/>
    <w:rsid w:val="00275BB7"/>
    <w:rsid w:val="00276A35"/>
    <w:rsid w:val="00277835"/>
    <w:rsid w:val="00277B76"/>
    <w:rsid w:val="002801D3"/>
    <w:rsid w:val="002808D5"/>
    <w:rsid w:val="00280AB1"/>
    <w:rsid w:val="0028176E"/>
    <w:rsid w:val="00281DD8"/>
    <w:rsid w:val="002825F6"/>
    <w:rsid w:val="002827DB"/>
    <w:rsid w:val="00282C1E"/>
    <w:rsid w:val="002836D7"/>
    <w:rsid w:val="00284BAE"/>
    <w:rsid w:val="002859AF"/>
    <w:rsid w:val="002862E3"/>
    <w:rsid w:val="00286AE7"/>
    <w:rsid w:val="00287243"/>
    <w:rsid w:val="00287409"/>
    <w:rsid w:val="00287E3F"/>
    <w:rsid w:val="002903AD"/>
    <w:rsid w:val="00290647"/>
    <w:rsid w:val="00290FF3"/>
    <w:rsid w:val="00291385"/>
    <w:rsid w:val="00291422"/>
    <w:rsid w:val="0029237F"/>
    <w:rsid w:val="00292715"/>
    <w:rsid w:val="00293E57"/>
    <w:rsid w:val="00294605"/>
    <w:rsid w:val="0029469B"/>
    <w:rsid w:val="002947D1"/>
    <w:rsid w:val="00294814"/>
    <w:rsid w:val="002948DF"/>
    <w:rsid w:val="00294D90"/>
    <w:rsid w:val="00295E7E"/>
    <w:rsid w:val="00296914"/>
    <w:rsid w:val="00296C93"/>
    <w:rsid w:val="002976C0"/>
    <w:rsid w:val="00297D02"/>
    <w:rsid w:val="002A0B75"/>
    <w:rsid w:val="002A10A6"/>
    <w:rsid w:val="002A1E92"/>
    <w:rsid w:val="002A204D"/>
    <w:rsid w:val="002A2616"/>
    <w:rsid w:val="002A26E1"/>
    <w:rsid w:val="002A275F"/>
    <w:rsid w:val="002A368A"/>
    <w:rsid w:val="002A4065"/>
    <w:rsid w:val="002A471F"/>
    <w:rsid w:val="002A4C6E"/>
    <w:rsid w:val="002A59F0"/>
    <w:rsid w:val="002A5E54"/>
    <w:rsid w:val="002A63BF"/>
    <w:rsid w:val="002A6432"/>
    <w:rsid w:val="002A6F25"/>
    <w:rsid w:val="002A6FD3"/>
    <w:rsid w:val="002A7BCB"/>
    <w:rsid w:val="002B0799"/>
    <w:rsid w:val="002B09CD"/>
    <w:rsid w:val="002B0A7D"/>
    <w:rsid w:val="002B1981"/>
    <w:rsid w:val="002B1A69"/>
    <w:rsid w:val="002B1CC1"/>
    <w:rsid w:val="002B1CD1"/>
    <w:rsid w:val="002B2723"/>
    <w:rsid w:val="002B2A93"/>
    <w:rsid w:val="002B2AC2"/>
    <w:rsid w:val="002B303A"/>
    <w:rsid w:val="002B44E7"/>
    <w:rsid w:val="002B4F64"/>
    <w:rsid w:val="002B52AB"/>
    <w:rsid w:val="002B538E"/>
    <w:rsid w:val="002B5DCA"/>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545"/>
    <w:rsid w:val="002C298E"/>
    <w:rsid w:val="002C38B2"/>
    <w:rsid w:val="002C3F9C"/>
    <w:rsid w:val="002C568E"/>
    <w:rsid w:val="002C5AFA"/>
    <w:rsid w:val="002C6B15"/>
    <w:rsid w:val="002C7C79"/>
    <w:rsid w:val="002D0439"/>
    <w:rsid w:val="002D11B7"/>
    <w:rsid w:val="002D3BBC"/>
    <w:rsid w:val="002D438A"/>
    <w:rsid w:val="002D5738"/>
    <w:rsid w:val="002D5DB2"/>
    <w:rsid w:val="002D5E53"/>
    <w:rsid w:val="002D60ED"/>
    <w:rsid w:val="002D7FEC"/>
    <w:rsid w:val="002E0319"/>
    <w:rsid w:val="002E1606"/>
    <w:rsid w:val="002E179B"/>
    <w:rsid w:val="002E17CD"/>
    <w:rsid w:val="002E1C9E"/>
    <w:rsid w:val="002E257B"/>
    <w:rsid w:val="002E3C65"/>
    <w:rsid w:val="002E3F5B"/>
    <w:rsid w:val="002E4362"/>
    <w:rsid w:val="002E619A"/>
    <w:rsid w:val="002E626B"/>
    <w:rsid w:val="002E63D9"/>
    <w:rsid w:val="002E640E"/>
    <w:rsid w:val="002F07F2"/>
    <w:rsid w:val="002F0C28"/>
    <w:rsid w:val="002F0E75"/>
    <w:rsid w:val="002F11E9"/>
    <w:rsid w:val="002F3738"/>
    <w:rsid w:val="002F3CDE"/>
    <w:rsid w:val="002F3FE2"/>
    <w:rsid w:val="002F423C"/>
    <w:rsid w:val="002F570D"/>
    <w:rsid w:val="002F5937"/>
    <w:rsid w:val="002F5DD6"/>
    <w:rsid w:val="002F5FEA"/>
    <w:rsid w:val="002F63E7"/>
    <w:rsid w:val="002F71D0"/>
    <w:rsid w:val="002F7BE3"/>
    <w:rsid w:val="002F7E6A"/>
    <w:rsid w:val="00300165"/>
    <w:rsid w:val="003010CF"/>
    <w:rsid w:val="00301A0D"/>
    <w:rsid w:val="00301F4F"/>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ACF"/>
    <w:rsid w:val="00312D10"/>
    <w:rsid w:val="003139AD"/>
    <w:rsid w:val="0031491B"/>
    <w:rsid w:val="00315FAB"/>
    <w:rsid w:val="00316194"/>
    <w:rsid w:val="003177EB"/>
    <w:rsid w:val="003178DA"/>
    <w:rsid w:val="00317DB8"/>
    <w:rsid w:val="00320618"/>
    <w:rsid w:val="0032100B"/>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37853"/>
    <w:rsid w:val="0034149C"/>
    <w:rsid w:val="0034226D"/>
    <w:rsid w:val="00342972"/>
    <w:rsid w:val="00342FDD"/>
    <w:rsid w:val="0034429B"/>
    <w:rsid w:val="00344866"/>
    <w:rsid w:val="0034503B"/>
    <w:rsid w:val="0034638C"/>
    <w:rsid w:val="003466EE"/>
    <w:rsid w:val="00346F7F"/>
    <w:rsid w:val="00347570"/>
    <w:rsid w:val="00347ED3"/>
    <w:rsid w:val="00350108"/>
    <w:rsid w:val="00350762"/>
    <w:rsid w:val="003507C4"/>
    <w:rsid w:val="00350D94"/>
    <w:rsid w:val="003519A1"/>
    <w:rsid w:val="00352480"/>
    <w:rsid w:val="003530D2"/>
    <w:rsid w:val="0035331A"/>
    <w:rsid w:val="003534E1"/>
    <w:rsid w:val="003536CF"/>
    <w:rsid w:val="00353ECC"/>
    <w:rsid w:val="00354736"/>
    <w:rsid w:val="003548D8"/>
    <w:rsid w:val="003554CA"/>
    <w:rsid w:val="00356009"/>
    <w:rsid w:val="003561A1"/>
    <w:rsid w:val="003570AA"/>
    <w:rsid w:val="00360232"/>
    <w:rsid w:val="003602E0"/>
    <w:rsid w:val="0036097C"/>
    <w:rsid w:val="00360D01"/>
    <w:rsid w:val="00360F3F"/>
    <w:rsid w:val="00361CA0"/>
    <w:rsid w:val="00362569"/>
    <w:rsid w:val="003636CD"/>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E4F"/>
    <w:rsid w:val="00371215"/>
    <w:rsid w:val="00371282"/>
    <w:rsid w:val="00371A4F"/>
    <w:rsid w:val="00372F0D"/>
    <w:rsid w:val="00374059"/>
    <w:rsid w:val="003751D8"/>
    <w:rsid w:val="0037535B"/>
    <w:rsid w:val="0037552D"/>
    <w:rsid w:val="003756DB"/>
    <w:rsid w:val="003770BB"/>
    <w:rsid w:val="003773B8"/>
    <w:rsid w:val="0037771A"/>
    <w:rsid w:val="003802DC"/>
    <w:rsid w:val="00380E4E"/>
    <w:rsid w:val="00380FBF"/>
    <w:rsid w:val="00381AD2"/>
    <w:rsid w:val="00382226"/>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090F"/>
    <w:rsid w:val="00391178"/>
    <w:rsid w:val="00392B34"/>
    <w:rsid w:val="003940CE"/>
    <w:rsid w:val="0039411D"/>
    <w:rsid w:val="00394196"/>
    <w:rsid w:val="003957FD"/>
    <w:rsid w:val="00395F62"/>
    <w:rsid w:val="003970A2"/>
    <w:rsid w:val="00397570"/>
    <w:rsid w:val="00397C1D"/>
    <w:rsid w:val="003A180F"/>
    <w:rsid w:val="003A18DD"/>
    <w:rsid w:val="003A20C8"/>
    <w:rsid w:val="003A2C29"/>
    <w:rsid w:val="003A2EC3"/>
    <w:rsid w:val="003A36F2"/>
    <w:rsid w:val="003A3D39"/>
    <w:rsid w:val="003A3EC7"/>
    <w:rsid w:val="003A40B4"/>
    <w:rsid w:val="003A4DB6"/>
    <w:rsid w:val="003A57E0"/>
    <w:rsid w:val="003A64C0"/>
    <w:rsid w:val="003A7607"/>
    <w:rsid w:val="003A7834"/>
    <w:rsid w:val="003B0B5B"/>
    <w:rsid w:val="003B0E79"/>
    <w:rsid w:val="003B19A2"/>
    <w:rsid w:val="003B1C1A"/>
    <w:rsid w:val="003B1DF2"/>
    <w:rsid w:val="003B21B4"/>
    <w:rsid w:val="003B3575"/>
    <w:rsid w:val="003B3803"/>
    <w:rsid w:val="003B38D2"/>
    <w:rsid w:val="003B4647"/>
    <w:rsid w:val="003B4CF0"/>
    <w:rsid w:val="003B50BC"/>
    <w:rsid w:val="003B5198"/>
    <w:rsid w:val="003B5D97"/>
    <w:rsid w:val="003B5E94"/>
    <w:rsid w:val="003B63A4"/>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95D"/>
    <w:rsid w:val="003E4A6B"/>
    <w:rsid w:val="003E5487"/>
    <w:rsid w:val="003E5AA5"/>
    <w:rsid w:val="003E6316"/>
    <w:rsid w:val="003E6884"/>
    <w:rsid w:val="003E69F6"/>
    <w:rsid w:val="003E6AC5"/>
    <w:rsid w:val="003E7D7B"/>
    <w:rsid w:val="003F0096"/>
    <w:rsid w:val="003F0850"/>
    <w:rsid w:val="003F0D12"/>
    <w:rsid w:val="003F0D31"/>
    <w:rsid w:val="003F160C"/>
    <w:rsid w:val="003F231F"/>
    <w:rsid w:val="003F324F"/>
    <w:rsid w:val="003F33BC"/>
    <w:rsid w:val="003F35DB"/>
    <w:rsid w:val="003F3D4E"/>
    <w:rsid w:val="003F477E"/>
    <w:rsid w:val="003F52BA"/>
    <w:rsid w:val="003F6CD2"/>
    <w:rsid w:val="003F788D"/>
    <w:rsid w:val="0040126E"/>
    <w:rsid w:val="00401EEC"/>
    <w:rsid w:val="004020D4"/>
    <w:rsid w:val="004021B6"/>
    <w:rsid w:val="00402AA9"/>
    <w:rsid w:val="00404331"/>
    <w:rsid w:val="004047C4"/>
    <w:rsid w:val="0040570B"/>
    <w:rsid w:val="00405EDB"/>
    <w:rsid w:val="00405FB1"/>
    <w:rsid w:val="00406460"/>
    <w:rsid w:val="00406992"/>
    <w:rsid w:val="0040709A"/>
    <w:rsid w:val="00407E4F"/>
    <w:rsid w:val="00411470"/>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20DAE"/>
    <w:rsid w:val="00421752"/>
    <w:rsid w:val="00421B0E"/>
    <w:rsid w:val="00421DCF"/>
    <w:rsid w:val="00422341"/>
    <w:rsid w:val="00422AA5"/>
    <w:rsid w:val="00422F9E"/>
    <w:rsid w:val="00423641"/>
    <w:rsid w:val="00423C4D"/>
    <w:rsid w:val="0042467D"/>
    <w:rsid w:val="00424955"/>
    <w:rsid w:val="00426266"/>
    <w:rsid w:val="00426A84"/>
    <w:rsid w:val="00427DC7"/>
    <w:rsid w:val="00430A2D"/>
    <w:rsid w:val="00430B53"/>
    <w:rsid w:val="00430DC9"/>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ACF"/>
    <w:rsid w:val="00436E2F"/>
    <w:rsid w:val="00436EAB"/>
    <w:rsid w:val="0044016E"/>
    <w:rsid w:val="00444A93"/>
    <w:rsid w:val="004460E9"/>
    <w:rsid w:val="004461D9"/>
    <w:rsid w:val="00446AC6"/>
    <w:rsid w:val="0044759B"/>
    <w:rsid w:val="00447D7A"/>
    <w:rsid w:val="00447F54"/>
    <w:rsid w:val="00450B7E"/>
    <w:rsid w:val="00450E77"/>
    <w:rsid w:val="0045136B"/>
    <w:rsid w:val="00451C7E"/>
    <w:rsid w:val="0045342F"/>
    <w:rsid w:val="00453BB6"/>
    <w:rsid w:val="00453C7C"/>
    <w:rsid w:val="00453CAA"/>
    <w:rsid w:val="00455113"/>
    <w:rsid w:val="00455DB1"/>
    <w:rsid w:val="00456421"/>
    <w:rsid w:val="00456DAB"/>
    <w:rsid w:val="00456FBE"/>
    <w:rsid w:val="004573E7"/>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251F"/>
    <w:rsid w:val="004A342F"/>
    <w:rsid w:val="004A3BF1"/>
    <w:rsid w:val="004A3E42"/>
    <w:rsid w:val="004A446C"/>
    <w:rsid w:val="004A4715"/>
    <w:rsid w:val="004A5046"/>
    <w:rsid w:val="004A565E"/>
    <w:rsid w:val="004A5DF3"/>
    <w:rsid w:val="004A6134"/>
    <w:rsid w:val="004A65BF"/>
    <w:rsid w:val="004A7092"/>
    <w:rsid w:val="004A74B2"/>
    <w:rsid w:val="004B0962"/>
    <w:rsid w:val="004B1314"/>
    <w:rsid w:val="004B2570"/>
    <w:rsid w:val="004B29CC"/>
    <w:rsid w:val="004B329F"/>
    <w:rsid w:val="004B49E6"/>
    <w:rsid w:val="004B4CFA"/>
    <w:rsid w:val="004B4D69"/>
    <w:rsid w:val="004B5649"/>
    <w:rsid w:val="004B727A"/>
    <w:rsid w:val="004B775D"/>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3A"/>
    <w:rsid w:val="004E0768"/>
    <w:rsid w:val="004E1A31"/>
    <w:rsid w:val="004E2103"/>
    <w:rsid w:val="004E2BCA"/>
    <w:rsid w:val="004E2DE0"/>
    <w:rsid w:val="004E4060"/>
    <w:rsid w:val="004E409A"/>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3F43"/>
    <w:rsid w:val="00504BC1"/>
    <w:rsid w:val="0050510B"/>
    <w:rsid w:val="00505134"/>
    <w:rsid w:val="005058E3"/>
    <w:rsid w:val="00505C04"/>
    <w:rsid w:val="00505D6F"/>
    <w:rsid w:val="005101C4"/>
    <w:rsid w:val="00510D69"/>
    <w:rsid w:val="0051113F"/>
    <w:rsid w:val="00511EA0"/>
    <w:rsid w:val="00511F15"/>
    <w:rsid w:val="00512563"/>
    <w:rsid w:val="0051318C"/>
    <w:rsid w:val="0051359A"/>
    <w:rsid w:val="005142B0"/>
    <w:rsid w:val="005142CD"/>
    <w:rsid w:val="005142D3"/>
    <w:rsid w:val="005143C9"/>
    <w:rsid w:val="00514EFA"/>
    <w:rsid w:val="005151C3"/>
    <w:rsid w:val="005157A9"/>
    <w:rsid w:val="00516A23"/>
    <w:rsid w:val="005173A7"/>
    <w:rsid w:val="0051768E"/>
    <w:rsid w:val="005177E1"/>
    <w:rsid w:val="00520C0A"/>
    <w:rsid w:val="005215DB"/>
    <w:rsid w:val="005218B6"/>
    <w:rsid w:val="005219A8"/>
    <w:rsid w:val="00521B01"/>
    <w:rsid w:val="00522589"/>
    <w:rsid w:val="005227FD"/>
    <w:rsid w:val="00524545"/>
    <w:rsid w:val="0052477A"/>
    <w:rsid w:val="00524E65"/>
    <w:rsid w:val="005255BF"/>
    <w:rsid w:val="005257DE"/>
    <w:rsid w:val="00525E29"/>
    <w:rsid w:val="00527200"/>
    <w:rsid w:val="00530157"/>
    <w:rsid w:val="00531EBE"/>
    <w:rsid w:val="00532F8B"/>
    <w:rsid w:val="00533737"/>
    <w:rsid w:val="00533759"/>
    <w:rsid w:val="00535597"/>
    <w:rsid w:val="00535B79"/>
    <w:rsid w:val="00535D7C"/>
    <w:rsid w:val="00536579"/>
    <w:rsid w:val="00536C1E"/>
    <w:rsid w:val="00537088"/>
    <w:rsid w:val="00537330"/>
    <w:rsid w:val="00537813"/>
    <w:rsid w:val="005378D0"/>
    <w:rsid w:val="0054343A"/>
    <w:rsid w:val="00543974"/>
    <w:rsid w:val="00543EBF"/>
    <w:rsid w:val="00544ABA"/>
    <w:rsid w:val="00545037"/>
    <w:rsid w:val="00545665"/>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343"/>
    <w:rsid w:val="005615D8"/>
    <w:rsid w:val="005626D6"/>
    <w:rsid w:val="0056358F"/>
    <w:rsid w:val="00563602"/>
    <w:rsid w:val="0056389F"/>
    <w:rsid w:val="005638D4"/>
    <w:rsid w:val="005647D5"/>
    <w:rsid w:val="005656ED"/>
    <w:rsid w:val="00566544"/>
    <w:rsid w:val="00566608"/>
    <w:rsid w:val="00566C83"/>
    <w:rsid w:val="00567B9A"/>
    <w:rsid w:val="005700FE"/>
    <w:rsid w:val="00570E24"/>
    <w:rsid w:val="0057189E"/>
    <w:rsid w:val="00572760"/>
    <w:rsid w:val="00572815"/>
    <w:rsid w:val="005730F3"/>
    <w:rsid w:val="005740B8"/>
    <w:rsid w:val="005743DE"/>
    <w:rsid w:val="00574F3F"/>
    <w:rsid w:val="00575008"/>
    <w:rsid w:val="00575196"/>
    <w:rsid w:val="0057562C"/>
    <w:rsid w:val="005759F6"/>
    <w:rsid w:val="00575E3E"/>
    <w:rsid w:val="005765F5"/>
    <w:rsid w:val="00576D6C"/>
    <w:rsid w:val="00577A2E"/>
    <w:rsid w:val="005800B3"/>
    <w:rsid w:val="00580E48"/>
    <w:rsid w:val="00580F0A"/>
    <w:rsid w:val="00581246"/>
    <w:rsid w:val="00582251"/>
    <w:rsid w:val="00582278"/>
    <w:rsid w:val="005826B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64C"/>
    <w:rsid w:val="00593AB9"/>
    <w:rsid w:val="00594ABB"/>
    <w:rsid w:val="00594D1C"/>
    <w:rsid w:val="00594E36"/>
    <w:rsid w:val="00594F0A"/>
    <w:rsid w:val="0059525E"/>
    <w:rsid w:val="00595887"/>
    <w:rsid w:val="005961F7"/>
    <w:rsid w:val="00596648"/>
    <w:rsid w:val="00596B9C"/>
    <w:rsid w:val="005A054D"/>
    <w:rsid w:val="005A09C7"/>
    <w:rsid w:val="005A0A46"/>
    <w:rsid w:val="005A10B9"/>
    <w:rsid w:val="005A11EA"/>
    <w:rsid w:val="005A269F"/>
    <w:rsid w:val="005A305E"/>
    <w:rsid w:val="005A30BB"/>
    <w:rsid w:val="005A33D3"/>
    <w:rsid w:val="005A3887"/>
    <w:rsid w:val="005A4A92"/>
    <w:rsid w:val="005A623C"/>
    <w:rsid w:val="005A6537"/>
    <w:rsid w:val="005A7C61"/>
    <w:rsid w:val="005B0542"/>
    <w:rsid w:val="005B2225"/>
    <w:rsid w:val="005B2799"/>
    <w:rsid w:val="005B2B77"/>
    <w:rsid w:val="005B3D4A"/>
    <w:rsid w:val="005B4D87"/>
    <w:rsid w:val="005B538D"/>
    <w:rsid w:val="005B7186"/>
    <w:rsid w:val="005B74A6"/>
    <w:rsid w:val="005B7DD1"/>
    <w:rsid w:val="005C00A0"/>
    <w:rsid w:val="005C1F3F"/>
    <w:rsid w:val="005C28FA"/>
    <w:rsid w:val="005C372C"/>
    <w:rsid w:val="005C40F4"/>
    <w:rsid w:val="005C43BE"/>
    <w:rsid w:val="005C44F3"/>
    <w:rsid w:val="005C4A62"/>
    <w:rsid w:val="005C4BDD"/>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35CC"/>
    <w:rsid w:val="005E371E"/>
    <w:rsid w:val="005E53F9"/>
    <w:rsid w:val="005E6E57"/>
    <w:rsid w:val="005E775D"/>
    <w:rsid w:val="005E7D51"/>
    <w:rsid w:val="005F062E"/>
    <w:rsid w:val="005F0A43"/>
    <w:rsid w:val="005F2045"/>
    <w:rsid w:val="005F27BF"/>
    <w:rsid w:val="005F338E"/>
    <w:rsid w:val="005F3F35"/>
    <w:rsid w:val="005F4171"/>
    <w:rsid w:val="005F41AF"/>
    <w:rsid w:val="005F46D6"/>
    <w:rsid w:val="005F4CF3"/>
    <w:rsid w:val="005F4DD6"/>
    <w:rsid w:val="005F50D8"/>
    <w:rsid w:val="005F53A1"/>
    <w:rsid w:val="005F6B77"/>
    <w:rsid w:val="005F7487"/>
    <w:rsid w:val="005F7697"/>
    <w:rsid w:val="005F7751"/>
    <w:rsid w:val="005F78EA"/>
    <w:rsid w:val="006002C7"/>
    <w:rsid w:val="00600F95"/>
    <w:rsid w:val="00601839"/>
    <w:rsid w:val="00602759"/>
    <w:rsid w:val="0060277A"/>
    <w:rsid w:val="00602797"/>
    <w:rsid w:val="00602B7C"/>
    <w:rsid w:val="00603312"/>
    <w:rsid w:val="006035A7"/>
    <w:rsid w:val="00604DC7"/>
    <w:rsid w:val="00604E47"/>
    <w:rsid w:val="00605441"/>
    <w:rsid w:val="00605CF6"/>
    <w:rsid w:val="0060654D"/>
    <w:rsid w:val="00606970"/>
    <w:rsid w:val="00606A20"/>
    <w:rsid w:val="006072C6"/>
    <w:rsid w:val="00607A02"/>
    <w:rsid w:val="00607A2E"/>
    <w:rsid w:val="00611FF9"/>
    <w:rsid w:val="006130F7"/>
    <w:rsid w:val="00613A98"/>
    <w:rsid w:val="00613AF8"/>
    <w:rsid w:val="00613D8E"/>
    <w:rsid w:val="006142E0"/>
    <w:rsid w:val="00614BE3"/>
    <w:rsid w:val="00615E74"/>
    <w:rsid w:val="00616112"/>
    <w:rsid w:val="006165B4"/>
    <w:rsid w:val="006205CA"/>
    <w:rsid w:val="00621E22"/>
    <w:rsid w:val="00621F53"/>
    <w:rsid w:val="00622E2A"/>
    <w:rsid w:val="00623089"/>
    <w:rsid w:val="0062308E"/>
    <w:rsid w:val="00623175"/>
    <w:rsid w:val="006234C4"/>
    <w:rsid w:val="006244C9"/>
    <w:rsid w:val="006245F6"/>
    <w:rsid w:val="0062475D"/>
    <w:rsid w:val="0062495F"/>
    <w:rsid w:val="00624D50"/>
    <w:rsid w:val="00625184"/>
    <w:rsid w:val="0062660B"/>
    <w:rsid w:val="00626AD1"/>
    <w:rsid w:val="00627411"/>
    <w:rsid w:val="006304BC"/>
    <w:rsid w:val="00630DCE"/>
    <w:rsid w:val="006310F0"/>
    <w:rsid w:val="0063120A"/>
    <w:rsid w:val="0063150B"/>
    <w:rsid w:val="00631585"/>
    <w:rsid w:val="00632126"/>
    <w:rsid w:val="00633A4C"/>
    <w:rsid w:val="0063454B"/>
    <w:rsid w:val="00634ACF"/>
    <w:rsid w:val="00634C10"/>
    <w:rsid w:val="00635035"/>
    <w:rsid w:val="0063580D"/>
    <w:rsid w:val="00635CAE"/>
    <w:rsid w:val="00637240"/>
    <w:rsid w:val="00640A80"/>
    <w:rsid w:val="00640D9B"/>
    <w:rsid w:val="00640F77"/>
    <w:rsid w:val="00641F8D"/>
    <w:rsid w:val="00643660"/>
    <w:rsid w:val="006450C5"/>
    <w:rsid w:val="00646008"/>
    <w:rsid w:val="00650139"/>
    <w:rsid w:val="00651100"/>
    <w:rsid w:val="00652756"/>
    <w:rsid w:val="00652AD8"/>
    <w:rsid w:val="00652B79"/>
    <w:rsid w:val="006533C3"/>
    <w:rsid w:val="00654068"/>
    <w:rsid w:val="006543B5"/>
    <w:rsid w:val="00654B38"/>
    <w:rsid w:val="00654B83"/>
    <w:rsid w:val="00654D49"/>
    <w:rsid w:val="00655061"/>
    <w:rsid w:val="0065510C"/>
    <w:rsid w:val="00655B63"/>
    <w:rsid w:val="00656EF8"/>
    <w:rsid w:val="00656FDC"/>
    <w:rsid w:val="006571F6"/>
    <w:rsid w:val="00657E2C"/>
    <w:rsid w:val="00657FA0"/>
    <w:rsid w:val="00660D0B"/>
    <w:rsid w:val="006618CC"/>
    <w:rsid w:val="00661BC8"/>
    <w:rsid w:val="00662111"/>
    <w:rsid w:val="00662118"/>
    <w:rsid w:val="006638AD"/>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FD4"/>
    <w:rsid w:val="00686253"/>
    <w:rsid w:val="00686612"/>
    <w:rsid w:val="0068661E"/>
    <w:rsid w:val="00686943"/>
    <w:rsid w:val="006879EF"/>
    <w:rsid w:val="0069012B"/>
    <w:rsid w:val="00690A49"/>
    <w:rsid w:val="00690BB6"/>
    <w:rsid w:val="006912EC"/>
    <w:rsid w:val="00691B30"/>
    <w:rsid w:val="00693E1F"/>
    <w:rsid w:val="00693ECB"/>
    <w:rsid w:val="00694797"/>
    <w:rsid w:val="00694C36"/>
    <w:rsid w:val="00695175"/>
    <w:rsid w:val="00695887"/>
    <w:rsid w:val="00696E01"/>
    <w:rsid w:val="00697733"/>
    <w:rsid w:val="006A112D"/>
    <w:rsid w:val="006A12F0"/>
    <w:rsid w:val="006A1979"/>
    <w:rsid w:val="006A1EDA"/>
    <w:rsid w:val="006A254E"/>
    <w:rsid w:val="006A2C30"/>
    <w:rsid w:val="006A301C"/>
    <w:rsid w:val="006A3E2B"/>
    <w:rsid w:val="006A4224"/>
    <w:rsid w:val="006A4934"/>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34F"/>
    <w:rsid w:val="006D00DB"/>
    <w:rsid w:val="006D0361"/>
    <w:rsid w:val="006D1504"/>
    <w:rsid w:val="006D16B0"/>
    <w:rsid w:val="006D2182"/>
    <w:rsid w:val="006D2444"/>
    <w:rsid w:val="006D254B"/>
    <w:rsid w:val="006D289B"/>
    <w:rsid w:val="006D3930"/>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2595"/>
    <w:rsid w:val="006E45F3"/>
    <w:rsid w:val="006E4A2F"/>
    <w:rsid w:val="006E4ED4"/>
    <w:rsid w:val="006E5E19"/>
    <w:rsid w:val="006E61C3"/>
    <w:rsid w:val="006E633E"/>
    <w:rsid w:val="006E7370"/>
    <w:rsid w:val="006E799D"/>
    <w:rsid w:val="006F0593"/>
    <w:rsid w:val="006F08B2"/>
    <w:rsid w:val="006F1064"/>
    <w:rsid w:val="006F1A51"/>
    <w:rsid w:val="006F1EB7"/>
    <w:rsid w:val="006F2689"/>
    <w:rsid w:val="006F52E5"/>
    <w:rsid w:val="006F6066"/>
    <w:rsid w:val="006F63AC"/>
    <w:rsid w:val="006F6850"/>
    <w:rsid w:val="006F707E"/>
    <w:rsid w:val="007001DC"/>
    <w:rsid w:val="0070048C"/>
    <w:rsid w:val="00700835"/>
    <w:rsid w:val="00700F13"/>
    <w:rsid w:val="007025CB"/>
    <w:rsid w:val="00702A7C"/>
    <w:rsid w:val="007034AA"/>
    <w:rsid w:val="00703C9D"/>
    <w:rsid w:val="0070490C"/>
    <w:rsid w:val="00704E00"/>
    <w:rsid w:val="00705C38"/>
    <w:rsid w:val="00705F2D"/>
    <w:rsid w:val="00706465"/>
    <w:rsid w:val="0070695A"/>
    <w:rsid w:val="0070782D"/>
    <w:rsid w:val="007109C2"/>
    <w:rsid w:val="00710AF4"/>
    <w:rsid w:val="00711340"/>
    <w:rsid w:val="00711D7C"/>
    <w:rsid w:val="00712C42"/>
    <w:rsid w:val="007136D0"/>
    <w:rsid w:val="00713DE4"/>
    <w:rsid w:val="00714A41"/>
    <w:rsid w:val="00714C47"/>
    <w:rsid w:val="00715485"/>
    <w:rsid w:val="0071590F"/>
    <w:rsid w:val="00716462"/>
    <w:rsid w:val="0071649D"/>
    <w:rsid w:val="0072040B"/>
    <w:rsid w:val="00721084"/>
    <w:rsid w:val="00721262"/>
    <w:rsid w:val="00721D9B"/>
    <w:rsid w:val="00722121"/>
    <w:rsid w:val="007224B9"/>
    <w:rsid w:val="00722F94"/>
    <w:rsid w:val="00723AA7"/>
    <w:rsid w:val="0072432E"/>
    <w:rsid w:val="00724593"/>
    <w:rsid w:val="007246B9"/>
    <w:rsid w:val="007258FB"/>
    <w:rsid w:val="00726036"/>
    <w:rsid w:val="00726279"/>
    <w:rsid w:val="007269CB"/>
    <w:rsid w:val="00726A9B"/>
    <w:rsid w:val="00727530"/>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3A"/>
    <w:rsid w:val="0074264F"/>
    <w:rsid w:val="007427B5"/>
    <w:rsid w:val="00742865"/>
    <w:rsid w:val="0074296C"/>
    <w:rsid w:val="00742C83"/>
    <w:rsid w:val="0074360F"/>
    <w:rsid w:val="00744181"/>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B83"/>
    <w:rsid w:val="00751D0A"/>
    <w:rsid w:val="007524ED"/>
    <w:rsid w:val="00752975"/>
    <w:rsid w:val="00754359"/>
    <w:rsid w:val="00754411"/>
    <w:rsid w:val="00754BD9"/>
    <w:rsid w:val="00754E7A"/>
    <w:rsid w:val="0075540C"/>
    <w:rsid w:val="007557B0"/>
    <w:rsid w:val="00755DB1"/>
    <w:rsid w:val="0075687A"/>
    <w:rsid w:val="007569EF"/>
    <w:rsid w:val="007574FC"/>
    <w:rsid w:val="0075775E"/>
    <w:rsid w:val="007605AF"/>
    <w:rsid w:val="00760975"/>
    <w:rsid w:val="00760C76"/>
    <w:rsid w:val="00761FDA"/>
    <w:rsid w:val="007621FF"/>
    <w:rsid w:val="007628D8"/>
    <w:rsid w:val="007634E3"/>
    <w:rsid w:val="00763B00"/>
    <w:rsid w:val="00764194"/>
    <w:rsid w:val="007644F3"/>
    <w:rsid w:val="0076503B"/>
    <w:rsid w:val="00765167"/>
    <w:rsid w:val="00765ED3"/>
    <w:rsid w:val="0076681D"/>
    <w:rsid w:val="0076698C"/>
    <w:rsid w:val="00766A65"/>
    <w:rsid w:val="007671F5"/>
    <w:rsid w:val="007676B8"/>
    <w:rsid w:val="00767755"/>
    <w:rsid w:val="00770127"/>
    <w:rsid w:val="00770633"/>
    <w:rsid w:val="0077175C"/>
    <w:rsid w:val="00771870"/>
    <w:rsid w:val="00771BF9"/>
    <w:rsid w:val="00772F8A"/>
    <w:rsid w:val="007739C6"/>
    <w:rsid w:val="0077479B"/>
    <w:rsid w:val="00774889"/>
    <w:rsid w:val="00774FF5"/>
    <w:rsid w:val="007750B3"/>
    <w:rsid w:val="0077543A"/>
    <w:rsid w:val="00775507"/>
    <w:rsid w:val="007756DF"/>
    <w:rsid w:val="00775B47"/>
    <w:rsid w:val="00775F76"/>
    <w:rsid w:val="00776AEA"/>
    <w:rsid w:val="00777BA0"/>
    <w:rsid w:val="007803BD"/>
    <w:rsid w:val="007811DC"/>
    <w:rsid w:val="00781D16"/>
    <w:rsid w:val="007820FA"/>
    <w:rsid w:val="007825F7"/>
    <w:rsid w:val="0078285F"/>
    <w:rsid w:val="00782CEF"/>
    <w:rsid w:val="00783207"/>
    <w:rsid w:val="00783E1D"/>
    <w:rsid w:val="0078421E"/>
    <w:rsid w:val="0078483B"/>
    <w:rsid w:val="00784EED"/>
    <w:rsid w:val="00785900"/>
    <w:rsid w:val="00786958"/>
    <w:rsid w:val="00786E71"/>
    <w:rsid w:val="0079162F"/>
    <w:rsid w:val="007920CE"/>
    <w:rsid w:val="00792788"/>
    <w:rsid w:val="00794924"/>
    <w:rsid w:val="007961D3"/>
    <w:rsid w:val="0079695B"/>
    <w:rsid w:val="007A084D"/>
    <w:rsid w:val="007A0BC2"/>
    <w:rsid w:val="007A1F44"/>
    <w:rsid w:val="007A23FF"/>
    <w:rsid w:val="007A2564"/>
    <w:rsid w:val="007A295B"/>
    <w:rsid w:val="007A3232"/>
    <w:rsid w:val="007A3424"/>
    <w:rsid w:val="007A35EF"/>
    <w:rsid w:val="007A43A2"/>
    <w:rsid w:val="007A4D04"/>
    <w:rsid w:val="007A64A2"/>
    <w:rsid w:val="007A6736"/>
    <w:rsid w:val="007A74B1"/>
    <w:rsid w:val="007A7857"/>
    <w:rsid w:val="007A7983"/>
    <w:rsid w:val="007A7A96"/>
    <w:rsid w:val="007B03AF"/>
    <w:rsid w:val="007B042F"/>
    <w:rsid w:val="007B0909"/>
    <w:rsid w:val="007B1543"/>
    <w:rsid w:val="007B1AC0"/>
    <w:rsid w:val="007B1E5A"/>
    <w:rsid w:val="007B270A"/>
    <w:rsid w:val="007B2D3B"/>
    <w:rsid w:val="007B51FB"/>
    <w:rsid w:val="007B52CD"/>
    <w:rsid w:val="007B6891"/>
    <w:rsid w:val="007B78DE"/>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95D"/>
    <w:rsid w:val="007D4178"/>
    <w:rsid w:val="007D4D33"/>
    <w:rsid w:val="007D6111"/>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C58"/>
    <w:rsid w:val="007F4445"/>
    <w:rsid w:val="007F54AC"/>
    <w:rsid w:val="007F5677"/>
    <w:rsid w:val="007F6880"/>
    <w:rsid w:val="007F76B4"/>
    <w:rsid w:val="008001B4"/>
    <w:rsid w:val="00800769"/>
    <w:rsid w:val="008008AD"/>
    <w:rsid w:val="00800ED2"/>
    <w:rsid w:val="00802A4D"/>
    <w:rsid w:val="00802E74"/>
    <w:rsid w:val="00803554"/>
    <w:rsid w:val="00803AC8"/>
    <w:rsid w:val="00804B92"/>
    <w:rsid w:val="00804E21"/>
    <w:rsid w:val="00805092"/>
    <w:rsid w:val="008059BD"/>
    <w:rsid w:val="00806037"/>
    <w:rsid w:val="00806AAF"/>
    <w:rsid w:val="008070AC"/>
    <w:rsid w:val="00807999"/>
    <w:rsid w:val="00807B9C"/>
    <w:rsid w:val="008101FD"/>
    <w:rsid w:val="00810925"/>
    <w:rsid w:val="00810D8D"/>
    <w:rsid w:val="008117C0"/>
    <w:rsid w:val="00811835"/>
    <w:rsid w:val="008146EA"/>
    <w:rsid w:val="00814DB4"/>
    <w:rsid w:val="00815048"/>
    <w:rsid w:val="0081581D"/>
    <w:rsid w:val="008172BE"/>
    <w:rsid w:val="00817B71"/>
    <w:rsid w:val="0082000B"/>
    <w:rsid w:val="00820244"/>
    <w:rsid w:val="00820BA5"/>
    <w:rsid w:val="008218B9"/>
    <w:rsid w:val="008221B3"/>
    <w:rsid w:val="0082248E"/>
    <w:rsid w:val="00823021"/>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76F6"/>
    <w:rsid w:val="00837D5B"/>
    <w:rsid w:val="00840607"/>
    <w:rsid w:val="00841686"/>
    <w:rsid w:val="00841CD2"/>
    <w:rsid w:val="00842B77"/>
    <w:rsid w:val="0084309F"/>
    <w:rsid w:val="0084341D"/>
    <w:rsid w:val="00843507"/>
    <w:rsid w:val="00844FCF"/>
    <w:rsid w:val="00845542"/>
    <w:rsid w:val="00845C12"/>
    <w:rsid w:val="008469D9"/>
    <w:rsid w:val="00846DC0"/>
    <w:rsid w:val="008474A7"/>
    <w:rsid w:val="00850048"/>
    <w:rsid w:val="008506B6"/>
    <w:rsid w:val="00850AE0"/>
    <w:rsid w:val="008524D2"/>
    <w:rsid w:val="00852E19"/>
    <w:rsid w:val="008542D4"/>
    <w:rsid w:val="00855AFF"/>
    <w:rsid w:val="00856833"/>
    <w:rsid w:val="00856840"/>
    <w:rsid w:val="00857932"/>
    <w:rsid w:val="00857B82"/>
    <w:rsid w:val="00860407"/>
    <w:rsid w:val="0086087C"/>
    <w:rsid w:val="00860D8E"/>
    <w:rsid w:val="00862406"/>
    <w:rsid w:val="0086275E"/>
    <w:rsid w:val="00864440"/>
    <w:rsid w:val="00864483"/>
    <w:rsid w:val="00864D76"/>
    <w:rsid w:val="00864D77"/>
    <w:rsid w:val="008650FC"/>
    <w:rsid w:val="00865C63"/>
    <w:rsid w:val="00866EB3"/>
    <w:rsid w:val="0086701A"/>
    <w:rsid w:val="00867BD2"/>
    <w:rsid w:val="0087006F"/>
    <w:rsid w:val="00870522"/>
    <w:rsid w:val="00870C98"/>
    <w:rsid w:val="008712FD"/>
    <w:rsid w:val="008716A1"/>
    <w:rsid w:val="00871A89"/>
    <w:rsid w:val="00872D3F"/>
    <w:rsid w:val="008733E4"/>
    <w:rsid w:val="00873F15"/>
    <w:rsid w:val="00874096"/>
    <w:rsid w:val="00874683"/>
    <w:rsid w:val="00874CD7"/>
    <w:rsid w:val="008756A4"/>
    <w:rsid w:val="008757B9"/>
    <w:rsid w:val="00875B13"/>
    <w:rsid w:val="00875F73"/>
    <w:rsid w:val="00880F30"/>
    <w:rsid w:val="00881CD6"/>
    <w:rsid w:val="008827DA"/>
    <w:rsid w:val="00882F73"/>
    <w:rsid w:val="008833C1"/>
    <w:rsid w:val="008833E8"/>
    <w:rsid w:val="00883484"/>
    <w:rsid w:val="00883F48"/>
    <w:rsid w:val="00884879"/>
    <w:rsid w:val="008850AE"/>
    <w:rsid w:val="00887B48"/>
    <w:rsid w:val="00890B1C"/>
    <w:rsid w:val="0089176E"/>
    <w:rsid w:val="008917E0"/>
    <w:rsid w:val="00892365"/>
    <w:rsid w:val="00892A92"/>
    <w:rsid w:val="00892BE5"/>
    <w:rsid w:val="0089306F"/>
    <w:rsid w:val="0089387C"/>
    <w:rsid w:val="0089444E"/>
    <w:rsid w:val="0089494D"/>
    <w:rsid w:val="008949DF"/>
    <w:rsid w:val="00894C7B"/>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4D8A"/>
    <w:rsid w:val="008B5299"/>
    <w:rsid w:val="008B5A5F"/>
    <w:rsid w:val="008B5AB0"/>
    <w:rsid w:val="008B5C49"/>
    <w:rsid w:val="008B6054"/>
    <w:rsid w:val="008B7B08"/>
    <w:rsid w:val="008C13F0"/>
    <w:rsid w:val="008C1CFD"/>
    <w:rsid w:val="008C1F26"/>
    <w:rsid w:val="008C2A3A"/>
    <w:rsid w:val="008C498C"/>
    <w:rsid w:val="008C4C7E"/>
    <w:rsid w:val="008C5C46"/>
    <w:rsid w:val="008C6184"/>
    <w:rsid w:val="008C635F"/>
    <w:rsid w:val="008C785E"/>
    <w:rsid w:val="008D0AFB"/>
    <w:rsid w:val="008D0DFE"/>
    <w:rsid w:val="008D1511"/>
    <w:rsid w:val="008D1ABE"/>
    <w:rsid w:val="008D2441"/>
    <w:rsid w:val="008D32DF"/>
    <w:rsid w:val="008D35E9"/>
    <w:rsid w:val="008D3959"/>
    <w:rsid w:val="008D3966"/>
    <w:rsid w:val="008D4352"/>
    <w:rsid w:val="008D52EB"/>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B7"/>
    <w:rsid w:val="008E5BF2"/>
    <w:rsid w:val="008E5C81"/>
    <w:rsid w:val="008E75E7"/>
    <w:rsid w:val="008F0A38"/>
    <w:rsid w:val="008F0C91"/>
    <w:rsid w:val="008F0F84"/>
    <w:rsid w:val="008F1014"/>
    <w:rsid w:val="008F11C9"/>
    <w:rsid w:val="008F23D8"/>
    <w:rsid w:val="008F2FD5"/>
    <w:rsid w:val="008F37E5"/>
    <w:rsid w:val="008F387C"/>
    <w:rsid w:val="008F3998"/>
    <w:rsid w:val="008F41B4"/>
    <w:rsid w:val="008F48C2"/>
    <w:rsid w:val="008F5840"/>
    <w:rsid w:val="008F5EEF"/>
    <w:rsid w:val="008F6262"/>
    <w:rsid w:val="008F66FE"/>
    <w:rsid w:val="008F72CC"/>
    <w:rsid w:val="008F72CD"/>
    <w:rsid w:val="00900885"/>
    <w:rsid w:val="00901CA9"/>
    <w:rsid w:val="00902140"/>
    <w:rsid w:val="00902F51"/>
    <w:rsid w:val="00903802"/>
    <w:rsid w:val="0090696D"/>
    <w:rsid w:val="00906CD6"/>
    <w:rsid w:val="00906E4D"/>
    <w:rsid w:val="00906F31"/>
    <w:rsid w:val="009078B3"/>
    <w:rsid w:val="00907A77"/>
    <w:rsid w:val="00907AE4"/>
    <w:rsid w:val="00907E00"/>
    <w:rsid w:val="009103C5"/>
    <w:rsid w:val="009107E7"/>
    <w:rsid w:val="0091088D"/>
    <w:rsid w:val="00910C1F"/>
    <w:rsid w:val="00910FC9"/>
    <w:rsid w:val="009117DC"/>
    <w:rsid w:val="009124BD"/>
    <w:rsid w:val="0091291A"/>
    <w:rsid w:val="00913612"/>
    <w:rsid w:val="0091366A"/>
    <w:rsid w:val="00913824"/>
    <w:rsid w:val="00914C21"/>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33"/>
    <w:rsid w:val="00925BA8"/>
    <w:rsid w:val="00925BAA"/>
    <w:rsid w:val="00926DA7"/>
    <w:rsid w:val="0092781E"/>
    <w:rsid w:val="00927F8B"/>
    <w:rsid w:val="0093003D"/>
    <w:rsid w:val="0093094D"/>
    <w:rsid w:val="009325F3"/>
    <w:rsid w:val="009328C7"/>
    <w:rsid w:val="009336EC"/>
    <w:rsid w:val="00933C1C"/>
    <w:rsid w:val="00933F56"/>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47E32"/>
    <w:rsid w:val="0095048D"/>
    <w:rsid w:val="0095055E"/>
    <w:rsid w:val="00951459"/>
    <w:rsid w:val="00951491"/>
    <w:rsid w:val="00951ADB"/>
    <w:rsid w:val="0095380C"/>
    <w:rsid w:val="00953976"/>
    <w:rsid w:val="00953A39"/>
    <w:rsid w:val="00954353"/>
    <w:rsid w:val="00955C0A"/>
    <w:rsid w:val="00955C4F"/>
    <w:rsid w:val="009563C7"/>
    <w:rsid w:val="00957CE3"/>
    <w:rsid w:val="00960DA1"/>
    <w:rsid w:val="00960F20"/>
    <w:rsid w:val="0096354D"/>
    <w:rsid w:val="009639CF"/>
    <w:rsid w:val="00964054"/>
    <w:rsid w:val="00964983"/>
    <w:rsid w:val="009657C4"/>
    <w:rsid w:val="009657F1"/>
    <w:rsid w:val="00965DE9"/>
    <w:rsid w:val="0096625D"/>
    <w:rsid w:val="009709F8"/>
    <w:rsid w:val="00970C26"/>
    <w:rsid w:val="0097171F"/>
    <w:rsid w:val="0097258B"/>
    <w:rsid w:val="00972929"/>
    <w:rsid w:val="00972F91"/>
    <w:rsid w:val="00973827"/>
    <w:rsid w:val="00973991"/>
    <w:rsid w:val="009742D3"/>
    <w:rsid w:val="00974E52"/>
    <w:rsid w:val="009756F7"/>
    <w:rsid w:val="00975E86"/>
    <w:rsid w:val="0097626F"/>
    <w:rsid w:val="0097673E"/>
    <w:rsid w:val="00976CE6"/>
    <w:rsid w:val="00977635"/>
    <w:rsid w:val="00977BA7"/>
    <w:rsid w:val="0098020A"/>
    <w:rsid w:val="00980517"/>
    <w:rsid w:val="009812C4"/>
    <w:rsid w:val="0098194F"/>
    <w:rsid w:val="00981FD1"/>
    <w:rsid w:val="009826C8"/>
    <w:rsid w:val="00983015"/>
    <w:rsid w:val="009836E4"/>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C6F"/>
    <w:rsid w:val="009A14EF"/>
    <w:rsid w:val="009A1507"/>
    <w:rsid w:val="009A2DF9"/>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9BC"/>
    <w:rsid w:val="009C3D0E"/>
    <w:rsid w:val="009C4788"/>
    <w:rsid w:val="009C4BC2"/>
    <w:rsid w:val="009C4BC4"/>
    <w:rsid w:val="009C4D22"/>
    <w:rsid w:val="009C6BBC"/>
    <w:rsid w:val="009C6F12"/>
    <w:rsid w:val="009C7320"/>
    <w:rsid w:val="009D0198"/>
    <w:rsid w:val="009D0729"/>
    <w:rsid w:val="009D0F66"/>
    <w:rsid w:val="009D18B3"/>
    <w:rsid w:val="009D1A06"/>
    <w:rsid w:val="009D1BA4"/>
    <w:rsid w:val="009D22E4"/>
    <w:rsid w:val="009D22F7"/>
    <w:rsid w:val="009D310C"/>
    <w:rsid w:val="009D319C"/>
    <w:rsid w:val="009D4677"/>
    <w:rsid w:val="009D52F0"/>
    <w:rsid w:val="009D5BAB"/>
    <w:rsid w:val="009D6916"/>
    <w:rsid w:val="009D6A0A"/>
    <w:rsid w:val="009D7954"/>
    <w:rsid w:val="009E058F"/>
    <w:rsid w:val="009E0A9E"/>
    <w:rsid w:val="009E19A2"/>
    <w:rsid w:val="009E3AFD"/>
    <w:rsid w:val="009E3CDD"/>
    <w:rsid w:val="009E3D6C"/>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3ED"/>
    <w:rsid w:val="00A03550"/>
    <w:rsid w:val="00A03A22"/>
    <w:rsid w:val="00A03E62"/>
    <w:rsid w:val="00A04634"/>
    <w:rsid w:val="00A04EF5"/>
    <w:rsid w:val="00A0543B"/>
    <w:rsid w:val="00A055B5"/>
    <w:rsid w:val="00A06119"/>
    <w:rsid w:val="00A07A48"/>
    <w:rsid w:val="00A108EE"/>
    <w:rsid w:val="00A10BB8"/>
    <w:rsid w:val="00A11548"/>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376F"/>
    <w:rsid w:val="00A4549F"/>
    <w:rsid w:val="00A45B9B"/>
    <w:rsid w:val="00A45EE4"/>
    <w:rsid w:val="00A462FE"/>
    <w:rsid w:val="00A501C9"/>
    <w:rsid w:val="00A50506"/>
    <w:rsid w:val="00A52A4C"/>
    <w:rsid w:val="00A52C21"/>
    <w:rsid w:val="00A52F80"/>
    <w:rsid w:val="00A53A0D"/>
    <w:rsid w:val="00A53F55"/>
    <w:rsid w:val="00A5417B"/>
    <w:rsid w:val="00A54599"/>
    <w:rsid w:val="00A54B82"/>
    <w:rsid w:val="00A54E68"/>
    <w:rsid w:val="00A54E8C"/>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643C"/>
    <w:rsid w:val="00A67544"/>
    <w:rsid w:val="00A705CE"/>
    <w:rsid w:val="00A7075B"/>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3ED8"/>
    <w:rsid w:val="00A94366"/>
    <w:rsid w:val="00A94D01"/>
    <w:rsid w:val="00A95265"/>
    <w:rsid w:val="00A957E7"/>
    <w:rsid w:val="00A963C7"/>
    <w:rsid w:val="00AA1626"/>
    <w:rsid w:val="00AA19A6"/>
    <w:rsid w:val="00AA1C25"/>
    <w:rsid w:val="00AA36C4"/>
    <w:rsid w:val="00AA3CD1"/>
    <w:rsid w:val="00AA3DB7"/>
    <w:rsid w:val="00AA51F5"/>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ADF"/>
    <w:rsid w:val="00AB5DBE"/>
    <w:rsid w:val="00AB5DE1"/>
    <w:rsid w:val="00AB5E57"/>
    <w:rsid w:val="00AB6EAA"/>
    <w:rsid w:val="00AB725F"/>
    <w:rsid w:val="00AC0705"/>
    <w:rsid w:val="00AC109B"/>
    <w:rsid w:val="00AC2291"/>
    <w:rsid w:val="00AC3396"/>
    <w:rsid w:val="00AC48CA"/>
    <w:rsid w:val="00AC5349"/>
    <w:rsid w:val="00AC53D0"/>
    <w:rsid w:val="00AC74DA"/>
    <w:rsid w:val="00AC74ED"/>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6C6"/>
    <w:rsid w:val="00AD7305"/>
    <w:rsid w:val="00AD7E64"/>
    <w:rsid w:val="00AE0C56"/>
    <w:rsid w:val="00AE149E"/>
    <w:rsid w:val="00AE1563"/>
    <w:rsid w:val="00AE1752"/>
    <w:rsid w:val="00AE22F2"/>
    <w:rsid w:val="00AE29FC"/>
    <w:rsid w:val="00AE2F3F"/>
    <w:rsid w:val="00AE3844"/>
    <w:rsid w:val="00AE3B4E"/>
    <w:rsid w:val="00AE48CB"/>
    <w:rsid w:val="00AE59EC"/>
    <w:rsid w:val="00AE602D"/>
    <w:rsid w:val="00AE67B3"/>
    <w:rsid w:val="00AE6DE8"/>
    <w:rsid w:val="00AE7864"/>
    <w:rsid w:val="00AE7949"/>
    <w:rsid w:val="00AF0362"/>
    <w:rsid w:val="00AF0FBA"/>
    <w:rsid w:val="00AF25D5"/>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5CE3"/>
    <w:rsid w:val="00B1000C"/>
    <w:rsid w:val="00B10558"/>
    <w:rsid w:val="00B10B8D"/>
    <w:rsid w:val="00B11F2F"/>
    <w:rsid w:val="00B12CD0"/>
    <w:rsid w:val="00B147F5"/>
    <w:rsid w:val="00B14A7B"/>
    <w:rsid w:val="00B156A9"/>
    <w:rsid w:val="00B15F83"/>
    <w:rsid w:val="00B160FF"/>
    <w:rsid w:val="00B16322"/>
    <w:rsid w:val="00B1662E"/>
    <w:rsid w:val="00B16A6F"/>
    <w:rsid w:val="00B17C06"/>
    <w:rsid w:val="00B17D7E"/>
    <w:rsid w:val="00B221DF"/>
    <w:rsid w:val="00B225B9"/>
    <w:rsid w:val="00B22C0D"/>
    <w:rsid w:val="00B23AF4"/>
    <w:rsid w:val="00B23C15"/>
    <w:rsid w:val="00B23FD7"/>
    <w:rsid w:val="00B25230"/>
    <w:rsid w:val="00B25274"/>
    <w:rsid w:val="00B25762"/>
    <w:rsid w:val="00B25B40"/>
    <w:rsid w:val="00B25FDE"/>
    <w:rsid w:val="00B26AB0"/>
    <w:rsid w:val="00B26AD2"/>
    <w:rsid w:val="00B26CA2"/>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76E"/>
    <w:rsid w:val="00B37D97"/>
    <w:rsid w:val="00B411BD"/>
    <w:rsid w:val="00B41559"/>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1542"/>
    <w:rsid w:val="00B51D1D"/>
    <w:rsid w:val="00B5310E"/>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11CE"/>
    <w:rsid w:val="00B71797"/>
    <w:rsid w:val="00B71DC8"/>
    <w:rsid w:val="00B733A2"/>
    <w:rsid w:val="00B73476"/>
    <w:rsid w:val="00B73DD9"/>
    <w:rsid w:val="00B746C6"/>
    <w:rsid w:val="00B74EC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53BE"/>
    <w:rsid w:val="00B86476"/>
    <w:rsid w:val="00B86A3D"/>
    <w:rsid w:val="00B86D04"/>
    <w:rsid w:val="00B875C7"/>
    <w:rsid w:val="00B90AA5"/>
    <w:rsid w:val="00B90D10"/>
    <w:rsid w:val="00B90FE5"/>
    <w:rsid w:val="00B919AD"/>
    <w:rsid w:val="00B91A2B"/>
    <w:rsid w:val="00B92B8D"/>
    <w:rsid w:val="00B93204"/>
    <w:rsid w:val="00B9346A"/>
    <w:rsid w:val="00B94E17"/>
    <w:rsid w:val="00B957FE"/>
    <w:rsid w:val="00B95F02"/>
    <w:rsid w:val="00B96BEF"/>
    <w:rsid w:val="00B96FC0"/>
    <w:rsid w:val="00B97260"/>
    <w:rsid w:val="00B97A69"/>
    <w:rsid w:val="00BA03FC"/>
    <w:rsid w:val="00BA0632"/>
    <w:rsid w:val="00BA0AAA"/>
    <w:rsid w:val="00BA0DFB"/>
    <w:rsid w:val="00BA15D2"/>
    <w:rsid w:val="00BA2FEF"/>
    <w:rsid w:val="00BA3C50"/>
    <w:rsid w:val="00BA46A7"/>
    <w:rsid w:val="00BA4FC0"/>
    <w:rsid w:val="00BA5A68"/>
    <w:rsid w:val="00BA6C5F"/>
    <w:rsid w:val="00BB0ADB"/>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2E9"/>
    <w:rsid w:val="00BE6B75"/>
    <w:rsid w:val="00BE7C4D"/>
    <w:rsid w:val="00BE7F6A"/>
    <w:rsid w:val="00BF0274"/>
    <w:rsid w:val="00BF08C4"/>
    <w:rsid w:val="00BF0BAF"/>
    <w:rsid w:val="00BF19CE"/>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35A9"/>
    <w:rsid w:val="00C0364E"/>
    <w:rsid w:val="00C03EE8"/>
    <w:rsid w:val="00C05398"/>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A2B"/>
    <w:rsid w:val="00C26DB8"/>
    <w:rsid w:val="00C273F4"/>
    <w:rsid w:val="00C322E0"/>
    <w:rsid w:val="00C329B5"/>
    <w:rsid w:val="00C32FD4"/>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7AA"/>
    <w:rsid w:val="00C43032"/>
    <w:rsid w:val="00C4304C"/>
    <w:rsid w:val="00C43315"/>
    <w:rsid w:val="00C4357D"/>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DFF"/>
    <w:rsid w:val="00C7235E"/>
    <w:rsid w:val="00C727B6"/>
    <w:rsid w:val="00C73B4F"/>
    <w:rsid w:val="00C73CC6"/>
    <w:rsid w:val="00C74B32"/>
    <w:rsid w:val="00C75A6B"/>
    <w:rsid w:val="00C763B6"/>
    <w:rsid w:val="00C7644F"/>
    <w:rsid w:val="00C768F6"/>
    <w:rsid w:val="00C77ED2"/>
    <w:rsid w:val="00C80073"/>
    <w:rsid w:val="00C80DEA"/>
    <w:rsid w:val="00C81D67"/>
    <w:rsid w:val="00C826D8"/>
    <w:rsid w:val="00C82B6A"/>
    <w:rsid w:val="00C832DC"/>
    <w:rsid w:val="00C8377F"/>
    <w:rsid w:val="00C8646D"/>
    <w:rsid w:val="00C90AD2"/>
    <w:rsid w:val="00C90D7B"/>
    <w:rsid w:val="00C91C13"/>
    <w:rsid w:val="00C91DE3"/>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60BC"/>
    <w:rsid w:val="00CA7DFF"/>
    <w:rsid w:val="00CB008E"/>
    <w:rsid w:val="00CB01FA"/>
    <w:rsid w:val="00CB0737"/>
    <w:rsid w:val="00CB097A"/>
    <w:rsid w:val="00CB26EC"/>
    <w:rsid w:val="00CB29F4"/>
    <w:rsid w:val="00CB2D2A"/>
    <w:rsid w:val="00CB5978"/>
    <w:rsid w:val="00CB5B1E"/>
    <w:rsid w:val="00CB5CC4"/>
    <w:rsid w:val="00CB683C"/>
    <w:rsid w:val="00CB72FA"/>
    <w:rsid w:val="00CB7346"/>
    <w:rsid w:val="00CB787A"/>
    <w:rsid w:val="00CC0A17"/>
    <w:rsid w:val="00CC0C4A"/>
    <w:rsid w:val="00CC17F0"/>
    <w:rsid w:val="00CC1853"/>
    <w:rsid w:val="00CC1FAE"/>
    <w:rsid w:val="00CC3A23"/>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46E5"/>
    <w:rsid w:val="00CE485A"/>
    <w:rsid w:val="00CE5279"/>
    <w:rsid w:val="00CE57B1"/>
    <w:rsid w:val="00CE5A78"/>
    <w:rsid w:val="00CE781F"/>
    <w:rsid w:val="00CE78AE"/>
    <w:rsid w:val="00CE7AD3"/>
    <w:rsid w:val="00CE7E62"/>
    <w:rsid w:val="00CF051E"/>
    <w:rsid w:val="00CF195E"/>
    <w:rsid w:val="00CF19DA"/>
    <w:rsid w:val="00CF1C7F"/>
    <w:rsid w:val="00CF1CC0"/>
    <w:rsid w:val="00CF1EEA"/>
    <w:rsid w:val="00CF1F6A"/>
    <w:rsid w:val="00CF24F8"/>
    <w:rsid w:val="00CF2587"/>
    <w:rsid w:val="00CF2653"/>
    <w:rsid w:val="00CF4247"/>
    <w:rsid w:val="00CF4ED1"/>
    <w:rsid w:val="00CF5263"/>
    <w:rsid w:val="00CF5D9B"/>
    <w:rsid w:val="00CF60B5"/>
    <w:rsid w:val="00CF6E82"/>
    <w:rsid w:val="00D004FA"/>
    <w:rsid w:val="00D01440"/>
    <w:rsid w:val="00D01B21"/>
    <w:rsid w:val="00D01DDD"/>
    <w:rsid w:val="00D01E2F"/>
    <w:rsid w:val="00D03102"/>
    <w:rsid w:val="00D03727"/>
    <w:rsid w:val="00D03740"/>
    <w:rsid w:val="00D0378A"/>
    <w:rsid w:val="00D050A7"/>
    <w:rsid w:val="00D05132"/>
    <w:rsid w:val="00D05C09"/>
    <w:rsid w:val="00D05EA9"/>
    <w:rsid w:val="00D071F8"/>
    <w:rsid w:val="00D07252"/>
    <w:rsid w:val="00D074F4"/>
    <w:rsid w:val="00D07A65"/>
    <w:rsid w:val="00D07CE1"/>
    <w:rsid w:val="00D100A3"/>
    <w:rsid w:val="00D1026A"/>
    <w:rsid w:val="00D107CF"/>
    <w:rsid w:val="00D11B0B"/>
    <w:rsid w:val="00D121A0"/>
    <w:rsid w:val="00D12293"/>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40370"/>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61FB"/>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C97"/>
    <w:rsid w:val="00D62CB8"/>
    <w:rsid w:val="00D62F63"/>
    <w:rsid w:val="00D63517"/>
    <w:rsid w:val="00D63B75"/>
    <w:rsid w:val="00D6584E"/>
    <w:rsid w:val="00D659B1"/>
    <w:rsid w:val="00D66E18"/>
    <w:rsid w:val="00D672BC"/>
    <w:rsid w:val="00D6734D"/>
    <w:rsid w:val="00D679CF"/>
    <w:rsid w:val="00D679D3"/>
    <w:rsid w:val="00D7009C"/>
    <w:rsid w:val="00D70CC3"/>
    <w:rsid w:val="00D70F56"/>
    <w:rsid w:val="00D7356F"/>
    <w:rsid w:val="00D73587"/>
    <w:rsid w:val="00D73EBB"/>
    <w:rsid w:val="00D74D3F"/>
    <w:rsid w:val="00D751FB"/>
    <w:rsid w:val="00D754D6"/>
    <w:rsid w:val="00D761AA"/>
    <w:rsid w:val="00D76FAE"/>
    <w:rsid w:val="00D777D7"/>
    <w:rsid w:val="00D7784F"/>
    <w:rsid w:val="00D80AB8"/>
    <w:rsid w:val="00D8141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0EEE"/>
    <w:rsid w:val="00D919E6"/>
    <w:rsid w:val="00D91BE1"/>
    <w:rsid w:val="00D92C2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731"/>
    <w:rsid w:val="00DB18F8"/>
    <w:rsid w:val="00DB1F2A"/>
    <w:rsid w:val="00DB297F"/>
    <w:rsid w:val="00DB2D99"/>
    <w:rsid w:val="00DB3153"/>
    <w:rsid w:val="00DB317A"/>
    <w:rsid w:val="00DB3B82"/>
    <w:rsid w:val="00DB485D"/>
    <w:rsid w:val="00DB63FE"/>
    <w:rsid w:val="00DB6FF5"/>
    <w:rsid w:val="00DB7BF5"/>
    <w:rsid w:val="00DC1070"/>
    <w:rsid w:val="00DC1327"/>
    <w:rsid w:val="00DC1350"/>
    <w:rsid w:val="00DC2AF9"/>
    <w:rsid w:val="00DC2D35"/>
    <w:rsid w:val="00DC2E02"/>
    <w:rsid w:val="00DC3237"/>
    <w:rsid w:val="00DC32EF"/>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7C00"/>
    <w:rsid w:val="00DF03E9"/>
    <w:rsid w:val="00DF03ED"/>
    <w:rsid w:val="00DF04EE"/>
    <w:rsid w:val="00DF0BF4"/>
    <w:rsid w:val="00DF1407"/>
    <w:rsid w:val="00DF179D"/>
    <w:rsid w:val="00DF1E9C"/>
    <w:rsid w:val="00DF30BF"/>
    <w:rsid w:val="00DF4572"/>
    <w:rsid w:val="00DF4658"/>
    <w:rsid w:val="00DF6C8B"/>
    <w:rsid w:val="00DF6F17"/>
    <w:rsid w:val="00DF7858"/>
    <w:rsid w:val="00DF78FA"/>
    <w:rsid w:val="00DF7B3B"/>
    <w:rsid w:val="00E002F1"/>
    <w:rsid w:val="00E0082C"/>
    <w:rsid w:val="00E01DAA"/>
    <w:rsid w:val="00E023E5"/>
    <w:rsid w:val="00E02432"/>
    <w:rsid w:val="00E03321"/>
    <w:rsid w:val="00E04022"/>
    <w:rsid w:val="00E0511E"/>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3F9"/>
    <w:rsid w:val="00E3373D"/>
    <w:rsid w:val="00E339DC"/>
    <w:rsid w:val="00E33E15"/>
    <w:rsid w:val="00E350AA"/>
    <w:rsid w:val="00E35F53"/>
    <w:rsid w:val="00E361B8"/>
    <w:rsid w:val="00E36A1B"/>
    <w:rsid w:val="00E36B58"/>
    <w:rsid w:val="00E424F8"/>
    <w:rsid w:val="00E429ED"/>
    <w:rsid w:val="00E4318A"/>
    <w:rsid w:val="00E43F37"/>
    <w:rsid w:val="00E450ED"/>
    <w:rsid w:val="00E45980"/>
    <w:rsid w:val="00E476BA"/>
    <w:rsid w:val="00E4791B"/>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623C"/>
    <w:rsid w:val="00E56515"/>
    <w:rsid w:val="00E5733D"/>
    <w:rsid w:val="00E60A8F"/>
    <w:rsid w:val="00E60FBA"/>
    <w:rsid w:val="00E61CC0"/>
    <w:rsid w:val="00E6277B"/>
    <w:rsid w:val="00E63554"/>
    <w:rsid w:val="00E6368B"/>
    <w:rsid w:val="00E64424"/>
    <w:rsid w:val="00E64C99"/>
    <w:rsid w:val="00E64CD3"/>
    <w:rsid w:val="00E654DA"/>
    <w:rsid w:val="00E65C41"/>
    <w:rsid w:val="00E66CBA"/>
    <w:rsid w:val="00E671C9"/>
    <w:rsid w:val="00E6743F"/>
    <w:rsid w:val="00E6758E"/>
    <w:rsid w:val="00E67B9E"/>
    <w:rsid w:val="00E67E23"/>
    <w:rsid w:val="00E70016"/>
    <w:rsid w:val="00E70BC7"/>
    <w:rsid w:val="00E70CC0"/>
    <w:rsid w:val="00E70FBC"/>
    <w:rsid w:val="00E71C6D"/>
    <w:rsid w:val="00E71E2A"/>
    <w:rsid w:val="00E72C01"/>
    <w:rsid w:val="00E735CD"/>
    <w:rsid w:val="00E73B34"/>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2241"/>
    <w:rsid w:val="00E940F1"/>
    <w:rsid w:val="00E9441F"/>
    <w:rsid w:val="00E94ECD"/>
    <w:rsid w:val="00E95BA6"/>
    <w:rsid w:val="00E97110"/>
    <w:rsid w:val="00E97648"/>
    <w:rsid w:val="00E97B9F"/>
    <w:rsid w:val="00EA0210"/>
    <w:rsid w:val="00EA0691"/>
    <w:rsid w:val="00EA0E4A"/>
    <w:rsid w:val="00EA1A54"/>
    <w:rsid w:val="00EA2226"/>
    <w:rsid w:val="00EA26FC"/>
    <w:rsid w:val="00EA3B5A"/>
    <w:rsid w:val="00EA3C70"/>
    <w:rsid w:val="00EA410E"/>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1BE5"/>
    <w:rsid w:val="00EC2E2D"/>
    <w:rsid w:val="00EC349E"/>
    <w:rsid w:val="00EC3564"/>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4415"/>
    <w:rsid w:val="00ED5FE4"/>
    <w:rsid w:val="00ED70F1"/>
    <w:rsid w:val="00ED71C5"/>
    <w:rsid w:val="00EE068B"/>
    <w:rsid w:val="00EE0F9F"/>
    <w:rsid w:val="00EE16FA"/>
    <w:rsid w:val="00EE1870"/>
    <w:rsid w:val="00EE1A2D"/>
    <w:rsid w:val="00EE2477"/>
    <w:rsid w:val="00EE3C42"/>
    <w:rsid w:val="00EE3D4F"/>
    <w:rsid w:val="00EE4720"/>
    <w:rsid w:val="00EE534D"/>
    <w:rsid w:val="00EE5560"/>
    <w:rsid w:val="00EE55FD"/>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69B"/>
    <w:rsid w:val="00EF77E1"/>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B1"/>
    <w:rsid w:val="00F133A1"/>
    <w:rsid w:val="00F13ECD"/>
    <w:rsid w:val="00F155CE"/>
    <w:rsid w:val="00F16BF2"/>
    <w:rsid w:val="00F17AFE"/>
    <w:rsid w:val="00F17EAE"/>
    <w:rsid w:val="00F20EA5"/>
    <w:rsid w:val="00F218D4"/>
    <w:rsid w:val="00F21FF1"/>
    <w:rsid w:val="00F22122"/>
    <w:rsid w:val="00F2250A"/>
    <w:rsid w:val="00F240AB"/>
    <w:rsid w:val="00F244A7"/>
    <w:rsid w:val="00F24788"/>
    <w:rsid w:val="00F24B19"/>
    <w:rsid w:val="00F24BFA"/>
    <w:rsid w:val="00F262C6"/>
    <w:rsid w:val="00F2640F"/>
    <w:rsid w:val="00F273B7"/>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873"/>
    <w:rsid w:val="00F35920"/>
    <w:rsid w:val="00F3654C"/>
    <w:rsid w:val="00F366A5"/>
    <w:rsid w:val="00F36C5F"/>
    <w:rsid w:val="00F36F79"/>
    <w:rsid w:val="00F37259"/>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77826"/>
    <w:rsid w:val="00F80399"/>
    <w:rsid w:val="00F80DC4"/>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A4E"/>
    <w:rsid w:val="00FA7ED9"/>
    <w:rsid w:val="00FB0082"/>
    <w:rsid w:val="00FB0243"/>
    <w:rsid w:val="00FB1527"/>
    <w:rsid w:val="00FB2537"/>
    <w:rsid w:val="00FB33DC"/>
    <w:rsid w:val="00FB40A1"/>
    <w:rsid w:val="00FB4338"/>
    <w:rsid w:val="00FB477E"/>
    <w:rsid w:val="00FB4C9C"/>
    <w:rsid w:val="00FB6165"/>
    <w:rsid w:val="00FB638F"/>
    <w:rsid w:val="00FC0142"/>
    <w:rsid w:val="00FC0150"/>
    <w:rsid w:val="00FC03AB"/>
    <w:rsid w:val="00FC08C8"/>
    <w:rsid w:val="00FC31C2"/>
    <w:rsid w:val="00FC3CD3"/>
    <w:rsid w:val="00FC4729"/>
    <w:rsid w:val="00FC4A8C"/>
    <w:rsid w:val="00FC50E1"/>
    <w:rsid w:val="00FC53DB"/>
    <w:rsid w:val="00FC5C08"/>
    <w:rsid w:val="00FC5E5E"/>
    <w:rsid w:val="00FC5F24"/>
    <w:rsid w:val="00FC5FC2"/>
    <w:rsid w:val="00FC6177"/>
    <w:rsid w:val="00FC63D1"/>
    <w:rsid w:val="00FC7528"/>
    <w:rsid w:val="00FD00AD"/>
    <w:rsid w:val="00FD00C7"/>
    <w:rsid w:val="00FD00D0"/>
    <w:rsid w:val="00FD0572"/>
    <w:rsid w:val="00FD0FD3"/>
    <w:rsid w:val="00FD1A97"/>
    <w:rsid w:val="00FD1B33"/>
    <w:rsid w:val="00FD20C1"/>
    <w:rsid w:val="00FD2D7B"/>
    <w:rsid w:val="00FD33D3"/>
    <w:rsid w:val="00FD37F6"/>
    <w:rsid w:val="00FD4589"/>
    <w:rsid w:val="00FD473E"/>
    <w:rsid w:val="00FD4E76"/>
    <w:rsid w:val="00FD6439"/>
    <w:rsid w:val="00FD7DF9"/>
    <w:rsid w:val="00FE0B03"/>
    <w:rsid w:val="00FE0B51"/>
    <w:rsid w:val="00FE0B78"/>
    <w:rsid w:val="00FE0ED4"/>
    <w:rsid w:val="00FE15C3"/>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71E"/>
    <w:rsid w:val="00FF58B9"/>
    <w:rsid w:val="00FF68AC"/>
    <w:rsid w:val="00FF6A30"/>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28FD27"/>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955AB"/>
    <w:pPr>
      <w:spacing w:after="120"/>
    </w:pPr>
    <w:rPr>
      <w:rFonts w:ascii="Arial" w:eastAsia="DengXian" w:hAnsi="Arial"/>
      <w:lang w:val="en-GB"/>
    </w:rPr>
  </w:style>
  <w:style w:type="paragraph" w:styleId="TOC3">
    <w:name w:val="toc 3"/>
    <w:basedOn w:val="TOC2"/>
    <w:semiHidden/>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semiHidden/>
    <w:unhideWhenUsed/>
    <w:rsid w:val="00C955A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81996155">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129398992">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19430771">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774249752">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109550767">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84868792">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ABCD01-7295-4675-B5DC-5C875EA8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9509</TotalTime>
  <Pages>10</Pages>
  <Words>3625</Words>
  <Characters>20669</Characters>
  <Application>Microsoft Office Word</Application>
  <DocSecurity>0</DocSecurity>
  <Lines>172</Lines>
  <Paragraphs>48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Semi-static indication of time and frequency resources </vt:lpstr>
      <vt:lpstr>    Time domain parameters </vt:lpstr>
      <vt:lpstr>    Frequency domain parameters </vt:lpstr>
      <vt:lpstr>    Semi-static signaling of time and frequency resources of SBFD operation</vt:lpstr>
      <vt:lpstr>Legacy UEs operation in SBFD symbols </vt:lpstr>
      <vt:lpstr>SRS enhancement in SBFD symbols</vt:lpstr>
      <vt:lpstr>Interleaved VRB-to-PRB mapping in SBFD symbols </vt:lpstr>
      <vt:lpstr>Remaining issues of SBFD operation</vt:lpstr>
      <vt:lpstr>    Granularity of SBFD operation in time domain</vt:lpstr>
      <vt:lpstr>    Transition time between SBFD and non-SBFD symbols</vt:lpstr>
      <vt:lpstr>    Transmission/reception across SBFD and non SBFD symbols within a slot for a UE</vt:lpstr>
      <vt:lpstr>Conclusion</vt:lpstr>
      <vt:lpstr>References</vt:lpstr>
    </vt:vector>
  </TitlesOfParts>
  <Company>Huawei Technologies</Company>
  <LinksUpToDate>false</LinksUpToDate>
  <CharactersWithSpaces>24246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752</cp:revision>
  <cp:lastPrinted>2007-06-18T22:08:00Z</cp:lastPrinted>
  <dcterms:created xsi:type="dcterms:W3CDTF">2022-11-07T09:02:00Z</dcterms:created>
  <dcterms:modified xsi:type="dcterms:W3CDTF">2024-02-19T08:25:00Z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