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5F25B" w14:textId="4B7E7D27" w:rsidR="00335084" w:rsidRDefault="00000000">
      <w:pPr>
        <w:spacing w:before="240" w:after="0"/>
        <w:jc w:val="both"/>
        <w:rPr>
          <w:rFonts w:ascii="Arial" w:eastAsia="Arial" w:hAnsi="Arial" w:cs="Arial"/>
          <w:b/>
          <w:sz w:val="24"/>
          <w:szCs w:val="24"/>
        </w:rPr>
      </w:pPr>
      <w:r>
        <w:rPr>
          <w:rFonts w:ascii="Arial" w:eastAsia="Arial" w:hAnsi="Arial" w:cs="Arial"/>
          <w:b/>
          <w:sz w:val="24"/>
          <w:szCs w:val="24"/>
        </w:rPr>
        <w:t xml:space="preserve">3GPP TSG RAN WG1 Meeting #116                                                           </w:t>
      </w:r>
      <w:r>
        <w:rPr>
          <w:rFonts w:ascii="Arial" w:eastAsia="Arial" w:hAnsi="Arial" w:cs="Arial"/>
          <w:b/>
          <w:sz w:val="24"/>
          <w:szCs w:val="24"/>
        </w:rPr>
        <w:tab/>
        <w:t>R1-2</w:t>
      </w:r>
      <w:r w:rsidR="00DD2368">
        <w:rPr>
          <w:rFonts w:ascii="Arial" w:eastAsia="Arial" w:hAnsi="Arial" w:cs="Arial"/>
          <w:b/>
          <w:sz w:val="24"/>
          <w:szCs w:val="24"/>
        </w:rPr>
        <w:t>400168</w:t>
      </w:r>
    </w:p>
    <w:p w14:paraId="3B0F59F0" w14:textId="77777777" w:rsidR="00335084" w:rsidRDefault="00000000">
      <w:pPr>
        <w:spacing w:before="240" w:after="240"/>
        <w:jc w:val="both"/>
        <w:rPr>
          <w:rFonts w:ascii="Arial" w:eastAsia="Arial" w:hAnsi="Arial" w:cs="Arial"/>
          <w:b/>
          <w:sz w:val="24"/>
          <w:szCs w:val="24"/>
        </w:rPr>
      </w:pPr>
      <w:r>
        <w:rPr>
          <w:rFonts w:ascii="Arial" w:eastAsia="Arial" w:hAnsi="Arial" w:cs="Arial"/>
          <w:b/>
          <w:sz w:val="24"/>
          <w:szCs w:val="24"/>
        </w:rPr>
        <w:t>Athens, Greece, February 26th – March 1st, 2024</w:t>
      </w:r>
    </w:p>
    <w:p w14:paraId="56FA0D99" w14:textId="77777777" w:rsidR="00335084" w:rsidRDefault="00000000">
      <w:pPr>
        <w:spacing w:before="240" w:after="240"/>
        <w:jc w:val="both"/>
        <w:rPr>
          <w:rFonts w:ascii="Arial" w:eastAsia="Arial" w:hAnsi="Arial" w:cs="Arial"/>
          <w:b/>
          <w:sz w:val="24"/>
          <w:szCs w:val="24"/>
        </w:rPr>
      </w:pPr>
      <w:r>
        <w:rPr>
          <w:rFonts w:ascii="Arial" w:eastAsia="Arial" w:hAnsi="Arial" w:cs="Arial"/>
          <w:b/>
          <w:sz w:val="24"/>
          <w:szCs w:val="24"/>
        </w:rPr>
        <w:t xml:space="preserve">Source:              </w:t>
      </w:r>
      <w:r>
        <w:rPr>
          <w:rFonts w:ascii="Arial" w:eastAsia="Arial" w:hAnsi="Arial" w:cs="Arial"/>
          <w:b/>
          <w:sz w:val="24"/>
          <w:szCs w:val="24"/>
        </w:rPr>
        <w:tab/>
        <w:t>Tiami Networks</w:t>
      </w:r>
    </w:p>
    <w:p w14:paraId="51E89660" w14:textId="77777777" w:rsidR="00335084" w:rsidRDefault="00000000">
      <w:pPr>
        <w:spacing w:before="240" w:after="240"/>
        <w:jc w:val="both"/>
        <w:rPr>
          <w:rFonts w:ascii="Arial" w:eastAsia="Arial" w:hAnsi="Arial" w:cs="Arial"/>
          <w:b/>
          <w:sz w:val="24"/>
          <w:szCs w:val="24"/>
        </w:rPr>
      </w:pPr>
      <w:r>
        <w:rPr>
          <w:rFonts w:ascii="Arial" w:eastAsia="Arial" w:hAnsi="Arial" w:cs="Arial"/>
          <w:b/>
          <w:sz w:val="24"/>
          <w:szCs w:val="24"/>
        </w:rPr>
        <w:t xml:space="preserve">Title: </w:t>
      </w:r>
      <w:r>
        <w:rPr>
          <w:rFonts w:ascii="Arial" w:eastAsia="Arial" w:hAnsi="Arial" w:cs="Arial"/>
          <w:b/>
        </w:rPr>
        <w:t xml:space="preserve">                   </w:t>
      </w:r>
      <w:r>
        <w:rPr>
          <w:rFonts w:ascii="Arial" w:eastAsia="Arial" w:hAnsi="Arial" w:cs="Arial"/>
          <w:b/>
        </w:rPr>
        <w:tab/>
      </w:r>
      <w:r>
        <w:rPr>
          <w:rFonts w:ascii="Arial" w:eastAsia="Arial" w:hAnsi="Arial" w:cs="Arial"/>
          <w:b/>
          <w:sz w:val="24"/>
          <w:szCs w:val="24"/>
        </w:rPr>
        <w:t>ISAC Channel Modeling Considerations</w:t>
      </w:r>
    </w:p>
    <w:p w14:paraId="62DDBB03" w14:textId="77777777" w:rsidR="00335084" w:rsidRDefault="00000000">
      <w:pPr>
        <w:spacing w:before="240" w:after="240"/>
        <w:jc w:val="both"/>
        <w:rPr>
          <w:rFonts w:ascii="Arial" w:eastAsia="Arial" w:hAnsi="Arial" w:cs="Arial"/>
          <w:b/>
          <w:sz w:val="24"/>
          <w:szCs w:val="24"/>
        </w:rPr>
      </w:pPr>
      <w:r>
        <w:rPr>
          <w:rFonts w:ascii="Arial" w:eastAsia="Arial" w:hAnsi="Arial" w:cs="Arial"/>
          <w:b/>
          <w:sz w:val="24"/>
          <w:szCs w:val="24"/>
        </w:rPr>
        <w:t xml:space="preserve">Agenda item:    </w:t>
      </w:r>
      <w:r>
        <w:rPr>
          <w:rFonts w:ascii="Arial" w:eastAsia="Arial" w:hAnsi="Arial" w:cs="Arial"/>
          <w:b/>
          <w:sz w:val="24"/>
          <w:szCs w:val="24"/>
        </w:rPr>
        <w:tab/>
        <w:t>9.7.2</w:t>
      </w:r>
    </w:p>
    <w:p w14:paraId="6F5C4FA2" w14:textId="77777777" w:rsidR="00335084" w:rsidRDefault="00000000">
      <w:pPr>
        <w:spacing w:before="240" w:after="240"/>
        <w:ind w:right="-440"/>
        <w:jc w:val="both"/>
        <w:rPr>
          <w:rFonts w:ascii="Arial" w:eastAsia="Arial" w:hAnsi="Arial" w:cs="Arial"/>
          <w:b/>
          <w:sz w:val="24"/>
          <w:szCs w:val="24"/>
        </w:rPr>
      </w:pPr>
      <w:r>
        <w:rPr>
          <w:rFonts w:ascii="Arial" w:eastAsia="Arial" w:hAnsi="Arial" w:cs="Arial"/>
          <w:b/>
          <w:sz w:val="24"/>
          <w:szCs w:val="24"/>
        </w:rPr>
        <w:t xml:space="preserve">Document for:  </w:t>
      </w:r>
      <w:r>
        <w:rPr>
          <w:rFonts w:ascii="Arial" w:eastAsia="Arial" w:hAnsi="Arial" w:cs="Arial"/>
          <w:b/>
          <w:sz w:val="24"/>
          <w:szCs w:val="24"/>
        </w:rPr>
        <w:tab/>
        <w:t>Discussion and Decision</w:t>
      </w:r>
    </w:p>
    <w:p w14:paraId="4367E91F" w14:textId="77777777" w:rsidR="00335084" w:rsidRDefault="00335084">
      <w:pPr>
        <w:spacing w:after="0"/>
        <w:jc w:val="both"/>
        <w:rPr>
          <w:b/>
          <w:sz w:val="24"/>
          <w:szCs w:val="24"/>
        </w:rPr>
      </w:pPr>
      <w:bookmarkStart w:id="0" w:name="_heading=h.vvhlfu58sz4h" w:colFirst="0" w:colLast="0"/>
      <w:bookmarkEnd w:id="0"/>
    </w:p>
    <w:p w14:paraId="3C106FE3" w14:textId="77777777" w:rsidR="00153D39" w:rsidRDefault="00000000">
      <w:pPr>
        <w:spacing w:after="0"/>
        <w:jc w:val="both"/>
      </w:pPr>
      <w:bookmarkStart w:id="1" w:name="_heading=h.gjdgxs" w:colFirst="0" w:colLast="0"/>
      <w:bookmarkEnd w:id="1"/>
      <w:r w:rsidRPr="00CC13EF">
        <w:rPr>
          <w:b/>
        </w:rPr>
        <w:t>Introduction:</w:t>
      </w:r>
      <w:r w:rsidRPr="00CC13EF">
        <w:t xml:space="preserve"> </w:t>
      </w:r>
    </w:p>
    <w:p w14:paraId="04671A10" w14:textId="673A20FD" w:rsidR="00335084" w:rsidRPr="00CC13EF" w:rsidRDefault="00000000">
      <w:pPr>
        <w:spacing w:after="0"/>
        <w:jc w:val="both"/>
      </w:pPr>
      <w:r w:rsidRPr="00CC13EF">
        <w:t>According to TR 22.837</w:t>
      </w:r>
      <w:r w:rsidR="00225312" w:rsidRPr="00CC13EF">
        <w:t xml:space="preserve"> </w:t>
      </w:r>
      <w:sdt>
        <w:sdtPr>
          <w:id w:val="2015186869"/>
          <w:citation/>
        </w:sdtPr>
        <w:sdtContent>
          <w:r w:rsidR="00225312" w:rsidRPr="00CC13EF">
            <w:fldChar w:fldCharType="begin"/>
          </w:r>
          <w:r w:rsidR="00225312" w:rsidRPr="00CC13EF">
            <w:instrText xml:space="preserve"> CITATION 3GP232 \l 1033 </w:instrText>
          </w:r>
          <w:r w:rsidR="00225312" w:rsidRPr="00CC13EF">
            <w:fldChar w:fldCharType="separate"/>
          </w:r>
          <w:r w:rsidR="00225312" w:rsidRPr="00CC13EF">
            <w:rPr>
              <w:noProof/>
            </w:rPr>
            <w:t>[1]</w:t>
          </w:r>
          <w:r w:rsidR="00225312" w:rsidRPr="00CC13EF">
            <w:fldChar w:fldCharType="end"/>
          </w:r>
        </w:sdtContent>
      </w:sdt>
      <w:r w:rsidRPr="00CC13EF">
        <w:t xml:space="preserve">, there are a wide range of use cases for integrated sensing. The use cases are summarized according to TS 22.137 as below </w:t>
      </w:r>
      <w:sdt>
        <w:sdtPr>
          <w:id w:val="-1842530924"/>
          <w:citation/>
        </w:sdtPr>
        <w:sdtContent>
          <w:r w:rsidR="00225312" w:rsidRPr="00CC13EF">
            <w:fldChar w:fldCharType="begin"/>
          </w:r>
          <w:r w:rsidR="00225312" w:rsidRPr="00CC13EF">
            <w:instrText xml:space="preserve"> CITATION 3GP233 \l 1033 </w:instrText>
          </w:r>
          <w:r w:rsidR="00225312" w:rsidRPr="00CC13EF">
            <w:fldChar w:fldCharType="separate"/>
          </w:r>
          <w:r w:rsidR="00225312" w:rsidRPr="00CC13EF">
            <w:rPr>
              <w:noProof/>
            </w:rPr>
            <w:t>[2]</w:t>
          </w:r>
          <w:r w:rsidR="00225312" w:rsidRPr="00CC13EF">
            <w:fldChar w:fldCharType="end"/>
          </w:r>
        </w:sdtContent>
      </w:sdt>
      <w:r w:rsidRPr="00CC13EF">
        <w:t>:</w:t>
      </w:r>
    </w:p>
    <w:p w14:paraId="025F9C73" w14:textId="77777777" w:rsidR="00335084" w:rsidRPr="00CC13EF" w:rsidRDefault="00335084">
      <w:pPr>
        <w:spacing w:after="0"/>
        <w:jc w:val="both"/>
      </w:pPr>
    </w:p>
    <w:p w14:paraId="2901A9F1" w14:textId="77777777" w:rsidR="00335084" w:rsidRPr="00CC13EF" w:rsidRDefault="00000000">
      <w:pPr>
        <w:numPr>
          <w:ilvl w:val="0"/>
          <w:numId w:val="2"/>
        </w:numPr>
        <w:pBdr>
          <w:top w:val="nil"/>
          <w:left w:val="nil"/>
          <w:bottom w:val="nil"/>
          <w:right w:val="nil"/>
          <w:between w:val="nil"/>
        </w:pBdr>
        <w:spacing w:after="0"/>
        <w:rPr>
          <w:color w:val="000000"/>
        </w:rPr>
      </w:pPr>
      <w:r w:rsidRPr="00CC13EF">
        <w:rPr>
          <w:color w:val="000000"/>
        </w:rPr>
        <w:t>Object detection and tracking</w:t>
      </w:r>
    </w:p>
    <w:p w14:paraId="3FE144F1" w14:textId="77777777" w:rsidR="00335084" w:rsidRPr="00CC13EF" w:rsidRDefault="00000000">
      <w:pPr>
        <w:numPr>
          <w:ilvl w:val="0"/>
          <w:numId w:val="2"/>
        </w:numPr>
        <w:pBdr>
          <w:top w:val="nil"/>
          <w:left w:val="nil"/>
          <w:bottom w:val="nil"/>
          <w:right w:val="nil"/>
          <w:between w:val="nil"/>
        </w:pBdr>
        <w:spacing w:after="0"/>
        <w:rPr>
          <w:color w:val="000000"/>
        </w:rPr>
      </w:pPr>
      <w:r w:rsidRPr="00CC13EF">
        <w:rPr>
          <w:color w:val="000000"/>
        </w:rPr>
        <w:t>Environment monitoring</w:t>
      </w:r>
    </w:p>
    <w:p w14:paraId="401E997B" w14:textId="77777777" w:rsidR="00335084" w:rsidRPr="00CC13EF" w:rsidRDefault="00000000">
      <w:pPr>
        <w:numPr>
          <w:ilvl w:val="0"/>
          <w:numId w:val="2"/>
        </w:numPr>
        <w:pBdr>
          <w:top w:val="nil"/>
          <w:left w:val="nil"/>
          <w:bottom w:val="nil"/>
          <w:right w:val="nil"/>
          <w:between w:val="nil"/>
        </w:pBdr>
        <w:spacing w:after="0"/>
        <w:rPr>
          <w:color w:val="000000"/>
        </w:rPr>
      </w:pPr>
      <w:r w:rsidRPr="00CC13EF">
        <w:rPr>
          <w:color w:val="000000"/>
        </w:rPr>
        <w:t>Motion monitoring</w:t>
      </w:r>
    </w:p>
    <w:p w14:paraId="70F2EBE8" w14:textId="77777777" w:rsidR="00335084" w:rsidRPr="00CC13EF" w:rsidRDefault="00335084">
      <w:pPr>
        <w:pBdr>
          <w:top w:val="nil"/>
          <w:left w:val="nil"/>
          <w:bottom w:val="nil"/>
          <w:right w:val="nil"/>
          <w:between w:val="nil"/>
        </w:pBdr>
        <w:spacing w:after="0"/>
        <w:ind w:left="720"/>
        <w:rPr>
          <w:color w:val="000000"/>
        </w:rPr>
      </w:pPr>
    </w:p>
    <w:p w14:paraId="32511686" w14:textId="64D2F0CF" w:rsidR="00335084" w:rsidRPr="00CC13EF" w:rsidRDefault="00000000">
      <w:pPr>
        <w:spacing w:after="0"/>
        <w:jc w:val="both"/>
      </w:pPr>
      <w:r w:rsidRPr="00CC13EF">
        <w:t xml:space="preserve">Some specifications need modifications for the integrated sensing use cases. </w:t>
      </w:r>
      <w:proofErr w:type="gramStart"/>
      <w:r w:rsidRPr="00CC13EF">
        <w:t>In particular, channel</w:t>
      </w:r>
      <w:proofErr w:type="gramEnd"/>
      <w:r w:rsidRPr="00CC13EF">
        <w:t xml:space="preserve"> modeling is of interest as the 3GPP channel model in TR38.901 </w:t>
      </w:r>
      <w:sdt>
        <w:sdtPr>
          <w:id w:val="956995782"/>
          <w:citation/>
        </w:sdtPr>
        <w:sdtContent>
          <w:r w:rsidR="00225312" w:rsidRPr="00CC13EF">
            <w:fldChar w:fldCharType="begin"/>
          </w:r>
          <w:r w:rsidR="001E4FC7" w:rsidRPr="00CC13EF">
            <w:instrText xml:space="preserve">CITATION 3GP201 \l 1033 </w:instrText>
          </w:r>
          <w:r w:rsidR="00225312" w:rsidRPr="00CC13EF">
            <w:fldChar w:fldCharType="separate"/>
          </w:r>
          <w:r w:rsidR="001E4FC7" w:rsidRPr="00CC13EF">
            <w:rPr>
              <w:noProof/>
            </w:rPr>
            <w:t>[3]</w:t>
          </w:r>
          <w:r w:rsidR="00225312" w:rsidRPr="00CC13EF">
            <w:fldChar w:fldCharType="end"/>
          </w:r>
        </w:sdtContent>
      </w:sdt>
      <w:r w:rsidRPr="00CC13EF">
        <w:t xml:space="preserve"> cannot be directly applied to the Sensing-related channels which are channels that include non-active objects. In the first glance, the target can be viewed as a cluster of rays as in the communications channels. However, there are modifications that need to be </w:t>
      </w:r>
      <w:proofErr w:type="gramStart"/>
      <w:r w:rsidRPr="00CC13EF">
        <w:t>taken into account</w:t>
      </w:r>
      <w:proofErr w:type="gramEnd"/>
      <w:r w:rsidRPr="00CC13EF">
        <w:t xml:space="preserve">. </w:t>
      </w:r>
    </w:p>
    <w:p w14:paraId="6BD9D43D" w14:textId="77777777" w:rsidR="00335084" w:rsidRPr="00CC13EF" w:rsidRDefault="00335084">
      <w:pPr>
        <w:spacing w:after="0"/>
        <w:jc w:val="both"/>
      </w:pPr>
    </w:p>
    <w:p w14:paraId="1EB025E4" w14:textId="77777777" w:rsidR="00335084" w:rsidRPr="00CC13EF" w:rsidRDefault="00000000">
      <w:pPr>
        <w:spacing w:after="0"/>
        <w:jc w:val="both"/>
      </w:pPr>
      <w:r w:rsidRPr="00CC13EF">
        <w:rPr>
          <w:b/>
        </w:rPr>
        <w:t>Observation 1:</w:t>
      </w:r>
      <w:r w:rsidRPr="00CC13EF">
        <w:t xml:space="preserve"> Communication channel model in TR38.901 lacks specific characteristics for sensing channel model.</w:t>
      </w:r>
    </w:p>
    <w:p w14:paraId="66AA6DDF" w14:textId="77777777" w:rsidR="00335084" w:rsidRPr="00CC13EF" w:rsidRDefault="00000000">
      <w:pPr>
        <w:spacing w:after="0"/>
        <w:jc w:val="both"/>
      </w:pPr>
      <w:r w:rsidRPr="00CC13EF">
        <w:rPr>
          <w:b/>
        </w:rPr>
        <w:t>Proposal 1:</w:t>
      </w:r>
      <w:r w:rsidRPr="00CC13EF">
        <w:t xml:space="preserve"> The channel model in TR38.901 needs to be modified </w:t>
      </w:r>
      <w:proofErr w:type="gramStart"/>
      <w:r w:rsidRPr="00CC13EF">
        <w:t>in order to</w:t>
      </w:r>
      <w:proofErr w:type="gramEnd"/>
      <w:r w:rsidRPr="00CC13EF">
        <w:t xml:space="preserve"> be used in sensing-related simulations. </w:t>
      </w:r>
    </w:p>
    <w:p w14:paraId="3346003E" w14:textId="77777777" w:rsidR="00335084" w:rsidRPr="00CC13EF" w:rsidRDefault="00335084">
      <w:pPr>
        <w:spacing w:after="0"/>
      </w:pPr>
    </w:p>
    <w:p w14:paraId="1F842A82" w14:textId="77777777" w:rsidR="00335084" w:rsidRPr="00CC13EF" w:rsidRDefault="00000000">
      <w:pPr>
        <w:spacing w:after="0"/>
        <w:jc w:val="both"/>
      </w:pPr>
      <w:r w:rsidRPr="00CC13EF">
        <w:rPr>
          <w:b/>
        </w:rPr>
        <w:t xml:space="preserve">Channel modeling approaches: </w:t>
      </w:r>
      <w:r w:rsidRPr="00CC13EF">
        <w:t>Channel modeling for integrated sensing can be specified for different use-cases. Below are our proposed channel modeling approaches specified for different use-cases:</w:t>
      </w:r>
    </w:p>
    <w:p w14:paraId="2C5F8ADB" w14:textId="77777777" w:rsidR="00335084" w:rsidRDefault="00335084">
      <w:pPr>
        <w:spacing w:after="0"/>
        <w:jc w:val="both"/>
        <w:rPr>
          <w:sz w:val="24"/>
          <w:szCs w:val="24"/>
        </w:rPr>
      </w:pPr>
    </w:p>
    <w:p w14:paraId="685EADED" w14:textId="77777777" w:rsidR="00335084" w:rsidRPr="00CC13EF" w:rsidRDefault="00000000">
      <w:pPr>
        <w:numPr>
          <w:ilvl w:val="0"/>
          <w:numId w:val="1"/>
        </w:numPr>
        <w:pBdr>
          <w:top w:val="nil"/>
          <w:left w:val="nil"/>
          <w:bottom w:val="nil"/>
          <w:right w:val="nil"/>
          <w:between w:val="nil"/>
        </w:pBdr>
        <w:spacing w:after="0"/>
        <w:jc w:val="both"/>
        <w:rPr>
          <w:color w:val="000000"/>
        </w:rPr>
      </w:pPr>
      <w:r w:rsidRPr="00CC13EF">
        <w:rPr>
          <w:b/>
          <w:color w:val="000000"/>
        </w:rPr>
        <w:t>Indoor</w:t>
      </w:r>
      <w:r w:rsidRPr="00CC13EF">
        <w:rPr>
          <w:color w:val="000000"/>
        </w:rPr>
        <w:t xml:space="preserve"> </w:t>
      </w:r>
      <w:r w:rsidRPr="00CC13EF">
        <w:rPr>
          <w:b/>
          <w:color w:val="000000"/>
        </w:rPr>
        <w:t>House</w:t>
      </w:r>
      <w:r w:rsidRPr="00CC13EF">
        <w:rPr>
          <w:color w:val="000000"/>
        </w:rPr>
        <w:t xml:space="preserve">: </w:t>
      </w:r>
      <w:r w:rsidRPr="00CC13EF">
        <w:rPr>
          <w:b/>
          <w:color w:val="000000"/>
        </w:rPr>
        <w:t xml:space="preserve">Object detection and tracking/Motion detection </w:t>
      </w:r>
    </w:p>
    <w:p w14:paraId="13434A0C" w14:textId="77777777" w:rsidR="00335084" w:rsidRPr="00CC13EF" w:rsidRDefault="00000000">
      <w:pPr>
        <w:pBdr>
          <w:top w:val="nil"/>
          <w:left w:val="nil"/>
          <w:bottom w:val="nil"/>
          <w:right w:val="nil"/>
          <w:between w:val="nil"/>
        </w:pBdr>
        <w:spacing w:after="0"/>
        <w:ind w:left="720"/>
        <w:jc w:val="both"/>
        <w:rPr>
          <w:color w:val="000000"/>
        </w:rPr>
      </w:pPr>
      <w:proofErr w:type="gramStart"/>
      <w:r w:rsidRPr="00CC13EF">
        <w:rPr>
          <w:color w:val="000000"/>
        </w:rPr>
        <w:t>Ray-tracing</w:t>
      </w:r>
      <w:proofErr w:type="gramEnd"/>
      <w:r w:rsidRPr="00CC13EF">
        <w:rPr>
          <w:color w:val="000000"/>
        </w:rPr>
        <w:t xml:space="preserve"> (RT) can be used in this scenario to obtain the channel parameters as the size of the environment is usually small in comparison to outdoor scenarios such as urban micro (UMi) and urban macro (UMa). Furthermore, when the object of interest is a human, its different postures and motion patterns can be captured more accurately than the stochastic methods.</w:t>
      </w:r>
    </w:p>
    <w:p w14:paraId="177C65E2" w14:textId="77777777" w:rsidR="00335084" w:rsidRPr="00CC13EF" w:rsidRDefault="00000000">
      <w:pPr>
        <w:pBdr>
          <w:top w:val="nil"/>
          <w:left w:val="nil"/>
          <w:bottom w:val="nil"/>
          <w:right w:val="nil"/>
          <w:between w:val="nil"/>
        </w:pBdr>
        <w:spacing w:after="0"/>
        <w:ind w:left="720"/>
        <w:jc w:val="both"/>
        <w:rPr>
          <w:color w:val="000000"/>
        </w:rPr>
      </w:pPr>
      <w:r w:rsidRPr="00CC13EF">
        <w:rPr>
          <w:color w:val="171717"/>
        </w:rPr>
        <w:t xml:space="preserve">Furthermore, a map-based hybrid channel model can be applied in these scenarios where a digital map of the environment is available. This is mostly of interest for the indoor scenarios as it </w:t>
      </w:r>
      <w:proofErr w:type="gramStart"/>
      <w:r w:rsidRPr="00CC13EF">
        <w:rPr>
          <w:color w:val="171717"/>
        </w:rPr>
        <w:t>is able to</w:t>
      </w:r>
      <w:proofErr w:type="gramEnd"/>
      <w:r w:rsidRPr="00CC13EF">
        <w:rPr>
          <w:color w:val="171717"/>
        </w:rPr>
        <w:t xml:space="preserve"> present a more accurate model of the environment. The map-based hybrid channel model </w:t>
      </w:r>
      <w:r w:rsidRPr="00CC13EF">
        <w:rPr>
          <w:color w:val="171717"/>
        </w:rPr>
        <w:lastRenderedPageBreak/>
        <w:t xml:space="preserve">procedure is presented in Section 8 of TR38.901 while modifications are required to be applied if needed. </w:t>
      </w:r>
    </w:p>
    <w:p w14:paraId="05551F53" w14:textId="2A668720" w:rsidR="00CC13EF" w:rsidRDefault="00CC13EF" w:rsidP="00CC13EF">
      <w:pPr>
        <w:pBdr>
          <w:top w:val="nil"/>
          <w:left w:val="nil"/>
          <w:bottom w:val="nil"/>
          <w:right w:val="nil"/>
          <w:between w:val="nil"/>
        </w:pBdr>
        <w:spacing w:after="0"/>
        <w:jc w:val="both"/>
        <w:rPr>
          <w:color w:val="000000"/>
          <w:sz w:val="24"/>
          <w:szCs w:val="24"/>
        </w:rPr>
      </w:pPr>
    </w:p>
    <w:p w14:paraId="0A3CB1FF" w14:textId="77777777" w:rsidR="00335084" w:rsidRPr="00CC13EF" w:rsidRDefault="00000000">
      <w:pPr>
        <w:numPr>
          <w:ilvl w:val="0"/>
          <w:numId w:val="1"/>
        </w:numPr>
        <w:pBdr>
          <w:top w:val="nil"/>
          <w:left w:val="nil"/>
          <w:bottom w:val="nil"/>
          <w:right w:val="nil"/>
          <w:between w:val="nil"/>
        </w:pBdr>
        <w:spacing w:after="0"/>
        <w:jc w:val="both"/>
        <w:rPr>
          <w:color w:val="000000"/>
        </w:rPr>
      </w:pPr>
      <w:r w:rsidRPr="00CC13EF">
        <w:rPr>
          <w:b/>
          <w:color w:val="000000"/>
        </w:rPr>
        <w:t>Outdoor:</w:t>
      </w:r>
      <w:r w:rsidRPr="00CC13EF">
        <w:rPr>
          <w:color w:val="000000"/>
        </w:rPr>
        <w:t xml:space="preserve"> </w:t>
      </w:r>
      <w:r w:rsidRPr="00CC13EF">
        <w:rPr>
          <w:b/>
          <w:color w:val="000000"/>
        </w:rPr>
        <w:t>Object detection and tracking/Motion detection</w:t>
      </w:r>
    </w:p>
    <w:p w14:paraId="55853FBA" w14:textId="693DB2DF" w:rsidR="00335084" w:rsidRPr="00CC13EF" w:rsidRDefault="00000000">
      <w:pPr>
        <w:pBdr>
          <w:top w:val="nil"/>
          <w:left w:val="nil"/>
          <w:bottom w:val="nil"/>
          <w:right w:val="nil"/>
          <w:between w:val="nil"/>
        </w:pBdr>
        <w:spacing w:after="0"/>
        <w:ind w:left="720"/>
        <w:jc w:val="both"/>
        <w:rPr>
          <w:color w:val="000000"/>
        </w:rPr>
      </w:pPr>
      <w:r w:rsidRPr="00CC13EF">
        <w:rPr>
          <w:color w:val="000000"/>
        </w:rPr>
        <w:t xml:space="preserve">For UMa and UMi, we suggest using TR38.901 with the required modifications discussed in the sequel applied to it. </w:t>
      </w:r>
    </w:p>
    <w:p w14:paraId="73EAB655" w14:textId="469020BD" w:rsidR="00335084" w:rsidRPr="00CC13EF" w:rsidRDefault="00335084">
      <w:pPr>
        <w:spacing w:after="0"/>
        <w:rPr>
          <w:sz w:val="20"/>
          <w:szCs w:val="20"/>
        </w:rPr>
      </w:pPr>
    </w:p>
    <w:p w14:paraId="0E61CD13" w14:textId="572F95FB" w:rsidR="00335084" w:rsidRPr="00CC13EF" w:rsidRDefault="00000000">
      <w:pPr>
        <w:tabs>
          <w:tab w:val="left" w:pos="7687"/>
        </w:tabs>
        <w:jc w:val="both"/>
      </w:pPr>
      <w:r w:rsidRPr="00CC13EF">
        <w:t>The channel modeling procedure for the Sensing in ISAC where a fully RT approach is not used can be adopted from the Communication channel modeling. In particular, the fast-fading channel modeling can follow a similar process as in TR.38.901. To accommodate the channel modeling properly for Sensing use-cases, we need to consider the radar cross section (RCS) of the clusters in the pathloss calculations</w:t>
      </w:r>
      <w:r w:rsidR="00225312" w:rsidRPr="00CC13EF">
        <w:t xml:space="preserve"> in </w:t>
      </w:r>
      <w:sdt>
        <w:sdtPr>
          <w:id w:val="-194698623"/>
          <w:citation/>
        </w:sdtPr>
        <w:sdtContent>
          <w:r w:rsidR="00225312" w:rsidRPr="00CC13EF">
            <w:fldChar w:fldCharType="begin"/>
          </w:r>
          <w:r w:rsidR="001E4FC7" w:rsidRPr="00CC13EF">
            <w:instrText xml:space="preserve">CITATION 3GP201 \l 1033 </w:instrText>
          </w:r>
          <w:r w:rsidR="00225312" w:rsidRPr="00CC13EF">
            <w:fldChar w:fldCharType="separate"/>
          </w:r>
          <w:r w:rsidR="001E4FC7" w:rsidRPr="00CC13EF">
            <w:rPr>
              <w:noProof/>
            </w:rPr>
            <w:t>[3]</w:t>
          </w:r>
          <w:r w:rsidR="00225312" w:rsidRPr="00CC13EF">
            <w:fldChar w:fldCharType="end"/>
          </w:r>
        </w:sdtContent>
      </w:sdt>
      <w:r w:rsidRPr="00CC13EF">
        <w:t>.</w:t>
      </w:r>
    </w:p>
    <w:p w14:paraId="5904FE7C" w14:textId="73D12243" w:rsidR="00335084" w:rsidRDefault="00000000">
      <w:pPr>
        <w:tabs>
          <w:tab w:val="left" w:pos="7687"/>
        </w:tabs>
        <w:jc w:val="both"/>
      </w:pPr>
      <w:r w:rsidRPr="00CC13EF">
        <w:t>A typical scenario has been shown in</w:t>
      </w:r>
      <w:r w:rsidR="00B000EB" w:rsidRPr="00CC13EF">
        <w:t xml:space="preserve"> </w:t>
      </w:r>
      <w:r w:rsidR="00B000EB" w:rsidRPr="00CC13EF">
        <w:fldChar w:fldCharType="begin"/>
      </w:r>
      <w:r w:rsidR="00B000EB" w:rsidRPr="00CC13EF">
        <w:instrText xml:space="preserve"> REF _Ref156551594 \h </w:instrText>
      </w:r>
      <w:r w:rsidR="00CC13EF">
        <w:instrText xml:space="preserve"> \* MERGEFORMAT </w:instrText>
      </w:r>
      <w:r w:rsidR="00B000EB" w:rsidRPr="00CC13EF">
        <w:fldChar w:fldCharType="separate"/>
      </w:r>
      <w:r w:rsidR="00B000EB" w:rsidRPr="00CC13EF">
        <w:rPr>
          <w:sz w:val="20"/>
          <w:szCs w:val="20"/>
        </w:rPr>
        <w:t xml:space="preserve">Figure </w:t>
      </w:r>
      <w:r w:rsidR="00B000EB" w:rsidRPr="00CC13EF">
        <w:rPr>
          <w:noProof/>
          <w:sz w:val="20"/>
          <w:szCs w:val="20"/>
        </w:rPr>
        <w:t>1</w:t>
      </w:r>
      <w:r w:rsidR="00B000EB" w:rsidRPr="00CC13EF">
        <w:fldChar w:fldCharType="end"/>
      </w:r>
      <w:r w:rsidRPr="00CC13EF">
        <w:t xml:space="preserve">. Note that if the simulation is carried on for the Communication and Sensing applications in the same environment simultaneously, there are some clusters that can be common between the two applications. In particular, the communication clusters that are close to the Sensing receiver antenna can act as a Sensing cluster as well with a certain probability </w:t>
      </w:r>
      <w:sdt>
        <w:sdtPr>
          <w:id w:val="17278671"/>
          <w:citation/>
        </w:sdtPr>
        <w:sdtContent>
          <w:r w:rsidR="00225312" w:rsidRPr="00CC13EF">
            <w:fldChar w:fldCharType="begin"/>
          </w:r>
          <w:r w:rsidR="001E4FC7" w:rsidRPr="00CC13EF">
            <w:instrText xml:space="preserve">CITATION ZZh231 \l 1033 </w:instrText>
          </w:r>
          <w:r w:rsidR="00225312" w:rsidRPr="00CC13EF">
            <w:fldChar w:fldCharType="separate"/>
          </w:r>
          <w:r w:rsidR="001E4FC7" w:rsidRPr="00CC13EF">
            <w:rPr>
              <w:noProof/>
            </w:rPr>
            <w:t>[4]</w:t>
          </w:r>
          <w:r w:rsidR="00225312" w:rsidRPr="00CC13EF">
            <w:fldChar w:fldCharType="end"/>
          </w:r>
        </w:sdtContent>
      </w:sdt>
      <w:r w:rsidRPr="00CC13EF">
        <w:t xml:space="preserve">. This should be </w:t>
      </w:r>
      <w:proofErr w:type="gramStart"/>
      <w:r w:rsidRPr="00CC13EF">
        <w:t>taken into account</w:t>
      </w:r>
      <w:proofErr w:type="gramEnd"/>
      <w:r w:rsidRPr="00CC13EF">
        <w:t xml:space="preserve"> for the sake of consistency and accuracy in the ISAC simulations.</w:t>
      </w:r>
    </w:p>
    <w:p w14:paraId="0049000B" w14:textId="77777777" w:rsidR="00CC13EF" w:rsidRPr="00CC13EF" w:rsidRDefault="00CC13EF">
      <w:pPr>
        <w:tabs>
          <w:tab w:val="left" w:pos="7687"/>
        </w:tabs>
        <w:jc w:val="both"/>
      </w:pPr>
    </w:p>
    <w:p w14:paraId="1905F2AF" w14:textId="5B243D0C" w:rsidR="00B000EB" w:rsidRDefault="00000000" w:rsidP="00B000EB">
      <w:pPr>
        <w:keepNext/>
        <w:tabs>
          <w:tab w:val="left" w:pos="7687"/>
        </w:tabs>
        <w:jc w:val="center"/>
      </w:pPr>
      <w:r>
        <w:rPr>
          <w:noProof/>
        </w:rPr>
        <w:drawing>
          <wp:inline distT="0" distB="0" distL="0" distR="0" wp14:anchorId="22434083" wp14:editId="6824A809">
            <wp:extent cx="3019563" cy="2162755"/>
            <wp:effectExtent l="0" t="0" r="0" b="9525"/>
            <wp:docPr id="3" name="image1.png" descr="A diagram of a cluster&#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diagram of a cluster&#10;&#10;Description automatically generated"/>
                    <pic:cNvPicPr preferRelativeResize="0"/>
                  </pic:nvPicPr>
                  <pic:blipFill>
                    <a:blip r:embed="rId7"/>
                    <a:srcRect/>
                    <a:stretch>
                      <a:fillRect/>
                    </a:stretch>
                  </pic:blipFill>
                  <pic:spPr>
                    <a:xfrm>
                      <a:off x="0" y="0"/>
                      <a:ext cx="3053270" cy="2186897"/>
                    </a:xfrm>
                    <a:prstGeom prst="rect">
                      <a:avLst/>
                    </a:prstGeom>
                    <a:ln/>
                  </pic:spPr>
                </pic:pic>
              </a:graphicData>
            </a:graphic>
          </wp:inline>
        </w:drawing>
      </w:r>
    </w:p>
    <w:p w14:paraId="2FA3B7CF" w14:textId="08901027" w:rsidR="00335084" w:rsidRPr="00B000EB" w:rsidRDefault="00B000EB" w:rsidP="00B000EB">
      <w:pPr>
        <w:pStyle w:val="Caption"/>
        <w:jc w:val="both"/>
        <w:rPr>
          <w:color w:val="auto"/>
        </w:rPr>
      </w:pPr>
      <w:bookmarkStart w:id="2" w:name="_Ref156551594"/>
      <w:r w:rsidRPr="00B000EB">
        <w:rPr>
          <w:color w:val="auto"/>
        </w:rPr>
        <w:t xml:space="preserve">Figure </w:t>
      </w:r>
      <w:r w:rsidRPr="00B000EB">
        <w:rPr>
          <w:color w:val="auto"/>
        </w:rPr>
        <w:fldChar w:fldCharType="begin"/>
      </w:r>
      <w:r w:rsidRPr="00B000EB">
        <w:rPr>
          <w:color w:val="auto"/>
        </w:rPr>
        <w:instrText xml:space="preserve"> SEQ Figure \* ARABIC </w:instrText>
      </w:r>
      <w:r w:rsidRPr="00B000EB">
        <w:rPr>
          <w:color w:val="auto"/>
        </w:rPr>
        <w:fldChar w:fldCharType="separate"/>
      </w:r>
      <w:r w:rsidR="00A71627">
        <w:rPr>
          <w:noProof/>
          <w:color w:val="auto"/>
        </w:rPr>
        <w:t>1</w:t>
      </w:r>
      <w:r w:rsidRPr="00B000EB">
        <w:rPr>
          <w:color w:val="auto"/>
        </w:rPr>
        <w:fldChar w:fldCharType="end"/>
      </w:r>
      <w:bookmarkEnd w:id="2"/>
      <w:r w:rsidRPr="00B000EB">
        <w:rPr>
          <w:color w:val="auto"/>
        </w:rPr>
        <w:t xml:space="preserve">. A typical network model for ISAC. Solid green line shows the LOS sensing ray, dashed green lines show the NLOS sensing rays, solid blue lines show the LOS reflected sensing rays to the sensing UT, dashed blue lines show the NLOS reflected ray to the </w:t>
      </w:r>
      <w:r w:rsidRPr="00B000EB">
        <w:rPr>
          <w:i w:val="0"/>
          <w:color w:val="auto"/>
          <w:sz w:val="20"/>
          <w:szCs w:val="20"/>
        </w:rPr>
        <w:t>ray to the sensing UT, solid red line shows the LOS communication ray received by UT, dashed red line shows the NLOS communication ray to the communication UT, and dashed magenta line shows the communication ray received at the sensing UT (if operating in the same resource blocks).</w:t>
      </w:r>
    </w:p>
    <w:p w14:paraId="36CF5518" w14:textId="0F05DBD5" w:rsidR="00335084" w:rsidRDefault="00335084">
      <w:pPr>
        <w:pBdr>
          <w:top w:val="nil"/>
          <w:left w:val="nil"/>
          <w:bottom w:val="nil"/>
          <w:right w:val="nil"/>
          <w:between w:val="nil"/>
        </w:pBdr>
        <w:spacing w:after="200" w:line="240" w:lineRule="auto"/>
        <w:jc w:val="both"/>
        <w:rPr>
          <w:color w:val="171717"/>
          <w:sz w:val="20"/>
          <w:szCs w:val="20"/>
        </w:rPr>
      </w:pPr>
      <w:bookmarkStart w:id="3" w:name="_heading=h.30j0zll" w:colFirst="0" w:colLast="0"/>
      <w:bookmarkEnd w:id="3"/>
    </w:p>
    <w:p w14:paraId="4B004BD7" w14:textId="00603FCD" w:rsidR="00335084" w:rsidRDefault="00335084">
      <w:pPr>
        <w:keepNext/>
        <w:jc w:val="center"/>
      </w:pPr>
    </w:p>
    <w:p w14:paraId="656A53F1" w14:textId="77777777" w:rsidR="00335084" w:rsidRDefault="00335084">
      <w:pPr>
        <w:rPr>
          <w:b/>
        </w:rPr>
      </w:pPr>
    </w:p>
    <w:p w14:paraId="784713D3" w14:textId="6462D932" w:rsidR="00B000EB" w:rsidRDefault="00B000EB">
      <w:pPr>
        <w:rPr>
          <w:b/>
        </w:rPr>
      </w:pPr>
    </w:p>
    <w:p w14:paraId="2C9E177C" w14:textId="4C00C3C3" w:rsidR="00B000EB" w:rsidRDefault="00B000EB">
      <w:pPr>
        <w:rPr>
          <w:b/>
        </w:rPr>
      </w:pPr>
    </w:p>
    <w:p w14:paraId="0485239F" w14:textId="77777777" w:rsidR="00B000EB" w:rsidRDefault="00B000EB">
      <w:pPr>
        <w:rPr>
          <w:b/>
        </w:rPr>
      </w:pPr>
    </w:p>
    <w:p w14:paraId="55887591" w14:textId="7CBE6E25" w:rsidR="00B000EB" w:rsidRDefault="00B000EB">
      <w:pPr>
        <w:rPr>
          <w:b/>
        </w:rPr>
      </w:pPr>
    </w:p>
    <w:p w14:paraId="0E81D429" w14:textId="0211FDBB" w:rsidR="00CC13EF" w:rsidRDefault="00CC13EF">
      <w:pPr>
        <w:rPr>
          <w:b/>
        </w:rPr>
      </w:pPr>
      <w:r>
        <w:rPr>
          <w:noProof/>
        </w:rPr>
        <w:drawing>
          <wp:anchor distT="0" distB="0" distL="114300" distR="114300" simplePos="0" relativeHeight="251658240" behindDoc="1" locked="1" layoutInCell="1" hidden="0" allowOverlap="0" wp14:anchorId="148424C9" wp14:editId="1FC35686">
            <wp:simplePos x="0" y="0"/>
            <wp:positionH relativeFrom="margin">
              <wp:posOffset>1731175</wp:posOffset>
            </wp:positionH>
            <wp:positionV relativeFrom="page">
              <wp:posOffset>484726</wp:posOffset>
            </wp:positionV>
            <wp:extent cx="2304288" cy="1371600"/>
            <wp:effectExtent l="0" t="0" r="1270" b="0"/>
            <wp:wrapSquare wrapText="bothSides"/>
            <wp:docPr id="2" name="image3.png" descr="A diagram of a radio tower&#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diagram of a radio tower&#10;&#10;Description automatically generated"/>
                    <pic:cNvPicPr preferRelativeResize="0"/>
                  </pic:nvPicPr>
                  <pic:blipFill>
                    <a:blip r:embed="rId8"/>
                    <a:srcRect/>
                    <a:stretch>
                      <a:fillRect/>
                    </a:stretch>
                  </pic:blipFill>
                  <pic:spPr>
                    <a:xfrm>
                      <a:off x="0" y="0"/>
                      <a:ext cx="2304288" cy="1371600"/>
                    </a:xfrm>
                    <a:prstGeom prst="rect">
                      <a:avLst/>
                    </a:prstGeom>
                    <a:ln/>
                  </pic:spPr>
                </pic:pic>
              </a:graphicData>
            </a:graphic>
            <wp14:sizeRelH relativeFrom="margin">
              <wp14:pctWidth>0</wp14:pctWidth>
            </wp14:sizeRelH>
            <wp14:sizeRelV relativeFrom="margin">
              <wp14:pctHeight>0</wp14:pctHeight>
            </wp14:sizeRelV>
          </wp:anchor>
        </w:drawing>
      </w:r>
    </w:p>
    <w:p w14:paraId="2A0BF0EE" w14:textId="1348D8E6" w:rsidR="00CC13EF" w:rsidRDefault="00CC13EF">
      <w:pPr>
        <w:rPr>
          <w:b/>
        </w:rPr>
      </w:pPr>
    </w:p>
    <w:p w14:paraId="4C2D6F40" w14:textId="77777777" w:rsidR="00CC13EF" w:rsidRDefault="00CC13EF">
      <w:pPr>
        <w:rPr>
          <w:b/>
        </w:rPr>
      </w:pPr>
    </w:p>
    <w:p w14:paraId="2D7218ED" w14:textId="6C944846" w:rsidR="00CC13EF" w:rsidRDefault="00CC13EF">
      <w:pPr>
        <w:rPr>
          <w:b/>
        </w:rPr>
      </w:pPr>
      <w:r>
        <w:rPr>
          <w:noProof/>
        </w:rPr>
        <mc:AlternateContent>
          <mc:Choice Requires="wps">
            <w:drawing>
              <wp:anchor distT="0" distB="0" distL="114300" distR="114300" simplePos="0" relativeHeight="251660288" behindDoc="0" locked="0" layoutInCell="1" allowOverlap="1" wp14:anchorId="05192B88" wp14:editId="725B8653">
                <wp:simplePos x="0" y="0"/>
                <wp:positionH relativeFrom="margin">
                  <wp:posOffset>1715108</wp:posOffset>
                </wp:positionH>
                <wp:positionV relativeFrom="paragraph">
                  <wp:posOffset>157204</wp:posOffset>
                </wp:positionV>
                <wp:extent cx="2306955" cy="635"/>
                <wp:effectExtent l="0" t="0" r="0" b="0"/>
                <wp:wrapSquare wrapText="bothSides"/>
                <wp:docPr id="759536191" name="Text Box 1"/>
                <wp:cNvGraphicFramePr/>
                <a:graphic xmlns:a="http://schemas.openxmlformats.org/drawingml/2006/main">
                  <a:graphicData uri="http://schemas.microsoft.com/office/word/2010/wordprocessingShape">
                    <wps:wsp>
                      <wps:cNvSpPr txBox="1"/>
                      <wps:spPr>
                        <a:xfrm>
                          <a:off x="0" y="0"/>
                          <a:ext cx="2306955" cy="635"/>
                        </a:xfrm>
                        <a:prstGeom prst="rect">
                          <a:avLst/>
                        </a:prstGeom>
                        <a:solidFill>
                          <a:prstClr val="white"/>
                        </a:solidFill>
                        <a:ln>
                          <a:noFill/>
                        </a:ln>
                      </wps:spPr>
                      <wps:txbx>
                        <w:txbxContent>
                          <w:p w14:paraId="25EE2063" w14:textId="17F553F7" w:rsidR="00B000EB" w:rsidRPr="00B000EB" w:rsidRDefault="00B000EB" w:rsidP="00B000EB">
                            <w:pPr>
                              <w:pStyle w:val="Caption"/>
                              <w:jc w:val="center"/>
                              <w:rPr>
                                <w:noProof/>
                                <w:color w:val="auto"/>
                              </w:rPr>
                            </w:pPr>
                            <w:bookmarkStart w:id="4" w:name="_Ref156551758"/>
                            <w:r w:rsidRPr="00B000EB">
                              <w:rPr>
                                <w:color w:val="auto"/>
                              </w:rPr>
                              <w:t xml:space="preserve">Figure </w:t>
                            </w:r>
                            <w:r w:rsidRPr="00B000EB">
                              <w:rPr>
                                <w:color w:val="auto"/>
                              </w:rPr>
                              <w:fldChar w:fldCharType="begin"/>
                            </w:r>
                            <w:r w:rsidRPr="00B000EB">
                              <w:rPr>
                                <w:color w:val="auto"/>
                              </w:rPr>
                              <w:instrText xml:space="preserve"> SEQ Figure \* ARABIC </w:instrText>
                            </w:r>
                            <w:r w:rsidRPr="00B000EB">
                              <w:rPr>
                                <w:color w:val="auto"/>
                              </w:rPr>
                              <w:fldChar w:fldCharType="separate"/>
                            </w:r>
                            <w:r w:rsidR="00A71627">
                              <w:rPr>
                                <w:noProof/>
                                <w:color w:val="auto"/>
                              </w:rPr>
                              <w:t>2</w:t>
                            </w:r>
                            <w:r w:rsidRPr="00B000EB">
                              <w:rPr>
                                <w:color w:val="auto"/>
                              </w:rPr>
                              <w:fldChar w:fldCharType="end"/>
                            </w:r>
                            <w:bookmarkEnd w:id="4"/>
                            <w:r w:rsidRPr="00B000EB">
                              <w:rPr>
                                <w:color w:val="auto"/>
                              </w:rPr>
                              <w:t>. Links related to sensing.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5192B88" id="_x0000_t202" coordsize="21600,21600" o:spt="202" path="m,l,21600r21600,l21600,xe">
                <v:stroke joinstyle="miter"/>
                <v:path gradientshapeok="t" o:connecttype="rect"/>
              </v:shapetype>
              <v:shape id="Text Box 1" o:spid="_x0000_s1026" type="#_x0000_t202" style="position:absolute;margin-left:135.05pt;margin-top:12.4pt;width:181.65pt;height:.0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" stroked="f">
                <v:textbox style="mso-fit-shape-to-text:t" inset="0,0,0,0">
                  <w:txbxContent>
                    <w:p w14:paraId="25EE2063" w14:textId="17F553F7" w:rsidR="00B000EB" w:rsidRPr="00B000EB" w:rsidRDefault="00B000EB" w:rsidP="00B000EB">
                      <w:pPr>
                        <w:pStyle w:val="Caption"/>
                        <w:jc w:val="center"/>
                        <w:rPr>
                          <w:noProof/>
                          <w:color w:val="auto"/>
                        </w:rPr>
                      </w:pPr>
                      <w:bookmarkStart w:id="5" w:name="_Ref156551758"/>
                      <w:r w:rsidRPr="00B000EB">
                        <w:rPr>
                          <w:color w:val="auto"/>
                        </w:rPr>
                        <w:t xml:space="preserve">Figure </w:t>
                      </w:r>
                      <w:r w:rsidRPr="00B000EB">
                        <w:rPr>
                          <w:color w:val="auto"/>
                        </w:rPr>
                        <w:fldChar w:fldCharType="begin"/>
                      </w:r>
                      <w:r w:rsidRPr="00B000EB">
                        <w:rPr>
                          <w:color w:val="auto"/>
                        </w:rPr>
                        <w:instrText xml:space="preserve"> SEQ Figure \* ARABIC </w:instrText>
                      </w:r>
                      <w:r w:rsidRPr="00B000EB">
                        <w:rPr>
                          <w:color w:val="auto"/>
                        </w:rPr>
                        <w:fldChar w:fldCharType="separate"/>
                      </w:r>
                      <w:r w:rsidR="00A71627">
                        <w:rPr>
                          <w:noProof/>
                          <w:color w:val="auto"/>
                        </w:rPr>
                        <w:t>2</w:t>
                      </w:r>
                      <w:r w:rsidRPr="00B000EB">
                        <w:rPr>
                          <w:color w:val="auto"/>
                        </w:rPr>
                        <w:fldChar w:fldCharType="end"/>
                      </w:r>
                      <w:bookmarkEnd w:id="5"/>
                      <w:r w:rsidRPr="00B000EB">
                        <w:rPr>
                          <w:color w:val="auto"/>
                        </w:rPr>
                        <w:t>. Links related to sensing.</w:t>
                      </w:r>
                    </w:p>
                  </w:txbxContent>
                </v:textbox>
                <w10:wrap type="square" anchorx="margin"/>
              </v:shape>
            </w:pict>
          </mc:Fallback>
        </mc:AlternateContent>
      </w:r>
    </w:p>
    <w:p w14:paraId="7B47949B" w14:textId="77777777" w:rsidR="00CC13EF" w:rsidRDefault="00CC13EF">
      <w:pPr>
        <w:rPr>
          <w:b/>
        </w:rPr>
      </w:pPr>
    </w:p>
    <w:p w14:paraId="3B23206A" w14:textId="504E72BB" w:rsidR="00335084" w:rsidRDefault="00000000">
      <w:pPr>
        <w:rPr>
          <w:b/>
        </w:rPr>
      </w:pPr>
      <w:r>
        <w:rPr>
          <w:b/>
        </w:rPr>
        <w:t>Pathloss Modifications:</w:t>
      </w:r>
    </w:p>
    <w:p w14:paraId="4D9F5082" w14:textId="4BD0B699" w:rsidR="00335084" w:rsidRDefault="00000000">
      <w:pPr>
        <w:keepNext/>
        <w:jc w:val="both"/>
      </w:pPr>
      <w:r>
        <w:t>Consider Links 1 and 2 in</w:t>
      </w:r>
      <w:r w:rsidR="00B000EB">
        <w:t xml:space="preserve"> </w:t>
      </w:r>
      <w:r w:rsidR="00B000EB">
        <w:fldChar w:fldCharType="begin"/>
      </w:r>
      <w:r w:rsidR="00B000EB">
        <w:instrText xml:space="preserve"> REF _Ref156551758 \h </w:instrText>
      </w:r>
      <w:r w:rsidR="00B000EB">
        <w:fldChar w:fldCharType="separate"/>
      </w:r>
      <w:r w:rsidR="00B000EB" w:rsidRPr="00B000EB">
        <w:t xml:space="preserve">Figure </w:t>
      </w:r>
      <w:r w:rsidR="00B000EB" w:rsidRPr="00B000EB">
        <w:rPr>
          <w:noProof/>
        </w:rPr>
        <w:t>2</w:t>
      </w:r>
      <w:r w:rsidR="00B000EB">
        <w:fldChar w:fldCharType="end"/>
      </w:r>
      <w:r>
        <w:t xml:space="preserve"> denoted by </w:t>
      </w:r>
      <m:oMath>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1</m:t>
            </m:r>
          </m:sub>
        </m:sSub>
      </m:oMath>
      <w:r>
        <w:t xml:space="preserve"> and </w:t>
      </w:r>
      <m:oMath>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2</m:t>
            </m:r>
          </m:sub>
        </m:sSub>
      </m:oMath>
      <w:r>
        <w:t xml:space="preserve">, respectively. The sensing pathloss for </w:t>
      </w:r>
      <m:oMath>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1</m:t>
            </m:r>
          </m:sub>
        </m:sSub>
      </m:oMath>
      <w:r>
        <w:t xml:space="preserve"> is the same as the communication pathloss where the receiver aperture effect is subtracted as instead of the receiver there is a passive object. Hence, we have </w:t>
      </w:r>
      <w:sdt>
        <w:sdtPr>
          <w:id w:val="775064616"/>
          <w:citation/>
        </w:sdtPr>
        <w:sdtContent>
          <w:r w:rsidR="00225312">
            <w:fldChar w:fldCharType="begin"/>
          </w:r>
          <w:r w:rsidR="001E4FC7">
            <w:instrText xml:space="preserve">CITATION JLo231 \l 1033 </w:instrText>
          </w:r>
          <w:r w:rsidR="00225312">
            <w:fldChar w:fldCharType="separate"/>
          </w:r>
          <w:r w:rsidR="001E4FC7" w:rsidRPr="001E4FC7">
            <w:rPr>
              <w:noProof/>
            </w:rPr>
            <w:t>[5]</w:t>
          </w:r>
          <w:r w:rsidR="00225312">
            <w:fldChar w:fldCharType="end"/>
          </w:r>
        </w:sdtContent>
      </w:sdt>
      <w:r>
        <w:t>:</w:t>
      </w:r>
    </w:p>
    <w:p w14:paraId="03136908" w14:textId="77777777" w:rsidR="00335084" w:rsidRDefault="00000000">
      <w:pPr>
        <w:keepNext/>
        <w:jc w:val="center"/>
      </w:pP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sen</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1</m:t>
                </m:r>
              </m:sub>
            </m:sSub>
          </m:e>
        </m:d>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comm</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1</m:t>
                </m:r>
              </m:sub>
            </m:sSub>
          </m:e>
        </m:d>
        <m:r>
          <w:rPr>
            <w:rFonts w:ascii="Cambria Math" w:eastAsia="Cambria Math" w:hAnsi="Cambria Math" w:cs="Cambria Math"/>
          </w:rPr>
          <m:t>+10</m:t>
        </m:r>
        <m:box>
          <m:boxPr>
            <m:opEmu m:val="1"/>
            <m:ctrlPr>
              <w:rPr>
                <w:rFonts w:ascii="Cambria Math" w:eastAsia="Cambria Math" w:hAnsi="Cambria Math" w:cs="Cambria Math"/>
              </w:rPr>
            </m:ctrlPr>
          </m:boxPr>
          <m:e>
            <m:r>
              <w:rPr>
                <w:rFonts w:ascii="Cambria Math" w:eastAsia="Cambria Math" w:hAnsi="Cambria Math" w:cs="Cambria Math"/>
              </w:rPr>
              <m:t>log</m:t>
            </m:r>
          </m:e>
        </m:box>
        <m:r>
          <w:rPr>
            <w:rFonts w:ascii="Cambria Math" w:eastAsia="Cambria Math" w:hAnsi="Cambria Math" w:cs="Cambria Math"/>
          </w:rPr>
          <m:t>log</m:t>
        </m:r>
        <m:r>
          <w:rPr>
            <w:rFonts w:ascii="Cambria Math" w:hAnsi="Cambria Math"/>
          </w:rPr>
          <m:t xml:space="preserve"> </m:t>
        </m:r>
        <m:d>
          <m:dPr>
            <m:ctrlPr>
              <w:rPr>
                <w:rFonts w:ascii="Cambria Math" w:hAnsi="Cambria Math"/>
              </w:rPr>
            </m:ctrlPr>
          </m:dPr>
          <m:e>
            <m:f>
              <m:fPr>
                <m:ctrlPr>
                  <w:rPr>
                    <w:rFonts w:ascii="Cambria Math" w:eastAsia="Cambria Math" w:hAnsi="Cambria Math" w:cs="Cambria Math"/>
                  </w:rPr>
                </m:ctrlPr>
              </m:fPr>
              <m:num>
                <m:sSup>
                  <m:sSupPr>
                    <m:ctrlPr>
                      <w:rPr>
                        <w:rFonts w:ascii="Cambria Math" w:eastAsia="Cambria Math" w:hAnsi="Cambria Math" w:cs="Cambria Math"/>
                      </w:rPr>
                    </m:ctrlPr>
                  </m:sSupPr>
                  <m:e>
                    <m:r>
                      <w:rPr>
                        <w:rFonts w:ascii="Cambria Math" w:eastAsia="Cambria Math" w:hAnsi="Cambria Math" w:cs="Cambria Math"/>
                      </w:rPr>
                      <m:t>c</m:t>
                    </m:r>
                  </m:e>
                  <m:sup>
                    <m:r>
                      <w:rPr>
                        <w:rFonts w:ascii="Cambria Math" w:eastAsia="Cambria Math" w:hAnsi="Cambria Math" w:cs="Cambria Math"/>
                      </w:rPr>
                      <m:t>2</m:t>
                    </m:r>
                  </m:sup>
                </m:sSup>
              </m:num>
              <m:den>
                <m:r>
                  <w:rPr>
                    <w:rFonts w:ascii="Cambria Math" w:eastAsia="Cambria Math" w:hAnsi="Cambria Math" w:cs="Cambria Math"/>
                  </w:rPr>
                  <m:t>4π</m:t>
                </m:r>
                <m:sSubSup>
                  <m:sSubSupPr>
                    <m:ctrlPr>
                      <w:rPr>
                        <w:rFonts w:ascii="Cambria Math" w:eastAsia="Cambria Math" w:hAnsi="Cambria Math" w:cs="Cambria Math"/>
                      </w:rPr>
                    </m:ctrlPr>
                  </m:sSubSupPr>
                  <m:e>
                    <m:r>
                      <w:rPr>
                        <w:rFonts w:ascii="Cambria Math" w:eastAsia="Cambria Math" w:hAnsi="Cambria Math" w:cs="Cambria Math"/>
                      </w:rPr>
                      <m:t>f</m:t>
                    </m:r>
                  </m:e>
                  <m:sub>
                    <m:r>
                      <w:rPr>
                        <w:rFonts w:ascii="Cambria Math" w:eastAsia="Cambria Math" w:hAnsi="Cambria Math" w:cs="Cambria Math"/>
                      </w:rPr>
                      <m:t>c</m:t>
                    </m:r>
                  </m:sub>
                  <m:sup>
                    <m:r>
                      <w:rPr>
                        <w:rFonts w:ascii="Cambria Math" w:eastAsia="Cambria Math" w:hAnsi="Cambria Math" w:cs="Cambria Math"/>
                      </w:rPr>
                      <m:t>2</m:t>
                    </m:r>
                  </m:sup>
                </m:sSubSup>
              </m:den>
            </m:f>
          </m:e>
        </m:d>
        <m:r>
          <w:rPr>
            <w:rFonts w:ascii="Cambria Math" w:eastAsia="Cambria Math" w:hAnsi="Cambria Math" w:cs="Cambria Math"/>
          </w:rPr>
          <m:t>,</m:t>
        </m:r>
        <m:r>
          <w:rPr>
            <w:rFonts w:ascii="Cambria Math" w:hAnsi="Cambria Math"/>
          </w:rPr>
          <m:t xml:space="preserve"> </m:t>
        </m:r>
        <m:r>
          <w:rPr>
            <w:rFonts w:ascii="Cambria Math" w:eastAsia="Cambria Math" w:hAnsi="Cambria Math" w:cs="Cambria Math"/>
          </w:rPr>
          <m:t xml:space="preserve"> </m:t>
        </m:r>
      </m:oMath>
      <w:r>
        <w:tab/>
      </w:r>
      <w:r>
        <w:tab/>
        <w:t>(1)</w:t>
      </w:r>
    </w:p>
    <w:p w14:paraId="1AB11161" w14:textId="77777777" w:rsidR="00335084" w:rsidRDefault="00000000">
      <w:r>
        <w:t xml:space="preserve">On the other hand, the sensing pathloss for the </w:t>
      </w:r>
      <m:oMath>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2</m:t>
            </m:r>
          </m:sub>
        </m:sSub>
      </m:oMath>
      <w:r>
        <w:t xml:space="preserve"> is equal to the communication pathloss added by the RCS factor as below [3]:</w:t>
      </w:r>
    </w:p>
    <w:p w14:paraId="15F475EF" w14:textId="23DC341C" w:rsidR="00335084" w:rsidRDefault="00000000">
      <w:pPr>
        <w:jc w:val="center"/>
      </w:pP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sen</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2</m:t>
                </m:r>
              </m:sub>
            </m:sSub>
          </m:e>
        </m:d>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comm</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2</m:t>
                </m:r>
              </m:sub>
            </m:sSub>
          </m:e>
        </m:d>
        <m:r>
          <w:rPr>
            <w:rFonts w:ascii="Cambria Math" w:eastAsia="Cambria Math" w:hAnsi="Cambria Math" w:cs="Cambria Math"/>
          </w:rPr>
          <m:t xml:space="preserve"> - 10 </m:t>
        </m:r>
        <m:box>
          <m:boxPr>
            <m:opEmu m:val="1"/>
            <m:ctrlPr>
              <w:rPr>
                <w:rFonts w:ascii="Cambria Math" w:eastAsia="Cambria Math" w:hAnsi="Cambria Math" w:cs="Cambria Math"/>
              </w:rPr>
            </m:ctrlPr>
          </m:boxPr>
          <m:e>
            <m:r>
              <w:rPr>
                <w:rFonts w:ascii="Cambria Math" w:eastAsia="Cambria Math" w:hAnsi="Cambria Math" w:cs="Cambria Math"/>
              </w:rPr>
              <m:t>log</m:t>
            </m:r>
          </m:e>
        </m:box>
        <m:r>
          <w:rPr>
            <w:rFonts w:ascii="Cambria Math" w:eastAsia="Cambria Math" w:hAnsi="Cambria Math" w:cs="Cambria Math"/>
          </w:rPr>
          <m:t>σ,</m:t>
        </m:r>
        <m:r>
          <w:rPr>
            <w:rFonts w:ascii="Cambria Math" w:hAnsi="Cambria Math"/>
          </w:rPr>
          <m:t xml:space="preserve"> </m:t>
        </m:r>
      </m:oMath>
      <w:r>
        <w:t xml:space="preserve"> </w:t>
      </w:r>
      <w:r>
        <w:tab/>
      </w:r>
      <w:r>
        <w:tab/>
      </w:r>
      <w:r>
        <w:tab/>
        <w:t>(2)</w:t>
      </w:r>
    </w:p>
    <w:p w14:paraId="5E5D0513" w14:textId="77777777" w:rsidR="00335084" w:rsidRDefault="00000000">
      <w:r>
        <w:t xml:space="preserve">where </w:t>
      </w:r>
      <m:oMath>
        <m:r>
          <w:rPr>
            <w:rFonts w:ascii="Cambria Math" w:hAnsi="Cambria Math"/>
          </w:rPr>
          <m:t>σ</m:t>
        </m:r>
      </m:oMath>
      <w:r>
        <w:t xml:space="preserve"> is the RCS of the cluster. Combining (1) and (2), the overall sensing pathloss as a function of communication pathloss can be obtained as below:</w:t>
      </w:r>
    </w:p>
    <w:p w14:paraId="31988D09" w14:textId="51C7EB11" w:rsidR="00335084" w:rsidRDefault="00000000">
      <w:pPr>
        <w:jc w:val="center"/>
      </w:pP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sen</m:t>
            </m:r>
          </m:sub>
        </m:sSub>
        <m:d>
          <m:dPr>
            <m:ctrlPr>
              <w:rPr>
                <w:rFonts w:ascii="Cambria Math" w:eastAsia="Cambria Math" w:hAnsi="Cambria Math" w:cs="Cambria Math"/>
              </w:rPr>
            </m:ctrlPr>
          </m:dPr>
          <m:e>
            <m:r>
              <w:rPr>
                <w:rFonts w:ascii="Cambria Math" w:eastAsia="Cambria Math" w:hAnsi="Cambria Math" w:cs="Cambria Math"/>
              </w:rPr>
              <m:t>L</m:t>
            </m:r>
          </m:e>
        </m:d>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comm</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1</m:t>
                </m:r>
              </m:sub>
            </m:sSub>
          </m:e>
        </m:d>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comm</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2</m:t>
                </m:r>
              </m:sub>
            </m:sSub>
          </m:e>
        </m:d>
        <m:r>
          <w:rPr>
            <w:rFonts w:ascii="Cambria Math" w:eastAsia="Cambria Math" w:hAnsi="Cambria Math" w:cs="Cambria Math"/>
          </w:rPr>
          <m:t xml:space="preserve"> +10</m:t>
        </m:r>
        <m:box>
          <m:boxPr>
            <m:opEmu m:val="1"/>
            <m:ctrlPr>
              <w:rPr>
                <w:rFonts w:ascii="Cambria Math" w:eastAsia="Cambria Math" w:hAnsi="Cambria Math" w:cs="Cambria Math"/>
              </w:rPr>
            </m:ctrlPr>
          </m:boxPr>
          <m:e>
            <m:r>
              <w:rPr>
                <w:rFonts w:ascii="Cambria Math" w:eastAsia="Cambria Math" w:hAnsi="Cambria Math" w:cs="Cambria Math"/>
              </w:rPr>
              <m:t>log</m:t>
            </m:r>
          </m:e>
        </m:box>
        <m:r>
          <w:rPr>
            <w:rFonts w:ascii="Cambria Math" w:hAnsi="Cambria Math"/>
          </w:rPr>
          <m:t xml:space="preserve"> </m:t>
        </m:r>
        <m:d>
          <m:dPr>
            <m:ctrlPr>
              <w:rPr>
                <w:rFonts w:ascii="Cambria Math" w:hAnsi="Cambria Math"/>
              </w:rPr>
            </m:ctrlPr>
          </m:dPr>
          <m:e>
            <m:f>
              <m:fPr>
                <m:ctrlPr>
                  <w:rPr>
                    <w:rFonts w:ascii="Cambria Math" w:eastAsia="Cambria Math" w:hAnsi="Cambria Math" w:cs="Cambria Math"/>
                  </w:rPr>
                </m:ctrlPr>
              </m:fPr>
              <m:num>
                <m:sSup>
                  <m:sSupPr>
                    <m:ctrlPr>
                      <w:rPr>
                        <w:rFonts w:ascii="Cambria Math" w:eastAsia="Cambria Math" w:hAnsi="Cambria Math" w:cs="Cambria Math"/>
                      </w:rPr>
                    </m:ctrlPr>
                  </m:sSupPr>
                  <m:e>
                    <m:r>
                      <w:rPr>
                        <w:rFonts w:ascii="Cambria Math" w:eastAsia="Cambria Math" w:hAnsi="Cambria Math" w:cs="Cambria Math"/>
                      </w:rPr>
                      <m:t>c</m:t>
                    </m:r>
                  </m:e>
                  <m:sup>
                    <m:r>
                      <w:rPr>
                        <w:rFonts w:ascii="Cambria Math" w:eastAsia="Cambria Math" w:hAnsi="Cambria Math" w:cs="Cambria Math"/>
                      </w:rPr>
                      <m:t>2</m:t>
                    </m:r>
                  </m:sup>
                </m:sSup>
              </m:num>
              <m:den>
                <m:r>
                  <w:rPr>
                    <w:rFonts w:ascii="Cambria Math" w:eastAsia="Cambria Math" w:hAnsi="Cambria Math" w:cs="Cambria Math"/>
                  </w:rPr>
                  <m:t>4π</m:t>
                </m:r>
                <m:sSubSup>
                  <m:sSubSupPr>
                    <m:ctrlPr>
                      <w:rPr>
                        <w:rFonts w:ascii="Cambria Math" w:eastAsia="Cambria Math" w:hAnsi="Cambria Math" w:cs="Cambria Math"/>
                      </w:rPr>
                    </m:ctrlPr>
                  </m:sSubSupPr>
                  <m:e>
                    <m:r>
                      <w:rPr>
                        <w:rFonts w:ascii="Cambria Math" w:eastAsia="Cambria Math" w:hAnsi="Cambria Math" w:cs="Cambria Math"/>
                      </w:rPr>
                      <m:t>f</m:t>
                    </m:r>
                  </m:e>
                  <m:sub>
                    <m:r>
                      <w:rPr>
                        <w:rFonts w:ascii="Cambria Math" w:eastAsia="Cambria Math" w:hAnsi="Cambria Math" w:cs="Cambria Math"/>
                      </w:rPr>
                      <m:t>c</m:t>
                    </m:r>
                  </m:sub>
                  <m:sup>
                    <m:r>
                      <w:rPr>
                        <w:rFonts w:ascii="Cambria Math" w:eastAsia="Cambria Math" w:hAnsi="Cambria Math" w:cs="Cambria Math"/>
                      </w:rPr>
                      <m:t>2</m:t>
                    </m:r>
                  </m:sup>
                </m:sSubSup>
              </m:den>
            </m:f>
          </m:e>
        </m:d>
        <m:r>
          <w:rPr>
            <w:rFonts w:ascii="Cambria Math" w:hAnsi="Cambria Math"/>
          </w:rPr>
          <m:t xml:space="preserve"> </m:t>
        </m:r>
        <m:r>
          <w:rPr>
            <w:rFonts w:ascii="Cambria Math" w:eastAsia="Cambria Math" w:hAnsi="Cambria Math" w:cs="Cambria Math"/>
          </w:rPr>
          <m:t xml:space="preserve"> - 10 </m:t>
        </m:r>
        <m:box>
          <m:boxPr>
            <m:opEmu m:val="1"/>
            <m:ctrlPr>
              <w:rPr>
                <w:rFonts w:ascii="Cambria Math" w:eastAsia="Cambria Math" w:hAnsi="Cambria Math" w:cs="Cambria Math"/>
              </w:rPr>
            </m:ctrlPr>
          </m:boxPr>
          <m:e>
            <m:r>
              <w:rPr>
                <w:rFonts w:ascii="Cambria Math" w:eastAsia="Cambria Math" w:hAnsi="Cambria Math" w:cs="Cambria Math"/>
              </w:rPr>
              <m:t>log</m:t>
            </m:r>
          </m:e>
        </m:box>
        <m:r>
          <w:rPr>
            <w:rFonts w:ascii="Cambria Math" w:hAnsi="Cambria Math"/>
          </w:rPr>
          <m:t xml:space="preserve">σ </m:t>
        </m:r>
        <m:r>
          <w:rPr>
            <w:rFonts w:ascii="Cambria Math" w:eastAsia="Cambria Math" w:hAnsi="Cambria Math" w:cs="Cambria Math"/>
          </w:rPr>
          <m:t>.</m:t>
        </m:r>
      </m:oMath>
      <w:r>
        <w:tab/>
      </w:r>
      <w:r>
        <w:tab/>
        <w:t>(3)</w:t>
      </w:r>
    </w:p>
    <w:p w14:paraId="446751A9" w14:textId="77777777" w:rsidR="00335084" w:rsidRDefault="00335084"/>
    <w:p w14:paraId="4AB48D7F" w14:textId="73D251A8" w:rsidR="00335084" w:rsidRDefault="00000000" w:rsidP="00B000EB">
      <w:pPr>
        <w:jc w:val="both"/>
      </w:pPr>
      <w:r>
        <w:t xml:space="preserve">The </w:t>
      </w:r>
      <w:r w:rsidR="001701FF">
        <w:t>fast-fading</w:t>
      </w:r>
      <w:r>
        <w:t xml:space="preserve"> channel model procedure is shown in </w:t>
      </w:r>
      <w:r>
        <w:rPr>
          <w:i/>
          <w:sz w:val="20"/>
          <w:szCs w:val="20"/>
        </w:rPr>
        <w:t>Figure 3</w:t>
      </w:r>
      <w:r>
        <w:t xml:space="preserve"> for the Communication and Sensing, respectively.</w:t>
      </w:r>
    </w:p>
    <w:p w14:paraId="0BA51775" w14:textId="77777777" w:rsidR="00335084" w:rsidRDefault="00000000">
      <w:pPr>
        <w:jc w:val="both"/>
      </w:pPr>
      <w:r>
        <w:t xml:space="preserve">One important thing to take into consideration is that the RCS is not necessarily stationary in space. In other words, different parts of an object may result in different values for RCS. </w:t>
      </w:r>
    </w:p>
    <w:p w14:paraId="5781A092" w14:textId="183F6009" w:rsidR="00335084" w:rsidRDefault="00000000">
      <w:pPr>
        <w:jc w:val="both"/>
      </w:pPr>
      <w:r>
        <w:rPr>
          <w:b/>
        </w:rPr>
        <w:t>Observation 2:</w:t>
      </w:r>
      <w:r>
        <w:t xml:space="preserve"> The RCS of objects is </w:t>
      </w:r>
      <w:r w:rsidR="00595E1C">
        <w:t>a non-constant value for each object.</w:t>
      </w:r>
    </w:p>
    <w:p w14:paraId="22F9DC4E" w14:textId="77777777" w:rsidR="00335084" w:rsidRDefault="00000000" w:rsidP="00B000EB">
      <w:pPr>
        <w:jc w:val="both"/>
      </w:pPr>
      <w:r>
        <w:rPr>
          <w:b/>
        </w:rPr>
        <w:t>Proposal 2:</w:t>
      </w:r>
      <w:r>
        <w:t xml:space="preserve"> A distribution model of RCS in space should be considered in channel modeling. </w:t>
      </w:r>
    </w:p>
    <w:p w14:paraId="668558F3" w14:textId="79FC4264" w:rsidR="00335084" w:rsidRDefault="00225312" w:rsidP="00B000EB">
      <w:pPr>
        <w:jc w:val="both"/>
      </w:pPr>
      <w:r>
        <w:t>Different distribution</w:t>
      </w:r>
      <w:r w:rsidR="00595E1C">
        <w:t xml:space="preserve"> models </w:t>
      </w:r>
      <w:r>
        <w:t xml:space="preserve">can be considered for the RCS of </w:t>
      </w:r>
      <w:r w:rsidR="00595E1C">
        <w:t>an object</w:t>
      </w:r>
      <w:r>
        <w:t>.</w:t>
      </w:r>
      <w:r w:rsidR="00595E1C">
        <w:t xml:space="preserve"> In </w:t>
      </w:r>
      <w:sdt>
        <w:sdtPr>
          <w:id w:val="926776060"/>
          <w:citation/>
        </w:sdtPr>
        <w:sdtContent>
          <w:r w:rsidR="00595E1C">
            <w:fldChar w:fldCharType="begin"/>
          </w:r>
          <w:r w:rsidR="00595E1C">
            <w:instrText xml:space="preserve">CITATION Yas13 \l 1033 </w:instrText>
          </w:r>
          <w:r w:rsidR="00595E1C">
            <w:fldChar w:fldCharType="separate"/>
          </w:r>
          <w:r w:rsidR="00595E1C" w:rsidRPr="001E4FC7">
            <w:rPr>
              <w:noProof/>
            </w:rPr>
            <w:t>[6]</w:t>
          </w:r>
          <w:r w:rsidR="00595E1C">
            <w:fldChar w:fldCharType="end"/>
          </w:r>
        </w:sdtContent>
      </w:sdt>
      <w:r w:rsidR="00595E1C">
        <w:t xml:space="preserve"> a Weibull distribution has been fitted to the RCS of the human body</w:t>
      </w:r>
      <w:r w:rsidR="00A71627">
        <w:t xml:space="preserve"> represented in </w:t>
      </w:r>
      <w:r w:rsidR="00595E1C">
        <w:t xml:space="preserve"> </w:t>
      </w:r>
      <w:r w:rsidR="00CC13EF">
        <w:fldChar w:fldCharType="begin"/>
      </w:r>
      <w:r w:rsidR="00CC13EF">
        <w:instrText xml:space="preserve"> REF _Ref156551887 \h </w:instrText>
      </w:r>
      <w:r w:rsidR="00CC13EF">
        <w:fldChar w:fldCharType="separate"/>
      </w:r>
      <w:r w:rsidR="00CC13EF" w:rsidRPr="00A71627">
        <w:t xml:space="preserve">Figure </w:t>
      </w:r>
      <w:r w:rsidR="00CC13EF" w:rsidRPr="00A71627">
        <w:rPr>
          <w:noProof/>
        </w:rPr>
        <w:t>3</w:t>
      </w:r>
      <w:r w:rsidR="00CC13EF">
        <w:fldChar w:fldCharType="end"/>
      </w:r>
      <w:r w:rsidR="00CC13EF">
        <w:t>.</w:t>
      </w:r>
    </w:p>
    <w:p w14:paraId="6F0D8FEA" w14:textId="77777777" w:rsidR="00A71627" w:rsidRDefault="00B000EB" w:rsidP="00A71627">
      <w:pPr>
        <w:keepNext/>
        <w:jc w:val="center"/>
      </w:pPr>
      <w:r>
        <w:rPr>
          <w:noProof/>
        </w:rPr>
        <w:lastRenderedPageBreak/>
        <w:drawing>
          <wp:inline distT="0" distB="0" distL="0" distR="0" wp14:anchorId="07E3BF7E" wp14:editId="677C3257">
            <wp:extent cx="1956708" cy="1570404"/>
            <wp:effectExtent l="0" t="0" r="5715" b="0"/>
            <wp:docPr id="5771669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166907" name="Picture 1" descr="A graph with a red lin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1969623" cy="1580769"/>
                    </a:xfrm>
                    <a:prstGeom prst="rect">
                      <a:avLst/>
                    </a:prstGeom>
                  </pic:spPr>
                </pic:pic>
              </a:graphicData>
            </a:graphic>
          </wp:inline>
        </w:drawing>
      </w:r>
    </w:p>
    <w:p w14:paraId="5538B794" w14:textId="2AC3E800" w:rsidR="00B000EB" w:rsidRPr="00A71627" w:rsidRDefault="00A71627" w:rsidP="00A71627">
      <w:pPr>
        <w:pStyle w:val="Caption"/>
        <w:jc w:val="center"/>
        <w:rPr>
          <w:color w:val="auto"/>
        </w:rPr>
      </w:pPr>
      <w:bookmarkStart w:id="5" w:name="_Ref156551887"/>
      <w:r w:rsidRPr="00A71627">
        <w:rPr>
          <w:color w:val="auto"/>
        </w:rPr>
        <w:t xml:space="preserve">Figure </w:t>
      </w:r>
      <w:r w:rsidRPr="00A71627">
        <w:rPr>
          <w:color w:val="auto"/>
        </w:rPr>
        <w:fldChar w:fldCharType="begin"/>
      </w:r>
      <w:r w:rsidRPr="00A71627">
        <w:rPr>
          <w:color w:val="auto"/>
        </w:rPr>
        <w:instrText xml:space="preserve"> SEQ Figure \* ARABIC </w:instrText>
      </w:r>
      <w:r w:rsidRPr="00A71627">
        <w:rPr>
          <w:color w:val="auto"/>
        </w:rPr>
        <w:fldChar w:fldCharType="separate"/>
      </w:r>
      <w:r w:rsidRPr="00A71627">
        <w:rPr>
          <w:noProof/>
          <w:color w:val="auto"/>
        </w:rPr>
        <w:t>3</w:t>
      </w:r>
      <w:r w:rsidRPr="00A71627">
        <w:rPr>
          <w:color w:val="auto"/>
        </w:rPr>
        <w:fldChar w:fldCharType="end"/>
      </w:r>
      <w:bookmarkEnd w:id="5"/>
      <w:r w:rsidRPr="00A71627">
        <w:rPr>
          <w:color w:val="auto"/>
        </w:rPr>
        <w:t>. Human RCS histogram and the Weibull distribution fitted to it.</w:t>
      </w:r>
    </w:p>
    <w:p w14:paraId="24B26075" w14:textId="77777777" w:rsidR="00335084" w:rsidRDefault="00335084">
      <w:pPr>
        <w:rPr>
          <w:shd w:val="clear" w:color="auto" w:fill="F4CCCC"/>
        </w:rPr>
      </w:pPr>
    </w:p>
    <w:p w14:paraId="6A2B3DD8" w14:textId="0769D653" w:rsidR="00335084" w:rsidRDefault="00CC13EF">
      <w:pPr>
        <w:jc w:val="both"/>
      </w:pPr>
      <w:r>
        <w:t xml:space="preserve">The RCS of human denoted by </w:t>
      </w:r>
      <m:oMath>
        <m:r>
          <w:rPr>
            <w:rFonts w:ascii="Cambria Math" w:hAnsi="Cambria Math"/>
          </w:rPr>
          <m:t>σ</m:t>
        </m:r>
      </m:oMath>
      <w:r>
        <w:t xml:space="preserve"> and the additional pathloss caused by that have been provided in </w:t>
      </w:r>
      <w:r>
        <w:rPr>
          <w:sz w:val="20"/>
          <w:szCs w:val="20"/>
        </w:rPr>
        <w:t>Table</w:t>
      </w:r>
      <w:r>
        <w:rPr>
          <w:i/>
          <w:sz w:val="20"/>
          <w:szCs w:val="20"/>
        </w:rPr>
        <w:t xml:space="preserve"> 1</w:t>
      </w:r>
      <w:r>
        <w:t xml:space="preserve"> as a function of frequency experimentally obtained in a monostatic RCS measurements setup </w:t>
      </w:r>
      <w:sdt>
        <w:sdtPr>
          <w:id w:val="-1382467743"/>
          <w:citation/>
        </w:sdtPr>
        <w:sdtContent>
          <w:r w:rsidR="000E755A">
            <w:fldChar w:fldCharType="begin"/>
          </w:r>
          <w:r w:rsidR="001E4FC7">
            <w:instrText xml:space="preserve">CITATION EPi121 \l 1033 </w:instrText>
          </w:r>
          <w:r w:rsidR="000E755A">
            <w:fldChar w:fldCharType="separate"/>
          </w:r>
          <w:r w:rsidR="001E4FC7" w:rsidRPr="001E4FC7">
            <w:rPr>
              <w:noProof/>
            </w:rPr>
            <w:t>[7]</w:t>
          </w:r>
          <w:r w:rsidR="000E755A">
            <w:fldChar w:fldCharType="end"/>
          </w:r>
        </w:sdtContent>
      </w:sdt>
      <w:r>
        <w:t xml:space="preserve">. As mentioned before, the absolute value of RCS is greatly affected by the object (here a human) postures. </w:t>
      </w:r>
    </w:p>
    <w:p w14:paraId="17F08367" w14:textId="77777777" w:rsidR="00335084" w:rsidRDefault="00000000">
      <w:pPr>
        <w:keepNext/>
        <w:pBdr>
          <w:top w:val="nil"/>
          <w:left w:val="nil"/>
          <w:bottom w:val="nil"/>
          <w:right w:val="nil"/>
          <w:between w:val="nil"/>
        </w:pBdr>
        <w:spacing w:after="200" w:line="240" w:lineRule="auto"/>
        <w:jc w:val="center"/>
        <w:rPr>
          <w:color w:val="000000"/>
          <w:sz w:val="20"/>
          <w:szCs w:val="20"/>
        </w:rPr>
      </w:pPr>
      <w:bookmarkStart w:id="6" w:name="_heading=h.1fob9te" w:colFirst="0" w:colLast="0"/>
      <w:bookmarkEnd w:id="6"/>
      <w:r>
        <w:rPr>
          <w:color w:val="000000"/>
          <w:sz w:val="20"/>
          <w:szCs w:val="20"/>
        </w:rPr>
        <w:t>Table 1: RCS of a human in different frequencies</w:t>
      </w:r>
    </w:p>
    <w:tbl>
      <w:tblPr>
        <w:tblStyle w:val="a"/>
        <w:tblW w:w="103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45"/>
        <w:gridCol w:w="851"/>
        <w:gridCol w:w="792"/>
        <w:gridCol w:w="793"/>
        <w:gridCol w:w="854"/>
        <w:gridCol w:w="803"/>
        <w:gridCol w:w="793"/>
        <w:gridCol w:w="807"/>
        <w:gridCol w:w="811"/>
        <w:gridCol w:w="825"/>
        <w:gridCol w:w="842"/>
      </w:tblGrid>
      <w:tr w:rsidR="00335084" w14:paraId="50EED639" w14:textId="77777777">
        <w:trPr>
          <w:trHeight w:val="530"/>
          <w:jc w:val="center"/>
        </w:trPr>
        <w:tc>
          <w:tcPr>
            <w:tcW w:w="2145" w:type="dxa"/>
            <w:shd w:val="clear" w:color="auto" w:fill="E7E6E6"/>
            <w:vAlign w:val="center"/>
          </w:tcPr>
          <w:p w14:paraId="00EDCA88" w14:textId="77777777" w:rsidR="00335084" w:rsidRDefault="00000000">
            <w:pPr>
              <w:jc w:val="center"/>
              <w:rPr>
                <w:b/>
              </w:rPr>
            </w:pPr>
            <w:r>
              <w:rPr>
                <w:b/>
              </w:rPr>
              <w:t>Frequency (GHz)</w:t>
            </w:r>
          </w:p>
        </w:tc>
        <w:tc>
          <w:tcPr>
            <w:tcW w:w="851" w:type="dxa"/>
            <w:shd w:val="clear" w:color="auto" w:fill="E7E6E6"/>
            <w:vAlign w:val="center"/>
          </w:tcPr>
          <w:p w14:paraId="3D7F7B27" w14:textId="77777777" w:rsidR="00335084" w:rsidRDefault="00000000">
            <w:pPr>
              <w:jc w:val="center"/>
            </w:pPr>
            <w:r>
              <w:t>1</w:t>
            </w:r>
          </w:p>
        </w:tc>
        <w:tc>
          <w:tcPr>
            <w:tcW w:w="792" w:type="dxa"/>
            <w:shd w:val="clear" w:color="auto" w:fill="E7E6E6"/>
            <w:vAlign w:val="center"/>
          </w:tcPr>
          <w:p w14:paraId="5EA46667" w14:textId="77777777" w:rsidR="00335084" w:rsidRDefault="00000000">
            <w:pPr>
              <w:jc w:val="center"/>
            </w:pPr>
            <w:r>
              <w:t>2</w:t>
            </w:r>
          </w:p>
        </w:tc>
        <w:tc>
          <w:tcPr>
            <w:tcW w:w="793" w:type="dxa"/>
            <w:shd w:val="clear" w:color="auto" w:fill="E7E6E6"/>
            <w:vAlign w:val="center"/>
          </w:tcPr>
          <w:p w14:paraId="63F95D8D" w14:textId="77777777" w:rsidR="00335084" w:rsidRDefault="00000000">
            <w:pPr>
              <w:jc w:val="center"/>
            </w:pPr>
            <w:r>
              <w:t>3</w:t>
            </w:r>
          </w:p>
        </w:tc>
        <w:tc>
          <w:tcPr>
            <w:tcW w:w="854" w:type="dxa"/>
            <w:shd w:val="clear" w:color="auto" w:fill="E7E6E6"/>
            <w:vAlign w:val="center"/>
          </w:tcPr>
          <w:p w14:paraId="7086C5C8" w14:textId="77777777" w:rsidR="00335084" w:rsidRDefault="00000000">
            <w:pPr>
              <w:jc w:val="center"/>
            </w:pPr>
            <w:r>
              <w:t>4</w:t>
            </w:r>
          </w:p>
        </w:tc>
        <w:tc>
          <w:tcPr>
            <w:tcW w:w="803" w:type="dxa"/>
            <w:shd w:val="clear" w:color="auto" w:fill="E7E6E6"/>
            <w:vAlign w:val="center"/>
          </w:tcPr>
          <w:p w14:paraId="7D5E8882" w14:textId="77777777" w:rsidR="00335084" w:rsidRDefault="00000000">
            <w:pPr>
              <w:jc w:val="center"/>
            </w:pPr>
            <w:r>
              <w:t>5</w:t>
            </w:r>
          </w:p>
        </w:tc>
        <w:tc>
          <w:tcPr>
            <w:tcW w:w="793" w:type="dxa"/>
            <w:shd w:val="clear" w:color="auto" w:fill="E7E6E6"/>
            <w:vAlign w:val="center"/>
          </w:tcPr>
          <w:p w14:paraId="2EA7D0FF" w14:textId="77777777" w:rsidR="00335084" w:rsidRDefault="00000000">
            <w:pPr>
              <w:jc w:val="center"/>
            </w:pPr>
            <w:r>
              <w:t>6</w:t>
            </w:r>
          </w:p>
        </w:tc>
        <w:tc>
          <w:tcPr>
            <w:tcW w:w="807" w:type="dxa"/>
            <w:shd w:val="clear" w:color="auto" w:fill="E7E6E6"/>
            <w:vAlign w:val="center"/>
          </w:tcPr>
          <w:p w14:paraId="7709A485" w14:textId="77777777" w:rsidR="00335084" w:rsidRDefault="00000000">
            <w:pPr>
              <w:jc w:val="center"/>
            </w:pPr>
            <w:r>
              <w:t>7</w:t>
            </w:r>
          </w:p>
        </w:tc>
        <w:tc>
          <w:tcPr>
            <w:tcW w:w="811" w:type="dxa"/>
            <w:shd w:val="clear" w:color="auto" w:fill="E7E6E6"/>
            <w:vAlign w:val="center"/>
          </w:tcPr>
          <w:p w14:paraId="47F97302" w14:textId="77777777" w:rsidR="00335084" w:rsidRDefault="00000000">
            <w:pPr>
              <w:jc w:val="center"/>
            </w:pPr>
            <w:r>
              <w:t>8</w:t>
            </w:r>
          </w:p>
        </w:tc>
        <w:tc>
          <w:tcPr>
            <w:tcW w:w="825" w:type="dxa"/>
            <w:shd w:val="clear" w:color="auto" w:fill="E7E6E6"/>
            <w:vAlign w:val="center"/>
          </w:tcPr>
          <w:p w14:paraId="47BDF4C2" w14:textId="77777777" w:rsidR="00335084" w:rsidRDefault="00000000">
            <w:pPr>
              <w:jc w:val="center"/>
            </w:pPr>
            <w:r>
              <w:t>9</w:t>
            </w:r>
          </w:p>
        </w:tc>
        <w:tc>
          <w:tcPr>
            <w:tcW w:w="842" w:type="dxa"/>
            <w:shd w:val="clear" w:color="auto" w:fill="E7E6E6"/>
            <w:vAlign w:val="center"/>
          </w:tcPr>
          <w:p w14:paraId="5D6398EE" w14:textId="77777777" w:rsidR="00335084" w:rsidRDefault="00000000">
            <w:pPr>
              <w:jc w:val="center"/>
            </w:pPr>
            <w:r>
              <w:t>10</w:t>
            </w:r>
          </w:p>
        </w:tc>
      </w:tr>
      <w:tr w:rsidR="00335084" w14:paraId="2D15BE2D" w14:textId="77777777">
        <w:trPr>
          <w:trHeight w:val="382"/>
          <w:jc w:val="center"/>
        </w:trPr>
        <w:tc>
          <w:tcPr>
            <w:tcW w:w="2145" w:type="dxa"/>
            <w:vAlign w:val="center"/>
          </w:tcPr>
          <w:p w14:paraId="759D3AE5" w14:textId="77777777" w:rsidR="00335084" w:rsidRDefault="00000000">
            <w:pPr>
              <w:jc w:val="center"/>
              <w:rPr>
                <w:b/>
              </w:rPr>
            </w:pPr>
            <m:oMath>
              <m:r>
                <w:rPr>
                  <w:rFonts w:ascii="Cambria Math" w:hAnsi="Cambria Math"/>
                </w:rPr>
                <m:t>σ</m:t>
              </m:r>
            </m:oMath>
            <w:r>
              <w:rPr>
                <w:b/>
              </w:rPr>
              <w:t>(</w:t>
            </w:r>
            <m:oMath>
              <m:sSup>
                <m:sSupPr>
                  <m:ctrlPr>
                    <w:rPr>
                      <w:rFonts w:ascii="Cambria Math" w:eastAsia="Cambria Math" w:hAnsi="Cambria Math" w:cs="Cambria Math"/>
                    </w:rPr>
                  </m:ctrlPr>
                </m:sSupPr>
                <m:e>
                  <m:r>
                    <w:rPr>
                      <w:rFonts w:ascii="Cambria Math" w:eastAsia="Cambria Math" w:hAnsi="Cambria Math" w:cs="Cambria Math"/>
                    </w:rPr>
                    <m:t>m</m:t>
                  </m:r>
                </m:e>
                <m:sup>
                  <m:r>
                    <w:rPr>
                      <w:rFonts w:ascii="Cambria Math" w:eastAsia="Cambria Math" w:hAnsi="Cambria Math" w:cs="Cambria Math"/>
                    </w:rPr>
                    <m:t>2</m:t>
                  </m:r>
                </m:sup>
              </m:sSup>
            </m:oMath>
            <w:r>
              <w:rPr>
                <w:b/>
              </w:rPr>
              <w:t>)</w:t>
            </w:r>
          </w:p>
        </w:tc>
        <w:tc>
          <w:tcPr>
            <w:tcW w:w="851" w:type="dxa"/>
            <w:vAlign w:val="center"/>
          </w:tcPr>
          <w:p w14:paraId="2BE95C80" w14:textId="77777777" w:rsidR="00335084" w:rsidRDefault="00000000">
            <w:pPr>
              <w:jc w:val="center"/>
            </w:pPr>
            <w:r>
              <w:t>0.08</w:t>
            </w:r>
          </w:p>
        </w:tc>
        <w:tc>
          <w:tcPr>
            <w:tcW w:w="792" w:type="dxa"/>
            <w:vAlign w:val="center"/>
          </w:tcPr>
          <w:p w14:paraId="328E7756" w14:textId="77777777" w:rsidR="00335084" w:rsidRDefault="00000000">
            <w:pPr>
              <w:jc w:val="center"/>
            </w:pPr>
            <w:r>
              <w:t>0.1</w:t>
            </w:r>
          </w:p>
        </w:tc>
        <w:tc>
          <w:tcPr>
            <w:tcW w:w="793" w:type="dxa"/>
            <w:vAlign w:val="center"/>
          </w:tcPr>
          <w:p w14:paraId="1E84FA1B" w14:textId="77777777" w:rsidR="00335084" w:rsidRDefault="00000000">
            <w:pPr>
              <w:jc w:val="center"/>
            </w:pPr>
            <w:r>
              <w:t>1.5</w:t>
            </w:r>
          </w:p>
        </w:tc>
        <w:tc>
          <w:tcPr>
            <w:tcW w:w="854" w:type="dxa"/>
            <w:vAlign w:val="center"/>
          </w:tcPr>
          <w:p w14:paraId="6E7BABCE" w14:textId="77777777" w:rsidR="00335084" w:rsidRDefault="00000000">
            <w:pPr>
              <w:jc w:val="center"/>
            </w:pPr>
            <w:r>
              <w:t>0.4</w:t>
            </w:r>
          </w:p>
        </w:tc>
        <w:tc>
          <w:tcPr>
            <w:tcW w:w="803" w:type="dxa"/>
            <w:vAlign w:val="center"/>
          </w:tcPr>
          <w:p w14:paraId="197B016A" w14:textId="77777777" w:rsidR="00335084" w:rsidRDefault="00000000">
            <w:pPr>
              <w:jc w:val="center"/>
            </w:pPr>
            <w:r>
              <w:t>1.6</w:t>
            </w:r>
          </w:p>
        </w:tc>
        <w:tc>
          <w:tcPr>
            <w:tcW w:w="793" w:type="dxa"/>
            <w:vAlign w:val="center"/>
          </w:tcPr>
          <w:p w14:paraId="1EF1F17D" w14:textId="77777777" w:rsidR="00335084" w:rsidRDefault="00000000">
            <w:pPr>
              <w:jc w:val="center"/>
            </w:pPr>
            <w:r>
              <w:t>0.15</w:t>
            </w:r>
          </w:p>
        </w:tc>
        <w:tc>
          <w:tcPr>
            <w:tcW w:w="807" w:type="dxa"/>
            <w:vAlign w:val="center"/>
          </w:tcPr>
          <w:p w14:paraId="42CA01CE" w14:textId="77777777" w:rsidR="00335084" w:rsidRDefault="00000000">
            <w:pPr>
              <w:jc w:val="center"/>
            </w:pPr>
            <w:r>
              <w:t>0.5</w:t>
            </w:r>
          </w:p>
        </w:tc>
        <w:tc>
          <w:tcPr>
            <w:tcW w:w="811" w:type="dxa"/>
            <w:vAlign w:val="center"/>
          </w:tcPr>
          <w:p w14:paraId="5AB41AEB" w14:textId="77777777" w:rsidR="00335084" w:rsidRDefault="00000000">
            <w:pPr>
              <w:jc w:val="center"/>
            </w:pPr>
            <w:r>
              <w:t>0.4</w:t>
            </w:r>
          </w:p>
        </w:tc>
        <w:tc>
          <w:tcPr>
            <w:tcW w:w="825" w:type="dxa"/>
            <w:vAlign w:val="center"/>
          </w:tcPr>
          <w:p w14:paraId="4A799677" w14:textId="77777777" w:rsidR="00335084" w:rsidRDefault="00000000">
            <w:pPr>
              <w:jc w:val="center"/>
            </w:pPr>
            <w:r>
              <w:t>0.18</w:t>
            </w:r>
          </w:p>
        </w:tc>
        <w:tc>
          <w:tcPr>
            <w:tcW w:w="842" w:type="dxa"/>
            <w:vAlign w:val="center"/>
          </w:tcPr>
          <w:p w14:paraId="358E3F0E" w14:textId="77777777" w:rsidR="00335084" w:rsidRDefault="00000000">
            <w:pPr>
              <w:jc w:val="center"/>
            </w:pPr>
            <w:r>
              <w:t>2.8</w:t>
            </w:r>
          </w:p>
        </w:tc>
      </w:tr>
      <w:tr w:rsidR="00335084" w14:paraId="2DFD89A2" w14:textId="77777777">
        <w:trPr>
          <w:trHeight w:val="737"/>
          <w:jc w:val="center"/>
        </w:trPr>
        <w:tc>
          <w:tcPr>
            <w:tcW w:w="2145" w:type="dxa"/>
            <w:vAlign w:val="center"/>
          </w:tcPr>
          <w:p w14:paraId="362D7FC4" w14:textId="22B31BDA" w:rsidR="00335084" w:rsidRDefault="00000000">
            <w:pPr>
              <w:jc w:val="center"/>
            </w:pPr>
            <m:oMathPara>
              <m:oMath>
                <m:r>
                  <w:rPr>
                    <w:rFonts w:ascii="Cambria Math" w:eastAsia="Cambria Math" w:hAnsi="Cambria Math" w:cs="Cambria Math"/>
                  </w:rPr>
                  <m:t xml:space="preserve">-10 </m:t>
                </m:r>
                <m:box>
                  <m:boxPr>
                    <m:opEmu m:val="1"/>
                    <m:ctrlPr>
                      <w:rPr>
                        <w:rFonts w:ascii="Cambria Math" w:eastAsia="Cambria Math" w:hAnsi="Cambria Math" w:cs="Cambria Math"/>
                      </w:rPr>
                    </m:ctrlPr>
                  </m:boxPr>
                  <m:e>
                    <m:r>
                      <w:rPr>
                        <w:rFonts w:ascii="Cambria Math" w:eastAsia="Cambria Math" w:hAnsi="Cambria Math" w:cs="Cambria Math"/>
                      </w:rPr>
                      <m:t>log</m:t>
                    </m:r>
                  </m:e>
                </m:box>
                <m:r>
                  <w:rPr>
                    <w:rFonts w:ascii="Cambria Math" w:hAnsi="Cambria Math"/>
                  </w:rPr>
                  <m:t xml:space="preserve">σ </m:t>
                </m:r>
              </m:oMath>
            </m:oMathPara>
          </w:p>
        </w:tc>
        <w:tc>
          <w:tcPr>
            <w:tcW w:w="851" w:type="dxa"/>
            <w:vAlign w:val="center"/>
          </w:tcPr>
          <w:p w14:paraId="0A8B5D9F" w14:textId="77777777" w:rsidR="00335084" w:rsidRDefault="00000000">
            <w:pPr>
              <w:jc w:val="center"/>
            </w:pPr>
            <w:r>
              <w:t>10.98</w:t>
            </w:r>
          </w:p>
        </w:tc>
        <w:tc>
          <w:tcPr>
            <w:tcW w:w="792" w:type="dxa"/>
            <w:vAlign w:val="center"/>
          </w:tcPr>
          <w:p w14:paraId="1F9340F4" w14:textId="77777777" w:rsidR="00335084" w:rsidRDefault="00000000">
            <w:pPr>
              <w:jc w:val="center"/>
            </w:pPr>
            <w:r>
              <w:t>10</w:t>
            </w:r>
          </w:p>
        </w:tc>
        <w:tc>
          <w:tcPr>
            <w:tcW w:w="793" w:type="dxa"/>
            <w:vAlign w:val="center"/>
          </w:tcPr>
          <w:p w14:paraId="6F2FA036" w14:textId="77777777" w:rsidR="00335084" w:rsidRDefault="00000000">
            <w:pPr>
              <w:jc w:val="center"/>
            </w:pPr>
            <w:r>
              <w:t>-1.76</w:t>
            </w:r>
          </w:p>
        </w:tc>
        <w:tc>
          <w:tcPr>
            <w:tcW w:w="854" w:type="dxa"/>
            <w:vAlign w:val="center"/>
          </w:tcPr>
          <w:p w14:paraId="11223414" w14:textId="77777777" w:rsidR="00335084" w:rsidRDefault="00000000">
            <w:pPr>
              <w:jc w:val="center"/>
            </w:pPr>
            <w:r>
              <w:t>3.98</w:t>
            </w:r>
          </w:p>
        </w:tc>
        <w:tc>
          <w:tcPr>
            <w:tcW w:w="803" w:type="dxa"/>
            <w:vAlign w:val="center"/>
          </w:tcPr>
          <w:p w14:paraId="68348B80" w14:textId="77777777" w:rsidR="00335084" w:rsidRDefault="00000000">
            <w:pPr>
              <w:jc w:val="center"/>
            </w:pPr>
            <w:r>
              <w:t>-2.04</w:t>
            </w:r>
          </w:p>
        </w:tc>
        <w:tc>
          <w:tcPr>
            <w:tcW w:w="793" w:type="dxa"/>
            <w:vAlign w:val="center"/>
          </w:tcPr>
          <w:p w14:paraId="42D89C18" w14:textId="77777777" w:rsidR="00335084" w:rsidRDefault="00000000">
            <w:pPr>
              <w:jc w:val="center"/>
            </w:pPr>
            <w:r>
              <w:t>8.24</w:t>
            </w:r>
          </w:p>
        </w:tc>
        <w:tc>
          <w:tcPr>
            <w:tcW w:w="807" w:type="dxa"/>
            <w:vAlign w:val="center"/>
          </w:tcPr>
          <w:p w14:paraId="0AE92275" w14:textId="77777777" w:rsidR="00335084" w:rsidRDefault="00000000">
            <w:pPr>
              <w:jc w:val="center"/>
            </w:pPr>
            <w:r>
              <w:t>3.01</w:t>
            </w:r>
          </w:p>
        </w:tc>
        <w:tc>
          <w:tcPr>
            <w:tcW w:w="811" w:type="dxa"/>
            <w:vAlign w:val="center"/>
          </w:tcPr>
          <w:p w14:paraId="2CDB9EE6" w14:textId="77777777" w:rsidR="00335084" w:rsidRDefault="00000000">
            <w:pPr>
              <w:jc w:val="center"/>
            </w:pPr>
            <w:r>
              <w:t>3.98</w:t>
            </w:r>
          </w:p>
        </w:tc>
        <w:tc>
          <w:tcPr>
            <w:tcW w:w="825" w:type="dxa"/>
            <w:vAlign w:val="center"/>
          </w:tcPr>
          <w:p w14:paraId="006BA078" w14:textId="77777777" w:rsidR="00335084" w:rsidRDefault="00000000">
            <w:pPr>
              <w:jc w:val="center"/>
            </w:pPr>
            <w:r>
              <w:t>7.45</w:t>
            </w:r>
          </w:p>
        </w:tc>
        <w:tc>
          <w:tcPr>
            <w:tcW w:w="842" w:type="dxa"/>
            <w:vAlign w:val="center"/>
          </w:tcPr>
          <w:p w14:paraId="3BF7D6F0" w14:textId="77777777" w:rsidR="00335084" w:rsidRDefault="00000000">
            <w:pPr>
              <w:jc w:val="center"/>
            </w:pPr>
            <w:r>
              <w:t>-4.47</w:t>
            </w:r>
          </w:p>
        </w:tc>
      </w:tr>
      <w:tr w:rsidR="00335084" w14:paraId="3BFFB0BB" w14:textId="77777777">
        <w:trPr>
          <w:trHeight w:val="737"/>
          <w:jc w:val="center"/>
        </w:trPr>
        <w:tc>
          <w:tcPr>
            <w:tcW w:w="2145" w:type="dxa"/>
            <w:vAlign w:val="center"/>
          </w:tcPr>
          <w:p w14:paraId="7295E5FD" w14:textId="356EFF3E" w:rsidR="00335084" w:rsidRDefault="00000000">
            <w:pPr>
              <w:jc w:val="center"/>
            </w:pPr>
            <m:oMathPara>
              <m:oMath>
                <m:r>
                  <w:rPr>
                    <w:rFonts w:ascii="Cambria Math" w:eastAsia="Cambria Math" w:hAnsi="Cambria Math" w:cs="Cambria Math"/>
                    <w:sz w:val="20"/>
                    <w:szCs w:val="20"/>
                  </w:rPr>
                  <m:t>10</m:t>
                </m:r>
                <m:box>
                  <m:boxPr>
                    <m:opEmu m:val="1"/>
                    <m:ctrlPr>
                      <w:rPr>
                        <w:rFonts w:ascii="Cambria Math" w:eastAsia="Cambria Math" w:hAnsi="Cambria Math" w:cs="Cambria Math"/>
                        <w:sz w:val="20"/>
                        <w:szCs w:val="20"/>
                      </w:rPr>
                    </m:ctrlPr>
                  </m:boxPr>
                  <m:e>
                    <m:r>
                      <w:rPr>
                        <w:rFonts w:ascii="Cambria Math" w:eastAsia="Cambria Math" w:hAnsi="Cambria Math" w:cs="Cambria Math"/>
                        <w:sz w:val="20"/>
                        <w:szCs w:val="20"/>
                      </w:rPr>
                      <m:t>log</m:t>
                    </m:r>
                  </m:e>
                </m:box>
                <m:d>
                  <m:dPr>
                    <m:ctrlPr>
                      <w:rPr>
                        <w:rFonts w:ascii="Cambria Math" w:hAnsi="Cambria Math"/>
                      </w:rPr>
                    </m:ctrlPr>
                  </m:dPr>
                  <m:e>
                    <m:f>
                      <m:fPr>
                        <m:ctrlPr>
                          <w:rPr>
                            <w:rFonts w:ascii="Cambria Math" w:eastAsia="Cambria Math" w:hAnsi="Cambria Math" w:cs="Cambria Math"/>
                            <w:sz w:val="20"/>
                            <w:szCs w:val="20"/>
                          </w:rPr>
                        </m:ctrlPr>
                      </m:fPr>
                      <m:num>
                        <m:sSup>
                          <m:sSupPr>
                            <m:ctrlPr>
                              <w:rPr>
                                <w:rFonts w:ascii="Cambria Math" w:eastAsia="Cambria Math" w:hAnsi="Cambria Math" w:cs="Cambria Math"/>
                                <w:sz w:val="20"/>
                                <w:szCs w:val="20"/>
                              </w:rPr>
                            </m:ctrlPr>
                          </m:sSupPr>
                          <m:e>
                            <m:r>
                              <w:rPr>
                                <w:rFonts w:ascii="Cambria Math" w:eastAsia="Cambria Math" w:hAnsi="Cambria Math" w:cs="Cambria Math"/>
                                <w:sz w:val="20"/>
                                <w:szCs w:val="20"/>
                              </w:rPr>
                              <m:t>c</m:t>
                            </m:r>
                          </m:e>
                          <m:sup>
                            <m:r>
                              <w:rPr>
                                <w:rFonts w:ascii="Cambria Math" w:eastAsia="Cambria Math" w:hAnsi="Cambria Math" w:cs="Cambria Math"/>
                                <w:sz w:val="20"/>
                                <w:szCs w:val="20"/>
                              </w:rPr>
                              <m:t>2</m:t>
                            </m:r>
                          </m:sup>
                        </m:sSup>
                      </m:num>
                      <m:den>
                        <m:r>
                          <w:rPr>
                            <w:rFonts w:ascii="Cambria Math" w:eastAsia="Cambria Math" w:hAnsi="Cambria Math" w:cs="Cambria Math"/>
                            <w:sz w:val="20"/>
                            <w:szCs w:val="20"/>
                          </w:rPr>
                          <m:t>4π</m:t>
                        </m:r>
                        <m:sSubSup>
                          <m:sSubSupPr>
                            <m:ctrlPr>
                              <w:rPr>
                                <w:rFonts w:ascii="Cambria Math" w:eastAsia="Cambria Math" w:hAnsi="Cambria Math" w:cs="Cambria Math"/>
                                <w:sz w:val="20"/>
                                <w:szCs w:val="20"/>
                              </w:rPr>
                            </m:ctrlPr>
                          </m:sSubSupPr>
                          <m:e>
                            <m:r>
                              <w:rPr>
                                <w:rFonts w:ascii="Cambria Math" w:eastAsia="Cambria Math" w:hAnsi="Cambria Math" w:cs="Cambria Math"/>
                                <w:sz w:val="20"/>
                                <w:szCs w:val="20"/>
                              </w:rPr>
                              <m:t>f</m:t>
                            </m:r>
                          </m:e>
                          <m:sub>
                            <m:r>
                              <w:rPr>
                                <w:rFonts w:ascii="Cambria Math" w:eastAsia="Cambria Math" w:hAnsi="Cambria Math" w:cs="Cambria Math"/>
                                <w:sz w:val="20"/>
                                <w:szCs w:val="20"/>
                              </w:rPr>
                              <m:t>c</m:t>
                            </m:r>
                          </m:sub>
                          <m:sup>
                            <m:r>
                              <w:rPr>
                                <w:rFonts w:ascii="Cambria Math" w:eastAsia="Cambria Math" w:hAnsi="Cambria Math" w:cs="Cambria Math"/>
                                <w:sz w:val="20"/>
                                <w:szCs w:val="20"/>
                              </w:rPr>
                              <m:t>2</m:t>
                            </m:r>
                          </m:sup>
                        </m:sSubSup>
                      </m:den>
                    </m:f>
                  </m:e>
                </m:d>
                <m:r>
                  <w:rPr>
                    <w:rFonts w:ascii="Cambria Math" w:hAnsi="Cambria Math"/>
                  </w:rPr>
                  <m:t xml:space="preserve"> </m:t>
                </m:r>
              </m:oMath>
            </m:oMathPara>
          </w:p>
        </w:tc>
        <w:tc>
          <w:tcPr>
            <w:tcW w:w="851" w:type="dxa"/>
            <w:vAlign w:val="center"/>
          </w:tcPr>
          <w:p w14:paraId="7BA50874" w14:textId="77777777" w:rsidR="00335084" w:rsidRDefault="00000000">
            <w:pPr>
              <w:jc w:val="center"/>
            </w:pPr>
            <w:r>
              <w:t>-21.45</w:t>
            </w:r>
          </w:p>
        </w:tc>
        <w:tc>
          <w:tcPr>
            <w:tcW w:w="792" w:type="dxa"/>
            <w:vAlign w:val="center"/>
          </w:tcPr>
          <w:p w14:paraId="05423990" w14:textId="77777777" w:rsidR="00335084" w:rsidRDefault="00000000">
            <w:pPr>
              <w:jc w:val="center"/>
            </w:pPr>
            <w:r>
              <w:t>-27.47</w:t>
            </w:r>
          </w:p>
        </w:tc>
        <w:tc>
          <w:tcPr>
            <w:tcW w:w="793" w:type="dxa"/>
            <w:vAlign w:val="center"/>
          </w:tcPr>
          <w:p w14:paraId="58A700AF" w14:textId="77777777" w:rsidR="00335084" w:rsidRDefault="00000000">
            <w:pPr>
              <w:jc w:val="center"/>
            </w:pPr>
            <w:r>
              <w:t xml:space="preserve">-31 </w:t>
            </w:r>
          </w:p>
        </w:tc>
        <w:tc>
          <w:tcPr>
            <w:tcW w:w="854" w:type="dxa"/>
            <w:vAlign w:val="center"/>
          </w:tcPr>
          <w:p w14:paraId="19D21C55" w14:textId="77777777" w:rsidR="00335084" w:rsidRDefault="00000000">
            <w:pPr>
              <w:jc w:val="center"/>
            </w:pPr>
            <w:r>
              <w:t>-33.5</w:t>
            </w:r>
          </w:p>
        </w:tc>
        <w:tc>
          <w:tcPr>
            <w:tcW w:w="803" w:type="dxa"/>
            <w:vAlign w:val="center"/>
          </w:tcPr>
          <w:p w14:paraId="2C95ABCB" w14:textId="77777777" w:rsidR="00335084" w:rsidRDefault="00000000">
            <w:pPr>
              <w:jc w:val="center"/>
            </w:pPr>
            <w:r>
              <w:t>-35.43</w:t>
            </w:r>
          </w:p>
        </w:tc>
        <w:tc>
          <w:tcPr>
            <w:tcW w:w="793" w:type="dxa"/>
            <w:vAlign w:val="center"/>
          </w:tcPr>
          <w:p w14:paraId="04EC4618" w14:textId="77777777" w:rsidR="00335084" w:rsidRDefault="00000000">
            <w:pPr>
              <w:jc w:val="center"/>
            </w:pPr>
            <w:r>
              <w:t>-37.01</w:t>
            </w:r>
          </w:p>
        </w:tc>
        <w:tc>
          <w:tcPr>
            <w:tcW w:w="807" w:type="dxa"/>
            <w:vAlign w:val="center"/>
          </w:tcPr>
          <w:p w14:paraId="7749B4CC" w14:textId="77777777" w:rsidR="00335084" w:rsidRDefault="00000000">
            <w:pPr>
              <w:jc w:val="center"/>
            </w:pPr>
            <w:r>
              <w:t>-38.35</w:t>
            </w:r>
          </w:p>
        </w:tc>
        <w:tc>
          <w:tcPr>
            <w:tcW w:w="811" w:type="dxa"/>
            <w:vAlign w:val="center"/>
          </w:tcPr>
          <w:p w14:paraId="61A9EB25" w14:textId="77777777" w:rsidR="00335084" w:rsidRDefault="00000000">
            <w:pPr>
              <w:jc w:val="center"/>
            </w:pPr>
            <w:r>
              <w:t>-39.51</w:t>
            </w:r>
          </w:p>
        </w:tc>
        <w:tc>
          <w:tcPr>
            <w:tcW w:w="825" w:type="dxa"/>
            <w:vAlign w:val="center"/>
          </w:tcPr>
          <w:p w14:paraId="4EAEE027" w14:textId="77777777" w:rsidR="00335084" w:rsidRDefault="00000000">
            <w:pPr>
              <w:jc w:val="center"/>
            </w:pPr>
            <w:r>
              <w:t>-40.53</w:t>
            </w:r>
          </w:p>
        </w:tc>
        <w:tc>
          <w:tcPr>
            <w:tcW w:w="842" w:type="dxa"/>
            <w:vAlign w:val="center"/>
          </w:tcPr>
          <w:p w14:paraId="25DA1FB9" w14:textId="77777777" w:rsidR="00335084" w:rsidRDefault="00000000">
            <w:pPr>
              <w:jc w:val="center"/>
            </w:pPr>
            <w:r>
              <w:t>-41.45</w:t>
            </w:r>
          </w:p>
        </w:tc>
      </w:tr>
      <w:tr w:rsidR="00335084" w14:paraId="28B240CF" w14:textId="77777777">
        <w:trPr>
          <w:trHeight w:val="737"/>
          <w:jc w:val="center"/>
        </w:trPr>
        <w:tc>
          <w:tcPr>
            <w:tcW w:w="2145" w:type="dxa"/>
            <w:shd w:val="clear" w:color="auto" w:fill="E7E6E6"/>
            <w:vAlign w:val="center"/>
          </w:tcPr>
          <w:p w14:paraId="5B2BDC6F" w14:textId="77777777" w:rsidR="00335084" w:rsidRDefault="00000000">
            <w:pPr>
              <w:jc w:val="center"/>
              <w:rPr>
                <w:b/>
                <w:sz w:val="20"/>
                <w:szCs w:val="20"/>
              </w:rPr>
            </w:pPr>
            <w:r>
              <w:rPr>
                <w:b/>
                <w:sz w:val="20"/>
                <w:szCs w:val="20"/>
              </w:rPr>
              <w:t>Total Added Pathloss</w:t>
            </w:r>
          </w:p>
        </w:tc>
        <w:tc>
          <w:tcPr>
            <w:tcW w:w="851" w:type="dxa"/>
            <w:shd w:val="clear" w:color="auto" w:fill="E7E6E6"/>
            <w:vAlign w:val="center"/>
          </w:tcPr>
          <w:p w14:paraId="3CB47ABF" w14:textId="77777777" w:rsidR="00335084" w:rsidRDefault="00000000">
            <w:pPr>
              <w:jc w:val="center"/>
            </w:pPr>
            <w:r>
              <w:t>-10.47</w:t>
            </w:r>
          </w:p>
        </w:tc>
        <w:tc>
          <w:tcPr>
            <w:tcW w:w="792" w:type="dxa"/>
            <w:shd w:val="clear" w:color="auto" w:fill="E7E6E6"/>
            <w:vAlign w:val="center"/>
          </w:tcPr>
          <w:p w14:paraId="72D5C4DB" w14:textId="77777777" w:rsidR="00335084" w:rsidRDefault="00000000">
            <w:pPr>
              <w:jc w:val="center"/>
            </w:pPr>
            <w:r>
              <w:t>-17.47</w:t>
            </w:r>
          </w:p>
        </w:tc>
        <w:tc>
          <w:tcPr>
            <w:tcW w:w="793" w:type="dxa"/>
            <w:shd w:val="clear" w:color="auto" w:fill="E7E6E6"/>
            <w:vAlign w:val="center"/>
          </w:tcPr>
          <w:p w14:paraId="0DEDECBD" w14:textId="77777777" w:rsidR="00335084" w:rsidRDefault="00000000">
            <w:pPr>
              <w:jc w:val="center"/>
            </w:pPr>
            <w:r>
              <w:t>-32.75</w:t>
            </w:r>
          </w:p>
        </w:tc>
        <w:tc>
          <w:tcPr>
            <w:tcW w:w="854" w:type="dxa"/>
            <w:shd w:val="clear" w:color="auto" w:fill="E7E6E6"/>
            <w:vAlign w:val="center"/>
          </w:tcPr>
          <w:p w14:paraId="7B9FC6C7" w14:textId="77777777" w:rsidR="00335084" w:rsidRDefault="00000000">
            <w:pPr>
              <w:jc w:val="center"/>
            </w:pPr>
            <w:r>
              <w:t>-29.51</w:t>
            </w:r>
          </w:p>
        </w:tc>
        <w:tc>
          <w:tcPr>
            <w:tcW w:w="803" w:type="dxa"/>
            <w:shd w:val="clear" w:color="auto" w:fill="E7E6E6"/>
            <w:vAlign w:val="center"/>
          </w:tcPr>
          <w:p w14:paraId="3B99C25E" w14:textId="77777777" w:rsidR="00335084" w:rsidRDefault="00000000">
            <w:pPr>
              <w:jc w:val="center"/>
            </w:pPr>
            <w:r>
              <w:t>-37.47</w:t>
            </w:r>
          </w:p>
        </w:tc>
        <w:tc>
          <w:tcPr>
            <w:tcW w:w="793" w:type="dxa"/>
            <w:shd w:val="clear" w:color="auto" w:fill="E7E6E6"/>
            <w:vAlign w:val="center"/>
          </w:tcPr>
          <w:p w14:paraId="14C27694" w14:textId="77777777" w:rsidR="00335084" w:rsidRDefault="00000000">
            <w:pPr>
              <w:jc w:val="center"/>
            </w:pPr>
            <w:r>
              <w:t>-28.77</w:t>
            </w:r>
          </w:p>
        </w:tc>
        <w:tc>
          <w:tcPr>
            <w:tcW w:w="807" w:type="dxa"/>
            <w:shd w:val="clear" w:color="auto" w:fill="E7E6E6"/>
            <w:vAlign w:val="center"/>
          </w:tcPr>
          <w:p w14:paraId="034BCADC" w14:textId="77777777" w:rsidR="00335084" w:rsidRDefault="00000000">
            <w:pPr>
              <w:jc w:val="center"/>
            </w:pPr>
            <w:r>
              <w:t>-35.34</w:t>
            </w:r>
          </w:p>
        </w:tc>
        <w:tc>
          <w:tcPr>
            <w:tcW w:w="811" w:type="dxa"/>
            <w:shd w:val="clear" w:color="auto" w:fill="E7E6E6"/>
            <w:vAlign w:val="center"/>
          </w:tcPr>
          <w:p w14:paraId="0DB20B27" w14:textId="77777777" w:rsidR="00335084" w:rsidRDefault="00000000">
            <w:pPr>
              <w:jc w:val="center"/>
            </w:pPr>
            <w:r>
              <w:t>-35.53</w:t>
            </w:r>
          </w:p>
        </w:tc>
        <w:tc>
          <w:tcPr>
            <w:tcW w:w="825" w:type="dxa"/>
            <w:shd w:val="clear" w:color="auto" w:fill="E7E6E6"/>
            <w:vAlign w:val="center"/>
          </w:tcPr>
          <w:p w14:paraId="0262979D" w14:textId="77777777" w:rsidR="00335084" w:rsidRDefault="00000000">
            <w:pPr>
              <w:jc w:val="center"/>
            </w:pPr>
            <w:r>
              <w:t>-33.08</w:t>
            </w:r>
          </w:p>
        </w:tc>
        <w:tc>
          <w:tcPr>
            <w:tcW w:w="842" w:type="dxa"/>
            <w:shd w:val="clear" w:color="auto" w:fill="E7E6E6"/>
            <w:vAlign w:val="center"/>
          </w:tcPr>
          <w:p w14:paraId="1B5F0E3F" w14:textId="77777777" w:rsidR="00335084" w:rsidRDefault="00000000">
            <w:pPr>
              <w:jc w:val="center"/>
            </w:pPr>
            <w:r>
              <w:t>-45.92</w:t>
            </w:r>
          </w:p>
        </w:tc>
      </w:tr>
    </w:tbl>
    <w:p w14:paraId="596D1F56" w14:textId="77777777" w:rsidR="00335084" w:rsidRDefault="00335084"/>
    <w:p w14:paraId="4A5813C9" w14:textId="54B96FB7" w:rsidR="00335084" w:rsidRDefault="00000000" w:rsidP="00CC13EF">
      <w:pPr>
        <w:jc w:val="both"/>
      </w:pPr>
      <w:r>
        <w:t xml:space="preserve">It is necessary to note that most of the sensing use-cases detailed in </w:t>
      </w:r>
      <w:sdt>
        <w:sdtPr>
          <w:id w:val="-84084021"/>
          <w:citation/>
        </w:sdtPr>
        <w:sdtContent>
          <w:r w:rsidR="001E4FC7">
            <w:fldChar w:fldCharType="begin"/>
          </w:r>
          <w:r w:rsidR="001E4FC7">
            <w:instrText xml:space="preserve"> CITATION 3GP232 \l 1033 </w:instrText>
          </w:r>
          <w:r w:rsidR="001E4FC7">
            <w:fldChar w:fldCharType="separate"/>
          </w:r>
          <w:r w:rsidR="001E4FC7" w:rsidRPr="001E4FC7">
            <w:rPr>
              <w:noProof/>
            </w:rPr>
            <w:t>[1]</w:t>
          </w:r>
          <w:r w:rsidR="001E4FC7">
            <w:fldChar w:fldCharType="end"/>
          </w:r>
        </w:sdtContent>
      </w:sdt>
      <w:r>
        <w:t xml:space="preserve"> involve mobile objects. This necessitates considering channel models that include not only the mobility of the transmitter and receiver but also the mobility parameters of the mobile objects. This can be obtained through adding doppler effect due to the mobile object through Equations (7.5.25) and (7.5.22) in</w:t>
      </w:r>
      <w:r w:rsidR="001E4FC7">
        <w:t xml:space="preserve"> </w:t>
      </w:r>
      <w:sdt>
        <w:sdtPr>
          <w:id w:val="66928586"/>
          <w:citation/>
        </w:sdtPr>
        <w:sdtContent>
          <w:r w:rsidR="001E4FC7">
            <w:fldChar w:fldCharType="begin"/>
          </w:r>
          <w:r w:rsidR="001E4FC7">
            <w:instrText xml:space="preserve">CITATION 3GP201 \l 1033 </w:instrText>
          </w:r>
          <w:r w:rsidR="001E4FC7">
            <w:fldChar w:fldCharType="separate"/>
          </w:r>
          <w:r w:rsidR="001E4FC7" w:rsidRPr="001E4FC7">
            <w:rPr>
              <w:noProof/>
            </w:rPr>
            <w:t>[3]</w:t>
          </w:r>
          <w:r w:rsidR="001E4FC7">
            <w:fldChar w:fldCharType="end"/>
          </w:r>
        </w:sdtContent>
      </w:sdt>
      <w:r>
        <w:t>.</w:t>
      </w:r>
    </w:p>
    <w:p w14:paraId="2FFBF54A" w14:textId="77777777" w:rsidR="00335084" w:rsidRDefault="00335084"/>
    <w:p w14:paraId="6FFDE79B" w14:textId="77777777" w:rsidR="00335084" w:rsidRDefault="00000000">
      <w:r>
        <w:rPr>
          <w:b/>
        </w:rPr>
        <w:t>Observation 3:</w:t>
      </w:r>
      <w:r>
        <w:t xml:space="preserve"> ISAC use-cases mostly involve tracking mobile sensing objects. </w:t>
      </w:r>
    </w:p>
    <w:p w14:paraId="7AAB0956" w14:textId="77777777" w:rsidR="00335084" w:rsidRDefault="00000000" w:rsidP="00CC13EF">
      <w:pPr>
        <w:jc w:val="both"/>
      </w:pPr>
      <w:r>
        <w:rPr>
          <w:b/>
        </w:rPr>
        <w:t>Proposal 3:</w:t>
      </w:r>
      <w:r>
        <w:t xml:space="preserve"> The channel model should consider Doppler effect from the object mobility parameters. </w:t>
      </w:r>
    </w:p>
    <w:p w14:paraId="0E9214F7" w14:textId="77777777" w:rsidR="00335084" w:rsidRDefault="00000000">
      <w:r>
        <w:br w:type="page"/>
      </w:r>
    </w:p>
    <w:p w14:paraId="153B10CA" w14:textId="77777777" w:rsidR="00335084" w:rsidRDefault="00000000">
      <w:pPr>
        <w:keepNext/>
      </w:pPr>
      <w:r>
        <w:rPr>
          <w:noProof/>
        </w:rPr>
        <w:lastRenderedPageBreak/>
        <w:drawing>
          <wp:inline distT="0" distB="0" distL="0" distR="0" wp14:anchorId="133DCABD" wp14:editId="44976C42">
            <wp:extent cx="5943600" cy="5706745"/>
            <wp:effectExtent l="0" t="0" r="0" b="0"/>
            <wp:docPr id="4" name="image2.png" descr="A diagram of a network"/>
            <wp:cNvGraphicFramePr/>
            <a:graphic xmlns:a="http://schemas.openxmlformats.org/drawingml/2006/main">
              <a:graphicData uri="http://schemas.openxmlformats.org/drawingml/2006/picture">
                <pic:pic xmlns:pic="http://schemas.openxmlformats.org/drawingml/2006/picture">
                  <pic:nvPicPr>
                    <pic:cNvPr id="0" name="image2.png" descr="A diagram of a network"/>
                    <pic:cNvPicPr preferRelativeResize="0"/>
                  </pic:nvPicPr>
                  <pic:blipFill>
                    <a:blip r:embed="rId10"/>
                    <a:srcRect/>
                    <a:stretch>
                      <a:fillRect/>
                    </a:stretch>
                  </pic:blipFill>
                  <pic:spPr>
                    <a:xfrm>
                      <a:off x="0" y="0"/>
                      <a:ext cx="5943600" cy="5706745"/>
                    </a:xfrm>
                    <a:prstGeom prst="rect">
                      <a:avLst/>
                    </a:prstGeom>
                    <a:ln/>
                  </pic:spPr>
                </pic:pic>
              </a:graphicData>
            </a:graphic>
          </wp:inline>
        </w:drawing>
      </w:r>
    </w:p>
    <w:p w14:paraId="15FFCCAF" w14:textId="77777777" w:rsidR="00335084" w:rsidRDefault="00000000">
      <w:pPr>
        <w:pBdr>
          <w:top w:val="nil"/>
          <w:left w:val="nil"/>
          <w:bottom w:val="nil"/>
          <w:right w:val="nil"/>
          <w:between w:val="nil"/>
        </w:pBdr>
        <w:spacing w:after="200" w:line="240" w:lineRule="auto"/>
        <w:jc w:val="center"/>
        <w:rPr>
          <w:color w:val="000000"/>
          <w:sz w:val="20"/>
          <w:szCs w:val="20"/>
        </w:rPr>
      </w:pPr>
      <w:bookmarkStart w:id="7" w:name="_heading=h.3znysh7" w:colFirst="0" w:colLast="0"/>
      <w:bookmarkEnd w:id="7"/>
      <w:r>
        <w:rPr>
          <w:color w:val="000000"/>
          <w:sz w:val="20"/>
          <w:szCs w:val="20"/>
        </w:rPr>
        <w:t>Figure 3: Fast fading channel model generation for communication and sensing.</w:t>
      </w:r>
    </w:p>
    <w:p w14:paraId="527C6DF0" w14:textId="0A92780B" w:rsidR="00DB2040" w:rsidRDefault="00153D39" w:rsidP="00153D39">
      <w:r>
        <w:br w:type="page"/>
      </w:r>
    </w:p>
    <w:p w14:paraId="115C0B00" w14:textId="7BFC2D15" w:rsidR="00335084" w:rsidRPr="00DB2040" w:rsidRDefault="00DB2040" w:rsidP="00DB2040">
      <w:pPr>
        <w:rPr>
          <w:b/>
          <w:bCs/>
        </w:rPr>
      </w:pPr>
      <w:r w:rsidRPr="00DB2040">
        <w:rPr>
          <w:b/>
          <w:bCs/>
        </w:rPr>
        <w:lastRenderedPageBreak/>
        <w:t>Conclusion:</w:t>
      </w:r>
    </w:p>
    <w:p w14:paraId="47BEAEA5" w14:textId="50DB7CA3" w:rsidR="00DB2040" w:rsidRDefault="00DB2040">
      <w:r>
        <w:t xml:space="preserve">In this proposal we made the following observations and proposed approaches to address these observations accordingly. </w:t>
      </w:r>
    </w:p>
    <w:p w14:paraId="601E766E" w14:textId="77777777" w:rsidR="00DB2040" w:rsidRPr="00CC13EF" w:rsidRDefault="00DB2040" w:rsidP="00DB2040">
      <w:pPr>
        <w:spacing w:after="0"/>
        <w:jc w:val="both"/>
      </w:pPr>
      <w:r w:rsidRPr="00CC13EF">
        <w:rPr>
          <w:b/>
        </w:rPr>
        <w:t>Observation 1:</w:t>
      </w:r>
      <w:r w:rsidRPr="00CC13EF">
        <w:t xml:space="preserve"> Communication channel model in TR38.901 lacks specific characteristics for sensing channel model.</w:t>
      </w:r>
    </w:p>
    <w:p w14:paraId="0BB249C2" w14:textId="77777777" w:rsidR="00DB2040" w:rsidRDefault="00DB2040" w:rsidP="00DB2040">
      <w:pPr>
        <w:spacing w:after="0"/>
        <w:jc w:val="both"/>
      </w:pPr>
      <w:r w:rsidRPr="00CC13EF">
        <w:rPr>
          <w:b/>
        </w:rPr>
        <w:t>Proposal 1:</w:t>
      </w:r>
      <w:r w:rsidRPr="00CC13EF">
        <w:t xml:space="preserve"> The channel model in TR38.901 needs to be modified </w:t>
      </w:r>
      <w:proofErr w:type="gramStart"/>
      <w:r w:rsidRPr="00CC13EF">
        <w:t>in order to</w:t>
      </w:r>
      <w:proofErr w:type="gramEnd"/>
      <w:r w:rsidRPr="00CC13EF">
        <w:t xml:space="preserve"> be used in sensing-related simulations. </w:t>
      </w:r>
    </w:p>
    <w:p w14:paraId="630B2A7B" w14:textId="77777777" w:rsidR="00DB2040" w:rsidRDefault="00DB2040" w:rsidP="00DB2040">
      <w:pPr>
        <w:spacing w:after="0"/>
        <w:jc w:val="both"/>
      </w:pPr>
    </w:p>
    <w:p w14:paraId="2EC3E940" w14:textId="77777777" w:rsidR="00DB2040" w:rsidRDefault="00DB2040" w:rsidP="00DB2040">
      <w:pPr>
        <w:jc w:val="both"/>
      </w:pPr>
      <w:r>
        <w:rPr>
          <w:b/>
        </w:rPr>
        <w:t>Observation 2:</w:t>
      </w:r>
      <w:r>
        <w:t xml:space="preserve"> The RCS of objects is a non-constant value for each object.</w:t>
      </w:r>
    </w:p>
    <w:p w14:paraId="2CD7FE6A" w14:textId="77777777" w:rsidR="00DB2040" w:rsidRDefault="00DB2040" w:rsidP="00DB2040">
      <w:pPr>
        <w:jc w:val="both"/>
      </w:pPr>
      <w:r>
        <w:rPr>
          <w:b/>
        </w:rPr>
        <w:t>Proposal 2:</w:t>
      </w:r>
      <w:r>
        <w:t xml:space="preserve"> A distribution model of RCS in space should be considered in channel modeling. </w:t>
      </w:r>
    </w:p>
    <w:p w14:paraId="0DDE9341" w14:textId="77777777" w:rsidR="00DB2040" w:rsidRPr="00CC13EF" w:rsidRDefault="00DB2040" w:rsidP="00DB2040">
      <w:pPr>
        <w:spacing w:after="0"/>
        <w:jc w:val="both"/>
      </w:pPr>
    </w:p>
    <w:p w14:paraId="7C4F1FC0" w14:textId="77777777" w:rsidR="00DB2040" w:rsidRDefault="00DB2040" w:rsidP="00DB2040">
      <w:r>
        <w:rPr>
          <w:b/>
        </w:rPr>
        <w:t>Observation 3:</w:t>
      </w:r>
      <w:r>
        <w:t xml:space="preserve"> ISAC use-cases mostly involve tracking mobile sensing objects. </w:t>
      </w:r>
    </w:p>
    <w:p w14:paraId="0281FFF7" w14:textId="77777777" w:rsidR="00DB2040" w:rsidRDefault="00DB2040" w:rsidP="00DB2040">
      <w:pPr>
        <w:jc w:val="both"/>
      </w:pPr>
      <w:r>
        <w:rPr>
          <w:b/>
        </w:rPr>
        <w:t>Proposal 3:</w:t>
      </w:r>
      <w:r>
        <w:t xml:space="preserve"> The channel model should consider Doppler effect from the object mobility parameters. </w:t>
      </w:r>
    </w:p>
    <w:p w14:paraId="7666DE97" w14:textId="77777777" w:rsidR="00DB2040" w:rsidRDefault="00DB2040"/>
    <w:sdt>
      <w:sdtPr>
        <w:rPr>
          <w:b/>
          <w:bCs/>
          <w:color w:val="auto"/>
          <w:sz w:val="22"/>
          <w:szCs w:val="22"/>
        </w:rPr>
        <w:id w:val="-865828472"/>
        <w:docPartObj>
          <w:docPartGallery w:val="Bibliographies"/>
          <w:docPartUnique/>
        </w:docPartObj>
      </w:sdtPr>
      <w:sdtEndPr>
        <w:rPr>
          <w:b w:val="0"/>
          <w:bCs w:val="0"/>
        </w:rPr>
      </w:sdtEndPr>
      <w:sdtContent>
        <w:p w14:paraId="4F37BB4C" w14:textId="45B5B021" w:rsidR="001E4FC7" w:rsidRPr="00153D39" w:rsidRDefault="001E4FC7">
          <w:pPr>
            <w:pStyle w:val="Heading1"/>
            <w:rPr>
              <w:b/>
              <w:bCs/>
              <w:color w:val="auto"/>
            </w:rPr>
          </w:pPr>
          <w:r w:rsidRPr="00153D39">
            <w:rPr>
              <w:b/>
              <w:bCs/>
              <w:color w:val="auto"/>
            </w:rPr>
            <w:t>References</w:t>
          </w:r>
        </w:p>
        <w:sdt>
          <w:sdtPr>
            <w:id w:val="-573587230"/>
            <w:bibliography/>
          </w:sdtPr>
          <w:sdtContent>
            <w:p w14:paraId="17922841" w14:textId="77777777" w:rsidR="001E4FC7" w:rsidRDefault="001E4FC7" w:rsidP="001E4FC7">
              <w:pPr>
                <w:rPr>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1E4FC7" w14:paraId="7F4FA1A3" w14:textId="77777777">
                <w:trPr>
                  <w:divId w:val="1043602366"/>
                  <w:tblCellSpacing w:w="15" w:type="dxa"/>
                </w:trPr>
                <w:tc>
                  <w:tcPr>
                    <w:tcW w:w="50" w:type="pct"/>
                    <w:hideMark/>
                  </w:tcPr>
                  <w:p w14:paraId="658EDF18" w14:textId="04038F03" w:rsidR="001E4FC7" w:rsidRDefault="001E4FC7">
                    <w:pPr>
                      <w:pStyle w:val="Bibliography"/>
                      <w:rPr>
                        <w:noProof/>
                        <w:sz w:val="24"/>
                        <w:szCs w:val="24"/>
                      </w:rPr>
                    </w:pPr>
                    <w:r>
                      <w:rPr>
                        <w:noProof/>
                      </w:rPr>
                      <w:t xml:space="preserve">[1] </w:t>
                    </w:r>
                  </w:p>
                </w:tc>
                <w:tc>
                  <w:tcPr>
                    <w:tcW w:w="0" w:type="auto"/>
                    <w:hideMark/>
                  </w:tcPr>
                  <w:p w14:paraId="35119A0D" w14:textId="77777777" w:rsidR="001E4FC7" w:rsidRDefault="001E4FC7">
                    <w:pPr>
                      <w:pStyle w:val="Bibliography"/>
                      <w:rPr>
                        <w:noProof/>
                      </w:rPr>
                    </w:pPr>
                    <w:r>
                      <w:rPr>
                        <w:noProof/>
                      </w:rPr>
                      <w:t>"3GPP TR. 22.837 Technical Specification Group TSG SA; Feasibility Study on Integrated Sensing and Communication (Release 19)," 2023.</w:t>
                    </w:r>
                  </w:p>
                </w:tc>
              </w:tr>
              <w:tr w:rsidR="001E4FC7" w14:paraId="773B8624" w14:textId="77777777">
                <w:trPr>
                  <w:divId w:val="1043602366"/>
                  <w:tblCellSpacing w:w="15" w:type="dxa"/>
                </w:trPr>
                <w:tc>
                  <w:tcPr>
                    <w:tcW w:w="50" w:type="pct"/>
                    <w:hideMark/>
                  </w:tcPr>
                  <w:p w14:paraId="2CF8DDE8" w14:textId="77777777" w:rsidR="001E4FC7" w:rsidRDefault="001E4FC7">
                    <w:pPr>
                      <w:pStyle w:val="Bibliography"/>
                      <w:rPr>
                        <w:noProof/>
                      </w:rPr>
                    </w:pPr>
                    <w:r>
                      <w:rPr>
                        <w:noProof/>
                      </w:rPr>
                      <w:t xml:space="preserve">[2] </w:t>
                    </w:r>
                  </w:p>
                </w:tc>
                <w:tc>
                  <w:tcPr>
                    <w:tcW w:w="0" w:type="auto"/>
                    <w:hideMark/>
                  </w:tcPr>
                  <w:p w14:paraId="6265D223" w14:textId="77777777" w:rsidR="001E4FC7" w:rsidRDefault="001E4FC7">
                    <w:pPr>
                      <w:pStyle w:val="Bibliography"/>
                      <w:rPr>
                        <w:noProof/>
                      </w:rPr>
                    </w:pPr>
                    <w:r>
                      <w:rPr>
                        <w:noProof/>
                      </w:rPr>
                      <w:t>"3GPP TS. 22.137 Service Requirements for ISAC," Dec 2023.</w:t>
                    </w:r>
                  </w:p>
                </w:tc>
              </w:tr>
              <w:tr w:rsidR="001E4FC7" w14:paraId="10FAC890" w14:textId="77777777">
                <w:trPr>
                  <w:divId w:val="1043602366"/>
                  <w:tblCellSpacing w:w="15" w:type="dxa"/>
                </w:trPr>
                <w:tc>
                  <w:tcPr>
                    <w:tcW w:w="50" w:type="pct"/>
                    <w:hideMark/>
                  </w:tcPr>
                  <w:p w14:paraId="419615D4" w14:textId="77777777" w:rsidR="001E4FC7" w:rsidRDefault="001E4FC7">
                    <w:pPr>
                      <w:pStyle w:val="Bibliography"/>
                      <w:rPr>
                        <w:noProof/>
                      </w:rPr>
                    </w:pPr>
                    <w:r>
                      <w:rPr>
                        <w:noProof/>
                      </w:rPr>
                      <w:t xml:space="preserve">[3] </w:t>
                    </w:r>
                  </w:p>
                </w:tc>
                <w:tc>
                  <w:tcPr>
                    <w:tcW w:w="0" w:type="auto"/>
                    <w:hideMark/>
                  </w:tcPr>
                  <w:p w14:paraId="35D03E82" w14:textId="77777777" w:rsidR="001E4FC7" w:rsidRDefault="001E4FC7">
                    <w:pPr>
                      <w:pStyle w:val="Bibliography"/>
                      <w:rPr>
                        <w:noProof/>
                      </w:rPr>
                    </w:pPr>
                    <w:r>
                      <w:rPr>
                        <w:noProof/>
                      </w:rPr>
                      <w:t>"3GPP TR. 38.901, Study on channel model for frequencies from 0.5 to 100 GHz, V16.1.0," March. 2022.</w:t>
                    </w:r>
                  </w:p>
                </w:tc>
              </w:tr>
              <w:tr w:rsidR="001E4FC7" w14:paraId="529A68FF" w14:textId="77777777">
                <w:trPr>
                  <w:divId w:val="1043602366"/>
                  <w:tblCellSpacing w:w="15" w:type="dxa"/>
                </w:trPr>
                <w:tc>
                  <w:tcPr>
                    <w:tcW w:w="50" w:type="pct"/>
                    <w:hideMark/>
                  </w:tcPr>
                  <w:p w14:paraId="7FECECCA" w14:textId="77777777" w:rsidR="001E4FC7" w:rsidRDefault="001E4FC7">
                    <w:pPr>
                      <w:pStyle w:val="Bibliography"/>
                      <w:rPr>
                        <w:noProof/>
                      </w:rPr>
                    </w:pPr>
                    <w:r>
                      <w:rPr>
                        <w:noProof/>
                      </w:rPr>
                      <w:t xml:space="preserve">[4] </w:t>
                    </w:r>
                  </w:p>
                </w:tc>
                <w:tc>
                  <w:tcPr>
                    <w:tcW w:w="0" w:type="auto"/>
                    <w:hideMark/>
                  </w:tcPr>
                  <w:p w14:paraId="3F44EF3A" w14:textId="77777777" w:rsidR="001E4FC7" w:rsidRDefault="001E4FC7">
                    <w:pPr>
                      <w:pStyle w:val="Bibliography"/>
                      <w:rPr>
                        <w:noProof/>
                      </w:rPr>
                    </w:pPr>
                    <w:r>
                      <w:rPr>
                        <w:noProof/>
                      </w:rPr>
                      <w:t xml:space="preserve">Z. Z, "A General Channel Model for Integrated Sensing and Communication Scenarios," </w:t>
                    </w:r>
                    <w:r>
                      <w:rPr>
                        <w:i/>
                        <w:iCs/>
                        <w:noProof/>
                      </w:rPr>
                      <w:t xml:space="preserve">IEEE Communications Magazine, </w:t>
                    </w:r>
                    <w:r>
                      <w:rPr>
                        <w:noProof/>
                      </w:rPr>
                      <w:t xml:space="preserve">vol. 61, no. 5, pp. 68-74, May 2023. </w:t>
                    </w:r>
                  </w:p>
                </w:tc>
              </w:tr>
              <w:tr w:rsidR="001E4FC7" w14:paraId="47B87729" w14:textId="77777777">
                <w:trPr>
                  <w:divId w:val="1043602366"/>
                  <w:tblCellSpacing w:w="15" w:type="dxa"/>
                </w:trPr>
                <w:tc>
                  <w:tcPr>
                    <w:tcW w:w="50" w:type="pct"/>
                    <w:hideMark/>
                  </w:tcPr>
                  <w:p w14:paraId="08BAF22E" w14:textId="77777777" w:rsidR="001E4FC7" w:rsidRDefault="001E4FC7">
                    <w:pPr>
                      <w:pStyle w:val="Bibliography"/>
                      <w:rPr>
                        <w:noProof/>
                      </w:rPr>
                    </w:pPr>
                    <w:r>
                      <w:rPr>
                        <w:noProof/>
                      </w:rPr>
                      <w:t xml:space="preserve">[5] </w:t>
                    </w:r>
                  </w:p>
                </w:tc>
                <w:tc>
                  <w:tcPr>
                    <w:tcW w:w="0" w:type="auto"/>
                    <w:hideMark/>
                  </w:tcPr>
                  <w:p w14:paraId="06E985A3" w14:textId="77777777" w:rsidR="001E4FC7" w:rsidRDefault="001E4FC7">
                    <w:pPr>
                      <w:pStyle w:val="Bibliography"/>
                      <w:rPr>
                        <w:noProof/>
                      </w:rPr>
                    </w:pPr>
                    <w:r>
                      <w:rPr>
                        <w:noProof/>
                      </w:rPr>
                      <w:t xml:space="preserve">J. Lou, "A Unified Channel Model for Both Communication and Sensing in Integrated Sensing and Communication Systems," in </w:t>
                    </w:r>
                    <w:r>
                      <w:rPr>
                        <w:i/>
                        <w:iCs/>
                        <w:noProof/>
                      </w:rPr>
                      <w:t>IEEE 98th Vehicular Technology Conference (VTC2023-Fall)</w:t>
                    </w:r>
                    <w:r>
                      <w:rPr>
                        <w:noProof/>
                      </w:rPr>
                      <w:t xml:space="preserve">, Hong Kong, Hong Kong, 2023. </w:t>
                    </w:r>
                  </w:p>
                </w:tc>
              </w:tr>
              <w:tr w:rsidR="001E4FC7" w14:paraId="473F9ADC" w14:textId="77777777">
                <w:trPr>
                  <w:divId w:val="1043602366"/>
                  <w:tblCellSpacing w:w="15" w:type="dxa"/>
                </w:trPr>
                <w:tc>
                  <w:tcPr>
                    <w:tcW w:w="50" w:type="pct"/>
                    <w:hideMark/>
                  </w:tcPr>
                  <w:p w14:paraId="0AC03B89" w14:textId="77777777" w:rsidR="001E4FC7" w:rsidRDefault="001E4FC7">
                    <w:pPr>
                      <w:pStyle w:val="Bibliography"/>
                      <w:rPr>
                        <w:noProof/>
                      </w:rPr>
                    </w:pPr>
                    <w:r>
                      <w:rPr>
                        <w:noProof/>
                      </w:rPr>
                      <w:t xml:space="preserve">[6] </w:t>
                    </w:r>
                  </w:p>
                </w:tc>
                <w:tc>
                  <w:tcPr>
                    <w:tcW w:w="0" w:type="auto"/>
                    <w:hideMark/>
                  </w:tcPr>
                  <w:p w14:paraId="0BB8AFDE" w14:textId="77777777" w:rsidR="001E4FC7" w:rsidRDefault="001E4FC7">
                    <w:pPr>
                      <w:pStyle w:val="Bibliography"/>
                      <w:rPr>
                        <w:noProof/>
                      </w:rPr>
                    </w:pPr>
                    <w:r>
                      <w:rPr>
                        <w:noProof/>
                      </w:rPr>
                      <w:t xml:space="preserve">M. Yasugi, "79GHz-band radar cross section measurement for pedestrian detection," in </w:t>
                    </w:r>
                    <w:r>
                      <w:rPr>
                        <w:i/>
                        <w:iCs/>
                        <w:noProof/>
                      </w:rPr>
                      <w:t>Asia-Pacific Microwave Conference Proceedings (APMC)</w:t>
                    </w:r>
                    <w:r>
                      <w:rPr>
                        <w:noProof/>
                      </w:rPr>
                      <w:t xml:space="preserve">, Seoul, Korea (South), 2013. </w:t>
                    </w:r>
                  </w:p>
                </w:tc>
              </w:tr>
              <w:tr w:rsidR="001E4FC7" w14:paraId="3F15BDE2" w14:textId="77777777">
                <w:trPr>
                  <w:divId w:val="1043602366"/>
                  <w:tblCellSpacing w:w="15" w:type="dxa"/>
                </w:trPr>
                <w:tc>
                  <w:tcPr>
                    <w:tcW w:w="50" w:type="pct"/>
                    <w:hideMark/>
                  </w:tcPr>
                  <w:p w14:paraId="6E24C123" w14:textId="77777777" w:rsidR="001E4FC7" w:rsidRDefault="001E4FC7">
                    <w:pPr>
                      <w:pStyle w:val="Bibliography"/>
                      <w:rPr>
                        <w:noProof/>
                      </w:rPr>
                    </w:pPr>
                    <w:r>
                      <w:rPr>
                        <w:noProof/>
                      </w:rPr>
                      <w:t xml:space="preserve">[7] </w:t>
                    </w:r>
                  </w:p>
                </w:tc>
                <w:tc>
                  <w:tcPr>
                    <w:tcW w:w="0" w:type="auto"/>
                    <w:hideMark/>
                  </w:tcPr>
                  <w:p w14:paraId="1312460B" w14:textId="77777777" w:rsidR="001E4FC7" w:rsidRDefault="001E4FC7">
                    <w:pPr>
                      <w:pStyle w:val="Bibliography"/>
                      <w:rPr>
                        <w:noProof/>
                      </w:rPr>
                    </w:pPr>
                    <w:r>
                      <w:rPr>
                        <w:noProof/>
                      </w:rPr>
                      <w:t xml:space="preserve">E. Piuzzi, "Radar cross section measurements of the human body for UWB radar applications," in </w:t>
                    </w:r>
                    <w:r>
                      <w:rPr>
                        <w:i/>
                        <w:iCs/>
                        <w:noProof/>
                      </w:rPr>
                      <w:t>IEEE International Instrumentation and Measurement Technology Conference Proceedings</w:t>
                    </w:r>
                    <w:r>
                      <w:rPr>
                        <w:noProof/>
                      </w:rPr>
                      <w:t xml:space="preserve">, Graz, Austria,, 2012. </w:t>
                    </w:r>
                  </w:p>
                </w:tc>
              </w:tr>
            </w:tbl>
            <w:p w14:paraId="40224F2F" w14:textId="77777777" w:rsidR="001E4FC7" w:rsidRDefault="001E4FC7">
              <w:pPr>
                <w:divId w:val="1043602366"/>
                <w:rPr>
                  <w:rFonts w:eastAsia="Times New Roman"/>
                  <w:noProof/>
                </w:rPr>
              </w:pPr>
            </w:p>
            <w:p w14:paraId="28192F5F" w14:textId="27A024EF" w:rsidR="001E4FC7" w:rsidRDefault="001E4FC7" w:rsidP="001E4FC7">
              <w:r>
                <w:rPr>
                  <w:b/>
                  <w:bCs/>
                  <w:noProof/>
                </w:rPr>
                <w:fldChar w:fldCharType="end"/>
              </w:r>
            </w:p>
          </w:sdtContent>
        </w:sdt>
      </w:sdtContent>
    </w:sdt>
    <w:sectPr w:rsidR="001E4FC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C0490C"/>
    <w:multiLevelType w:val="multilevel"/>
    <w:tmpl w:val="21BA43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42E08A0"/>
    <w:multiLevelType w:val="multilevel"/>
    <w:tmpl w:val="2A8A7D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09635173">
    <w:abstractNumId w:val="0"/>
  </w:num>
  <w:num w:numId="2" w16cid:durableId="2960304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084"/>
    <w:rsid w:val="000E755A"/>
    <w:rsid w:val="00153D39"/>
    <w:rsid w:val="001701FF"/>
    <w:rsid w:val="001E4FC7"/>
    <w:rsid w:val="00225312"/>
    <w:rsid w:val="00335084"/>
    <w:rsid w:val="00595E1C"/>
    <w:rsid w:val="00A71627"/>
    <w:rsid w:val="00B000EB"/>
    <w:rsid w:val="00CC13EF"/>
    <w:rsid w:val="00DB2040"/>
    <w:rsid w:val="00DD23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E5DF"/>
  <w15:docId w15:val="{22571A85-3039-43AD-A90E-DC59E64CE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top w:w="15" w:type="dxa"/>
        <w:left w:w="15" w:type="dxa"/>
        <w:bottom w:w="15" w:type="dxa"/>
        <w:right w:w="15" w:type="dxa"/>
      </w:tblCellMar>
    </w:tblPr>
  </w:style>
  <w:style w:type="character" w:customStyle="1" w:styleId="Heading1Char">
    <w:name w:val="Heading 1 Char"/>
    <w:basedOn w:val="DefaultParagraphFont"/>
    <w:link w:val="Heading1"/>
    <w:uiPriority w:val="9"/>
    <w:rsid w:val="001E4FC7"/>
    <w:rPr>
      <w:color w:val="2F5496"/>
      <w:sz w:val="32"/>
      <w:szCs w:val="32"/>
    </w:rPr>
  </w:style>
  <w:style w:type="paragraph" w:styleId="Bibliography">
    <w:name w:val="Bibliography"/>
    <w:basedOn w:val="Normal"/>
    <w:next w:val="Normal"/>
    <w:uiPriority w:val="37"/>
    <w:unhideWhenUsed/>
    <w:rsid w:val="001E4FC7"/>
  </w:style>
  <w:style w:type="paragraph" w:styleId="Caption">
    <w:name w:val="caption"/>
    <w:basedOn w:val="Normal"/>
    <w:next w:val="Normal"/>
    <w:uiPriority w:val="35"/>
    <w:unhideWhenUsed/>
    <w:qFormat/>
    <w:rsid w:val="00B000EB"/>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2088">
      <w:bodyDiv w:val="1"/>
      <w:marLeft w:val="0"/>
      <w:marRight w:val="0"/>
      <w:marTop w:val="0"/>
      <w:marBottom w:val="0"/>
      <w:divBdr>
        <w:top w:val="none" w:sz="0" w:space="0" w:color="auto"/>
        <w:left w:val="none" w:sz="0" w:space="0" w:color="auto"/>
        <w:bottom w:val="none" w:sz="0" w:space="0" w:color="auto"/>
        <w:right w:val="none" w:sz="0" w:space="0" w:color="auto"/>
      </w:divBdr>
    </w:div>
    <w:div w:id="114758080">
      <w:bodyDiv w:val="1"/>
      <w:marLeft w:val="0"/>
      <w:marRight w:val="0"/>
      <w:marTop w:val="0"/>
      <w:marBottom w:val="0"/>
      <w:divBdr>
        <w:top w:val="none" w:sz="0" w:space="0" w:color="auto"/>
        <w:left w:val="none" w:sz="0" w:space="0" w:color="auto"/>
        <w:bottom w:val="none" w:sz="0" w:space="0" w:color="auto"/>
        <w:right w:val="none" w:sz="0" w:space="0" w:color="auto"/>
      </w:divBdr>
    </w:div>
    <w:div w:id="118691201">
      <w:bodyDiv w:val="1"/>
      <w:marLeft w:val="0"/>
      <w:marRight w:val="0"/>
      <w:marTop w:val="0"/>
      <w:marBottom w:val="0"/>
      <w:divBdr>
        <w:top w:val="none" w:sz="0" w:space="0" w:color="auto"/>
        <w:left w:val="none" w:sz="0" w:space="0" w:color="auto"/>
        <w:bottom w:val="none" w:sz="0" w:space="0" w:color="auto"/>
        <w:right w:val="none" w:sz="0" w:space="0" w:color="auto"/>
      </w:divBdr>
    </w:div>
    <w:div w:id="165874175">
      <w:bodyDiv w:val="1"/>
      <w:marLeft w:val="0"/>
      <w:marRight w:val="0"/>
      <w:marTop w:val="0"/>
      <w:marBottom w:val="0"/>
      <w:divBdr>
        <w:top w:val="none" w:sz="0" w:space="0" w:color="auto"/>
        <w:left w:val="none" w:sz="0" w:space="0" w:color="auto"/>
        <w:bottom w:val="none" w:sz="0" w:space="0" w:color="auto"/>
        <w:right w:val="none" w:sz="0" w:space="0" w:color="auto"/>
      </w:divBdr>
    </w:div>
    <w:div w:id="187646610">
      <w:bodyDiv w:val="1"/>
      <w:marLeft w:val="0"/>
      <w:marRight w:val="0"/>
      <w:marTop w:val="0"/>
      <w:marBottom w:val="0"/>
      <w:divBdr>
        <w:top w:val="none" w:sz="0" w:space="0" w:color="auto"/>
        <w:left w:val="none" w:sz="0" w:space="0" w:color="auto"/>
        <w:bottom w:val="none" w:sz="0" w:space="0" w:color="auto"/>
        <w:right w:val="none" w:sz="0" w:space="0" w:color="auto"/>
      </w:divBdr>
    </w:div>
    <w:div w:id="669260096">
      <w:bodyDiv w:val="1"/>
      <w:marLeft w:val="0"/>
      <w:marRight w:val="0"/>
      <w:marTop w:val="0"/>
      <w:marBottom w:val="0"/>
      <w:divBdr>
        <w:top w:val="none" w:sz="0" w:space="0" w:color="auto"/>
        <w:left w:val="none" w:sz="0" w:space="0" w:color="auto"/>
        <w:bottom w:val="none" w:sz="0" w:space="0" w:color="auto"/>
        <w:right w:val="none" w:sz="0" w:space="0" w:color="auto"/>
      </w:divBdr>
    </w:div>
    <w:div w:id="748428863">
      <w:bodyDiv w:val="1"/>
      <w:marLeft w:val="0"/>
      <w:marRight w:val="0"/>
      <w:marTop w:val="0"/>
      <w:marBottom w:val="0"/>
      <w:divBdr>
        <w:top w:val="none" w:sz="0" w:space="0" w:color="auto"/>
        <w:left w:val="none" w:sz="0" w:space="0" w:color="auto"/>
        <w:bottom w:val="none" w:sz="0" w:space="0" w:color="auto"/>
        <w:right w:val="none" w:sz="0" w:space="0" w:color="auto"/>
      </w:divBdr>
    </w:div>
    <w:div w:id="755053672">
      <w:bodyDiv w:val="1"/>
      <w:marLeft w:val="0"/>
      <w:marRight w:val="0"/>
      <w:marTop w:val="0"/>
      <w:marBottom w:val="0"/>
      <w:divBdr>
        <w:top w:val="none" w:sz="0" w:space="0" w:color="auto"/>
        <w:left w:val="none" w:sz="0" w:space="0" w:color="auto"/>
        <w:bottom w:val="none" w:sz="0" w:space="0" w:color="auto"/>
        <w:right w:val="none" w:sz="0" w:space="0" w:color="auto"/>
      </w:divBdr>
    </w:div>
    <w:div w:id="793252827">
      <w:bodyDiv w:val="1"/>
      <w:marLeft w:val="0"/>
      <w:marRight w:val="0"/>
      <w:marTop w:val="0"/>
      <w:marBottom w:val="0"/>
      <w:divBdr>
        <w:top w:val="none" w:sz="0" w:space="0" w:color="auto"/>
        <w:left w:val="none" w:sz="0" w:space="0" w:color="auto"/>
        <w:bottom w:val="none" w:sz="0" w:space="0" w:color="auto"/>
        <w:right w:val="none" w:sz="0" w:space="0" w:color="auto"/>
      </w:divBdr>
    </w:div>
    <w:div w:id="857430403">
      <w:bodyDiv w:val="1"/>
      <w:marLeft w:val="0"/>
      <w:marRight w:val="0"/>
      <w:marTop w:val="0"/>
      <w:marBottom w:val="0"/>
      <w:divBdr>
        <w:top w:val="none" w:sz="0" w:space="0" w:color="auto"/>
        <w:left w:val="none" w:sz="0" w:space="0" w:color="auto"/>
        <w:bottom w:val="none" w:sz="0" w:space="0" w:color="auto"/>
        <w:right w:val="none" w:sz="0" w:space="0" w:color="auto"/>
      </w:divBdr>
    </w:div>
    <w:div w:id="1014385237">
      <w:bodyDiv w:val="1"/>
      <w:marLeft w:val="0"/>
      <w:marRight w:val="0"/>
      <w:marTop w:val="0"/>
      <w:marBottom w:val="0"/>
      <w:divBdr>
        <w:top w:val="none" w:sz="0" w:space="0" w:color="auto"/>
        <w:left w:val="none" w:sz="0" w:space="0" w:color="auto"/>
        <w:bottom w:val="none" w:sz="0" w:space="0" w:color="auto"/>
        <w:right w:val="none" w:sz="0" w:space="0" w:color="auto"/>
      </w:divBdr>
    </w:div>
    <w:div w:id="1043602366">
      <w:bodyDiv w:val="1"/>
      <w:marLeft w:val="0"/>
      <w:marRight w:val="0"/>
      <w:marTop w:val="0"/>
      <w:marBottom w:val="0"/>
      <w:divBdr>
        <w:top w:val="none" w:sz="0" w:space="0" w:color="auto"/>
        <w:left w:val="none" w:sz="0" w:space="0" w:color="auto"/>
        <w:bottom w:val="none" w:sz="0" w:space="0" w:color="auto"/>
        <w:right w:val="none" w:sz="0" w:space="0" w:color="auto"/>
      </w:divBdr>
    </w:div>
    <w:div w:id="1118909181">
      <w:bodyDiv w:val="1"/>
      <w:marLeft w:val="0"/>
      <w:marRight w:val="0"/>
      <w:marTop w:val="0"/>
      <w:marBottom w:val="0"/>
      <w:divBdr>
        <w:top w:val="none" w:sz="0" w:space="0" w:color="auto"/>
        <w:left w:val="none" w:sz="0" w:space="0" w:color="auto"/>
        <w:bottom w:val="none" w:sz="0" w:space="0" w:color="auto"/>
        <w:right w:val="none" w:sz="0" w:space="0" w:color="auto"/>
      </w:divBdr>
    </w:div>
    <w:div w:id="1133252588">
      <w:bodyDiv w:val="1"/>
      <w:marLeft w:val="0"/>
      <w:marRight w:val="0"/>
      <w:marTop w:val="0"/>
      <w:marBottom w:val="0"/>
      <w:divBdr>
        <w:top w:val="none" w:sz="0" w:space="0" w:color="auto"/>
        <w:left w:val="none" w:sz="0" w:space="0" w:color="auto"/>
        <w:bottom w:val="none" w:sz="0" w:space="0" w:color="auto"/>
        <w:right w:val="none" w:sz="0" w:space="0" w:color="auto"/>
      </w:divBdr>
    </w:div>
    <w:div w:id="1312101449">
      <w:bodyDiv w:val="1"/>
      <w:marLeft w:val="0"/>
      <w:marRight w:val="0"/>
      <w:marTop w:val="0"/>
      <w:marBottom w:val="0"/>
      <w:divBdr>
        <w:top w:val="none" w:sz="0" w:space="0" w:color="auto"/>
        <w:left w:val="none" w:sz="0" w:space="0" w:color="auto"/>
        <w:bottom w:val="none" w:sz="0" w:space="0" w:color="auto"/>
        <w:right w:val="none" w:sz="0" w:space="0" w:color="auto"/>
      </w:divBdr>
    </w:div>
    <w:div w:id="1326545995">
      <w:bodyDiv w:val="1"/>
      <w:marLeft w:val="0"/>
      <w:marRight w:val="0"/>
      <w:marTop w:val="0"/>
      <w:marBottom w:val="0"/>
      <w:divBdr>
        <w:top w:val="none" w:sz="0" w:space="0" w:color="auto"/>
        <w:left w:val="none" w:sz="0" w:space="0" w:color="auto"/>
        <w:bottom w:val="none" w:sz="0" w:space="0" w:color="auto"/>
        <w:right w:val="none" w:sz="0" w:space="0" w:color="auto"/>
      </w:divBdr>
    </w:div>
    <w:div w:id="1332835069">
      <w:bodyDiv w:val="1"/>
      <w:marLeft w:val="0"/>
      <w:marRight w:val="0"/>
      <w:marTop w:val="0"/>
      <w:marBottom w:val="0"/>
      <w:divBdr>
        <w:top w:val="none" w:sz="0" w:space="0" w:color="auto"/>
        <w:left w:val="none" w:sz="0" w:space="0" w:color="auto"/>
        <w:bottom w:val="none" w:sz="0" w:space="0" w:color="auto"/>
        <w:right w:val="none" w:sz="0" w:space="0" w:color="auto"/>
      </w:divBdr>
    </w:div>
    <w:div w:id="1636179801">
      <w:bodyDiv w:val="1"/>
      <w:marLeft w:val="0"/>
      <w:marRight w:val="0"/>
      <w:marTop w:val="0"/>
      <w:marBottom w:val="0"/>
      <w:divBdr>
        <w:top w:val="none" w:sz="0" w:space="0" w:color="auto"/>
        <w:left w:val="none" w:sz="0" w:space="0" w:color="auto"/>
        <w:bottom w:val="none" w:sz="0" w:space="0" w:color="auto"/>
        <w:right w:val="none" w:sz="0" w:space="0" w:color="auto"/>
      </w:divBdr>
    </w:div>
    <w:div w:id="1668441343">
      <w:bodyDiv w:val="1"/>
      <w:marLeft w:val="0"/>
      <w:marRight w:val="0"/>
      <w:marTop w:val="0"/>
      <w:marBottom w:val="0"/>
      <w:divBdr>
        <w:top w:val="none" w:sz="0" w:space="0" w:color="auto"/>
        <w:left w:val="none" w:sz="0" w:space="0" w:color="auto"/>
        <w:bottom w:val="none" w:sz="0" w:space="0" w:color="auto"/>
        <w:right w:val="none" w:sz="0" w:space="0" w:color="auto"/>
      </w:divBdr>
    </w:div>
    <w:div w:id="1672676721">
      <w:bodyDiv w:val="1"/>
      <w:marLeft w:val="0"/>
      <w:marRight w:val="0"/>
      <w:marTop w:val="0"/>
      <w:marBottom w:val="0"/>
      <w:divBdr>
        <w:top w:val="none" w:sz="0" w:space="0" w:color="auto"/>
        <w:left w:val="none" w:sz="0" w:space="0" w:color="auto"/>
        <w:bottom w:val="none" w:sz="0" w:space="0" w:color="auto"/>
        <w:right w:val="none" w:sz="0" w:space="0" w:color="auto"/>
      </w:divBdr>
    </w:div>
    <w:div w:id="1694764545">
      <w:bodyDiv w:val="1"/>
      <w:marLeft w:val="0"/>
      <w:marRight w:val="0"/>
      <w:marTop w:val="0"/>
      <w:marBottom w:val="0"/>
      <w:divBdr>
        <w:top w:val="none" w:sz="0" w:space="0" w:color="auto"/>
        <w:left w:val="none" w:sz="0" w:space="0" w:color="auto"/>
        <w:bottom w:val="none" w:sz="0" w:space="0" w:color="auto"/>
        <w:right w:val="none" w:sz="0" w:space="0" w:color="auto"/>
      </w:divBdr>
    </w:div>
    <w:div w:id="1711998691">
      <w:bodyDiv w:val="1"/>
      <w:marLeft w:val="0"/>
      <w:marRight w:val="0"/>
      <w:marTop w:val="0"/>
      <w:marBottom w:val="0"/>
      <w:divBdr>
        <w:top w:val="none" w:sz="0" w:space="0" w:color="auto"/>
        <w:left w:val="none" w:sz="0" w:space="0" w:color="auto"/>
        <w:bottom w:val="none" w:sz="0" w:space="0" w:color="auto"/>
        <w:right w:val="none" w:sz="0" w:space="0" w:color="auto"/>
      </w:divBdr>
    </w:div>
    <w:div w:id="1944534723">
      <w:bodyDiv w:val="1"/>
      <w:marLeft w:val="0"/>
      <w:marRight w:val="0"/>
      <w:marTop w:val="0"/>
      <w:marBottom w:val="0"/>
      <w:divBdr>
        <w:top w:val="none" w:sz="0" w:space="0" w:color="auto"/>
        <w:left w:val="none" w:sz="0" w:space="0" w:color="auto"/>
        <w:bottom w:val="none" w:sz="0" w:space="0" w:color="auto"/>
        <w:right w:val="none" w:sz="0" w:space="0" w:color="auto"/>
      </w:divBdr>
    </w:div>
    <w:div w:id="2104303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XtIWiFhRocWwSaPjSuWzW+6YJw==">CgMxLjAyDmgudnZobGZ1NThzejRoMg5oLnZ2aGxmdTU4c3o0aDIOaC52dmhsZnU1OHN6NGgyDmgudnZobGZ1NThzejRoMg5oLnZ2aGxmdTU4c3o0aDIOaC52dmhsZnU1OHN6NGgyDmgudnZobGZ1NThzejRoMghoLmdqZGd4czIJaC4zMGowemxsMgloLjFmb2I5dGUyCWguM3pueXNoNzgAciExS3NVVFRGUEJ4RGd5Q0FNWXdvYW1qZmJtSDdFVkI1TDM=</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b:Source>
    <b:Tag>3GP232</b:Tag>
    <b:SourceType>Report</b:SourceType>
    <b:Guid>{3BE7EA17-6F66-4589-8052-460871B729AC}</b:Guid>
    <b:Title>3GPP TR. 22.837 Technical Specification Group TSG SA; Feasibility Study on Integrated Sensing and Communication (Release 19)</b:Title>
    <b:Year>2023</b:Year>
    <b:RefOrder>1</b:RefOrder>
  </b:Source>
  <b:Source>
    <b:Tag>3GP233</b:Tag>
    <b:SourceType>Report</b:SourceType>
    <b:Guid>{A22C5A83-B064-4C52-8693-4214028C4631}</b:Guid>
    <b:Title>3GPP TS. 22.137 Service Requirements for ISAC</b:Title>
    <b:Year>Dec 2023</b:Year>
    <b:RefOrder>2</b:RefOrder>
  </b:Source>
  <b:Source>
    <b:Tag>3GP201</b:Tag>
    <b:SourceType>Report</b:SourceType>
    <b:Guid>{818DE067-2BF9-49DA-AAE6-3726F6FEBA03}</b:Guid>
    <b:Title>3GPP TR. 38.901, Study on channel model for frequencies from 0.5 to 100 GHz, V16.1.0</b:Title>
    <b:Year>March. 2022</b:Year>
    <b:RefOrder>3</b:RefOrder>
  </b:Source>
  <b:Source>
    <b:Tag>JLo231</b:Tag>
    <b:SourceType>ConferenceProceedings</b:SourceType>
    <b:Guid>{4ACE7C15-08CE-4D7A-8FC7-A2EF3DCB7BDA}</b:Guid>
    <b:Title>A Unified Channel Model for Both Communication and Sensing in Integrated Sensing and Communication Systems</b:Title>
    <b:Year>2023</b:Year>
    <b:Author>
      <b:Author>
        <b:NameList>
          <b:Person>
            <b:Last>Lou</b:Last>
            <b:First>J</b:First>
          </b:Person>
        </b:NameList>
      </b:Author>
    </b:Author>
    <b:ConferenceName>IEEE 98th Vehicular Technology Conference (VTC2023-Fall)</b:ConferenceName>
    <b:City>Hong Kong, Hong Kong</b:City>
    <b:RefOrder>5</b:RefOrder>
  </b:Source>
  <b:Source>
    <b:Tag>ZZh231</b:Tag>
    <b:SourceType>JournalArticle</b:SourceType>
    <b:Guid>{181AA6D7-E4DA-475C-820C-D8844088092C}</b:Guid>
    <b:Title>A General Channel Model for Integrated Sensing and Communication Scenarios</b:Title>
    <b:Year>May 2023</b:Year>
    <b:Author>
      <b:Author>
        <b:NameList>
          <b:Person>
            <b:Last>Z</b:Last>
            <b:First>Zhang</b:First>
          </b:Person>
        </b:NameList>
      </b:Author>
    </b:Author>
    <b:JournalName>IEEE Communications Magazine</b:JournalName>
    <b:Pages>68-74</b:Pages>
    <b:Volume>61</b:Volume>
    <b:Issue>5</b:Issue>
    <b:RefOrder>4</b:RefOrder>
  </b:Source>
  <b:Source>
    <b:Tag>EPi121</b:Tag>
    <b:SourceType>ConferenceProceedings</b:SourceType>
    <b:Guid>{8D885DE2-5E20-437E-88E6-6AE77E4477B4}</b:Guid>
    <b:Author>
      <b:Author>
        <b:NameList>
          <b:Person>
            <b:Last>Piuzzi</b:Last>
            <b:First>E</b:First>
          </b:Person>
        </b:NameList>
      </b:Author>
    </b:Author>
    <b:Title>Radar cross section measurements of the human body for UWB radar applications</b:Title>
    <b:Year>2012</b:Year>
    <b:ConferenceName>IEEE International Instrumentation and Measurement Technology Conference Proceedings</b:ConferenceName>
    <b:City>Graz, Austria,</b:City>
    <b:RefOrder>7</b:RefOrder>
  </b:Source>
  <b:Source>
    <b:Tag>Yas13</b:Tag>
    <b:SourceType>ConferenceProceedings</b:SourceType>
    <b:Guid>{E3532709-9ED3-4D76-9054-0DE3A12805F3}</b:Guid>
    <b:Title>79GHz-band radar cross section measurement for pedestrian detection</b:Title>
    <b:Year>2013</b:Year>
    <b:City>Seoul, Korea (South)</b:City>
    <b:Author>
      <b:Author>
        <b:NameList>
          <b:Person>
            <b:Last>Yasugi</b:Last>
            <b:First>M</b:First>
          </b:Person>
        </b:NameList>
      </b:Author>
    </b:Author>
    <b:ConferenceName>Asia-Pacific Microwave Conference Proceedings (APMC)</b:ConferenceName>
    <b:RefOrder>6</b:RefOrder>
  </b:Source>
</b:Sourc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716A67-40B2-4C65-A83E-AE30DCD4E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1361</Words>
  <Characters>7761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Saeede Enayati</cp:lastModifiedBy>
  <cp:revision>7</cp:revision>
  <dcterms:created xsi:type="dcterms:W3CDTF">2024-01-19T17:29:00Z</dcterms:created>
  <dcterms:modified xsi:type="dcterms:W3CDTF">2024-01-22T22:45:00Z</dcterms:modified>
</cp:coreProperties>
</file>