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ECEB5" w14:textId="09AA5A1C" w:rsidR="00335573" w:rsidRDefault="00335573" w:rsidP="00335573">
      <w:pPr>
        <w:tabs>
          <w:tab w:val="right" w:pos="9216"/>
        </w:tabs>
        <w:spacing w:after="0"/>
        <w:rPr>
          <w:b/>
          <w:kern w:val="2"/>
          <w:lang w:eastAsia="zh-CN"/>
        </w:rPr>
      </w:pPr>
      <w:r>
        <w:rPr>
          <w:b/>
          <w:noProof/>
          <w:lang w:eastAsia="zh-CN"/>
        </w:rPr>
        <w:t>3</w:t>
      </w:r>
      <w:r w:rsidRPr="00545368">
        <w:rPr>
          <w:b/>
          <w:noProof/>
          <w:lang w:eastAsia="zh-CN"/>
        </w:rPr>
        <w:t>GPP TSG-RAN WG1 Meeting #11</w:t>
      </w:r>
      <w:r>
        <w:rPr>
          <w:b/>
          <w:noProof/>
          <w:lang w:eastAsia="zh-CN"/>
        </w:rPr>
        <w:t>6</w:t>
      </w:r>
      <w:r w:rsidRPr="00CF195E">
        <w:rPr>
          <w:b/>
          <w:kern w:val="2"/>
          <w:lang w:eastAsia="zh-CN"/>
        </w:rPr>
        <w:tab/>
      </w:r>
      <w:r w:rsidR="003F4A05" w:rsidRPr="003F4A05">
        <w:rPr>
          <w:b/>
          <w:kern w:val="2"/>
          <w:lang w:eastAsia="zh-CN"/>
        </w:rPr>
        <w:t>R1-240014</w:t>
      </w:r>
      <w:r w:rsidR="00C94A9E">
        <w:rPr>
          <w:b/>
          <w:kern w:val="2"/>
          <w:lang w:eastAsia="zh-CN"/>
        </w:rPr>
        <w:t>1</w:t>
      </w:r>
    </w:p>
    <w:p w14:paraId="2E876DCB" w14:textId="7D0CD416" w:rsidR="006C08E1" w:rsidRPr="00810DC4" w:rsidRDefault="00335573" w:rsidP="00335573">
      <w:pPr>
        <w:rPr>
          <w:b/>
          <w:kern w:val="2"/>
          <w:lang w:eastAsia="zh-CN"/>
        </w:rPr>
      </w:pPr>
      <w:r>
        <w:rPr>
          <w:b/>
          <w:kern w:val="2"/>
          <w:lang w:eastAsia="zh-CN"/>
        </w:rPr>
        <w:t>Athens, Greece</w:t>
      </w:r>
      <w:r w:rsidRPr="00545368">
        <w:rPr>
          <w:b/>
          <w:kern w:val="2"/>
          <w:lang w:eastAsia="zh-CN"/>
        </w:rPr>
        <w:t xml:space="preserve">, </w:t>
      </w:r>
      <w:r>
        <w:rPr>
          <w:b/>
          <w:kern w:val="2"/>
          <w:lang w:eastAsia="zh-CN"/>
        </w:rPr>
        <w:t>26 February - 1 March</w:t>
      </w:r>
      <w:r w:rsidRPr="00545368">
        <w:rPr>
          <w:b/>
          <w:kern w:val="2"/>
          <w:lang w:eastAsia="zh-CN"/>
        </w:rPr>
        <w:t>, 202</w:t>
      </w:r>
      <w:r>
        <w:rPr>
          <w:b/>
          <w:kern w:val="2"/>
          <w:lang w:eastAsia="zh-CN"/>
        </w:rPr>
        <w:t>4</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66F0B1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6156B9">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2A51C5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335573" w:rsidRPr="00335573">
        <w:rPr>
          <w:b/>
          <w:color w:val="000000" w:themeColor="text1"/>
          <w:kern w:val="2"/>
          <w:lang w:eastAsia="zh-CN"/>
        </w:rPr>
        <w:t xml:space="preserve">Discussion on </w:t>
      </w:r>
      <w:r w:rsidR="00F655FD" w:rsidRPr="00F655FD">
        <w:rPr>
          <w:b/>
          <w:color w:val="000000" w:themeColor="text1"/>
          <w:kern w:val="2"/>
          <w:lang w:eastAsia="zh-CN"/>
        </w:rPr>
        <w:t>measurement definitions for positioning with bandwidth aggregation</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2464A8C6" w14:textId="77777777" w:rsidR="00C94A9E" w:rsidRPr="00FD2BEF" w:rsidRDefault="00C94A9E" w:rsidP="00C94A9E">
      <w:pPr>
        <w:pBdr>
          <w:bottom w:val="single" w:sz="4" w:space="0" w:color="auto"/>
        </w:pBdr>
        <w:rPr>
          <w:b/>
          <w:color w:val="000000"/>
          <w:kern w:val="2"/>
          <w:sz w:val="16"/>
          <w:szCs w:val="16"/>
        </w:rPr>
      </w:pPr>
      <w:bookmarkStart w:id="0" w:name="_Hlk157095563"/>
    </w:p>
    <w:p w14:paraId="44AB7E55" w14:textId="77777777" w:rsidR="00C94A9E" w:rsidRPr="00FD2BEF" w:rsidRDefault="00C94A9E" w:rsidP="00C94A9E">
      <w:pPr>
        <w:keepNext/>
        <w:numPr>
          <w:ilvl w:val="0"/>
          <w:numId w:val="17"/>
        </w:numPr>
        <w:tabs>
          <w:tab w:val="clear" w:pos="432"/>
          <w:tab w:val="num" w:pos="360"/>
        </w:tabs>
        <w:spacing w:before="120"/>
        <w:ind w:left="0" w:firstLine="0"/>
        <w:outlineLvl w:val="0"/>
        <w:rPr>
          <w:b/>
          <w:bCs/>
          <w:color w:val="000000"/>
          <w:sz w:val="28"/>
          <w:szCs w:val="28"/>
        </w:rPr>
      </w:pPr>
      <w:r w:rsidRPr="00FD2BEF">
        <w:rPr>
          <w:b/>
          <w:bCs/>
          <w:color w:val="000000"/>
          <w:sz w:val="28"/>
          <w:szCs w:val="28"/>
        </w:rPr>
        <w:t>Introduction</w:t>
      </w:r>
    </w:p>
    <w:p w14:paraId="021A6AE2" w14:textId="4BEDE5A3" w:rsidR="00C94A9E" w:rsidRPr="00FD2BEF" w:rsidRDefault="00C94A9E" w:rsidP="00C94A9E">
      <w:r w:rsidRPr="00FD2BEF">
        <w:t xml:space="preserve">RAN1 received a </w:t>
      </w:r>
      <w:r>
        <w:t>repl</w:t>
      </w:r>
      <w:bookmarkEnd w:id="0"/>
      <w:r>
        <w:t xml:space="preserve">y </w:t>
      </w:r>
      <w:r w:rsidRPr="00FD2BEF">
        <w:t xml:space="preserve">LS from RAN4 on bandwidth aggregation procedure for positioning measurement </w:t>
      </w:r>
      <w:r w:rsidRPr="00FD2BEF">
        <w:fldChar w:fldCharType="begin"/>
      </w:r>
      <w:r w:rsidRPr="00FD2BEF">
        <w:instrText xml:space="preserve"> REF _Ref141693254 \r \h </w:instrText>
      </w:r>
      <w:r w:rsidRPr="00FD2BEF">
        <w:fldChar w:fldCharType="separate"/>
      </w:r>
      <w:r w:rsidR="00932F50">
        <w:t>[1]</w:t>
      </w:r>
      <w:r w:rsidRPr="00FD2BEF">
        <w:fldChar w:fldCharType="end"/>
      </w:r>
      <w:r w:rsidRPr="00FD2BEF">
        <w:t>.</w:t>
      </w:r>
    </w:p>
    <w:tbl>
      <w:tblPr>
        <w:tblStyle w:val="10"/>
        <w:tblW w:w="0" w:type="auto"/>
        <w:tblLook w:val="04A0" w:firstRow="1" w:lastRow="0" w:firstColumn="1" w:lastColumn="0" w:noHBand="0" w:noVBand="1"/>
      </w:tblPr>
      <w:tblGrid>
        <w:gridCol w:w="9307"/>
      </w:tblGrid>
      <w:tr w:rsidR="00C94A9E" w:rsidRPr="00FD2BEF" w14:paraId="2660FF26" w14:textId="77777777" w:rsidTr="00184FBE">
        <w:tc>
          <w:tcPr>
            <w:tcW w:w="9307" w:type="dxa"/>
          </w:tcPr>
          <w:p w14:paraId="4A831813" w14:textId="77777777" w:rsidR="00C94A9E" w:rsidRPr="0088365D" w:rsidRDefault="00C94A9E" w:rsidP="00184FBE">
            <w:pPr>
              <w:widowControl/>
              <w:autoSpaceDE/>
              <w:autoSpaceDN/>
              <w:adjustRightInd/>
              <w:rPr>
                <w:rFonts w:ascii="Arial" w:eastAsia="PMingLiU" w:hAnsi="Arial" w:cs="Arial"/>
                <w:b/>
                <w:sz w:val="20"/>
                <w:szCs w:val="20"/>
              </w:rPr>
            </w:pPr>
            <w:r w:rsidRPr="0088365D">
              <w:rPr>
                <w:rFonts w:ascii="Arial" w:eastAsia="PMingLiU" w:hAnsi="Arial" w:cs="Arial"/>
                <w:b/>
                <w:sz w:val="20"/>
                <w:szCs w:val="20"/>
                <w:lang w:val="en-GB"/>
              </w:rPr>
              <w:t>1. Overall Description:</w:t>
            </w:r>
          </w:p>
          <w:p w14:paraId="223F5EAF" w14:textId="77777777" w:rsidR="00C94A9E" w:rsidRPr="0088365D" w:rsidRDefault="00C94A9E" w:rsidP="00184FBE">
            <w:pPr>
              <w:widowControl/>
              <w:autoSpaceDE/>
              <w:autoSpaceDN/>
              <w:adjustRightInd/>
              <w:spacing w:before="120"/>
              <w:rPr>
                <w:rFonts w:ascii="Arial" w:eastAsia="PMingLiU" w:hAnsi="Arial" w:cs="Arial"/>
                <w:sz w:val="20"/>
                <w:szCs w:val="20"/>
                <w:lang w:val="en-GB"/>
              </w:rPr>
            </w:pPr>
            <w:r w:rsidRPr="0088365D">
              <w:rPr>
                <w:rFonts w:ascii="Arial" w:eastAsia="PMingLiU" w:hAnsi="Arial" w:cs="Arial" w:hint="eastAsia"/>
                <w:sz w:val="20"/>
                <w:szCs w:val="20"/>
                <w:lang w:val="en-GB"/>
              </w:rPr>
              <w:t>R</w:t>
            </w:r>
            <w:r w:rsidRPr="0088365D">
              <w:rPr>
                <w:rFonts w:ascii="Arial" w:eastAsia="PMingLiU" w:hAnsi="Arial" w:cs="Arial"/>
                <w:sz w:val="20"/>
                <w:szCs w:val="20"/>
                <w:lang w:val="en-GB"/>
              </w:rPr>
              <w:t>AN4 thanks RAN1 for the LS R1-2308449.</w:t>
            </w:r>
            <w:r w:rsidRPr="0088365D">
              <w:rPr>
                <w:rFonts w:ascii="Arial" w:eastAsia="等线" w:hAnsi="Arial" w:cs="Arial"/>
                <w:sz w:val="20"/>
                <w:szCs w:val="20"/>
                <w:lang w:val="en-GB"/>
              </w:rPr>
              <w:t xml:space="preserve"> </w:t>
            </w:r>
            <w:r w:rsidRPr="0088365D">
              <w:rPr>
                <w:rFonts w:ascii="Arial" w:eastAsia="PMingLiU" w:hAnsi="Arial" w:cs="Arial" w:hint="eastAsia"/>
                <w:sz w:val="20"/>
                <w:szCs w:val="20"/>
                <w:lang w:val="en-GB"/>
              </w:rPr>
              <w:t>R</w:t>
            </w:r>
            <w:r w:rsidRPr="0088365D">
              <w:rPr>
                <w:rFonts w:ascii="Arial" w:eastAsia="PMingLiU" w:hAnsi="Arial" w:cs="Arial"/>
                <w:sz w:val="20"/>
                <w:szCs w:val="20"/>
                <w:lang w:val="en-GB"/>
              </w:rPr>
              <w:t>AN4 discussed how to capture the condition of single RF chain (same antenna) in RAN4’s specification, and reached the following agreements.</w:t>
            </w:r>
          </w:p>
          <w:p w14:paraId="74201884" w14:textId="77777777" w:rsidR="00C94A9E" w:rsidRPr="0088365D" w:rsidRDefault="00C94A9E" w:rsidP="00C94A9E">
            <w:pPr>
              <w:widowControl/>
              <w:numPr>
                <w:ilvl w:val="0"/>
                <w:numId w:val="18"/>
              </w:numPr>
              <w:autoSpaceDE/>
              <w:autoSpaceDN/>
              <w:adjustRightInd/>
              <w:snapToGrid/>
              <w:spacing w:beforeLines="50" w:before="120" w:afterLines="50"/>
              <w:rPr>
                <w:rFonts w:ascii="Arial" w:eastAsia="PMingLiU" w:hAnsi="Arial" w:cs="Arial"/>
                <w:sz w:val="20"/>
                <w:szCs w:val="20"/>
                <w:lang w:val="en-GB"/>
              </w:rPr>
            </w:pPr>
            <w:r w:rsidRPr="0088365D">
              <w:rPr>
                <w:rFonts w:ascii="Arial" w:eastAsia="PMingLiU" w:hAnsi="Arial" w:cs="Arial"/>
                <w:sz w:val="20"/>
                <w:szCs w:val="20"/>
                <w:lang w:val="en-GB"/>
              </w:rPr>
              <w:t>RAN4 to take “single Rx chain” assumption for defining accuracy requirements for positioning measurements based on PRS/SRS bandwidth aggregation.</w:t>
            </w:r>
          </w:p>
          <w:p w14:paraId="0E5981F5" w14:textId="77777777" w:rsidR="00C94A9E" w:rsidRPr="0088365D" w:rsidRDefault="00C94A9E" w:rsidP="00C94A9E">
            <w:pPr>
              <w:widowControl/>
              <w:numPr>
                <w:ilvl w:val="0"/>
                <w:numId w:val="18"/>
              </w:numPr>
              <w:autoSpaceDE/>
              <w:autoSpaceDN/>
              <w:adjustRightInd/>
              <w:snapToGrid/>
              <w:spacing w:beforeLines="50" w:before="120" w:afterLines="50"/>
              <w:rPr>
                <w:rFonts w:ascii="Arial" w:eastAsia="PMingLiU" w:hAnsi="Arial" w:cs="Arial"/>
                <w:sz w:val="20"/>
                <w:szCs w:val="20"/>
                <w:lang w:val="en-GB"/>
              </w:rPr>
            </w:pPr>
            <w:r w:rsidRPr="0088365D">
              <w:rPr>
                <w:rFonts w:ascii="Arial" w:eastAsia="PMingLiU" w:hAnsi="Arial" w:cs="Arial"/>
                <w:sz w:val="20"/>
                <w:szCs w:val="20"/>
                <w:lang w:val="en-GB"/>
              </w:rPr>
              <w:t>RAN4 to define the following side conditions for the UE RSTD and Rx-Tx measurement period (core) and accuracy (performance) requirements.</w:t>
            </w:r>
          </w:p>
          <w:p w14:paraId="1ADB4D2D" w14:textId="77777777" w:rsidR="00C94A9E" w:rsidRPr="0088365D" w:rsidRDefault="00C94A9E" w:rsidP="00C94A9E">
            <w:pPr>
              <w:widowControl/>
              <w:numPr>
                <w:ilvl w:val="1"/>
                <w:numId w:val="18"/>
              </w:numPr>
              <w:autoSpaceDE/>
              <w:autoSpaceDN/>
              <w:adjustRightInd/>
              <w:snapToGrid/>
              <w:spacing w:beforeLines="50" w:before="120" w:afterLines="50"/>
              <w:rPr>
                <w:rFonts w:ascii="Arial" w:eastAsia="PMingLiU" w:hAnsi="Arial" w:cs="Arial"/>
                <w:sz w:val="20"/>
                <w:szCs w:val="20"/>
                <w:lang w:val="en-GB"/>
              </w:rPr>
            </w:pPr>
            <w:bookmarkStart w:id="1" w:name="_Hlk150981761"/>
            <w:bookmarkStart w:id="2" w:name="_Hlk157096476"/>
            <w:r w:rsidRPr="0088365D">
              <w:rPr>
                <w:rFonts w:ascii="Arial" w:eastAsia="PMingLiU" w:hAnsi="Arial" w:cs="Arial"/>
                <w:sz w:val="20"/>
                <w:szCs w:val="20"/>
                <w:lang w:val="en-GB"/>
              </w:rPr>
              <w:t>For PRS resources on multiple PFLs linked for aggregation, the UE RSTD/Rx-Tx (core) and accuracy (performance) requirements apply provided that the channel over which a symbol on </w:t>
            </w:r>
            <w:r w:rsidRPr="0088365D">
              <w:rPr>
                <w:rFonts w:ascii="Arial" w:eastAsia="PMingLiU" w:hAnsi="Arial" w:cs="Arial"/>
                <w:bCs/>
                <w:sz w:val="20"/>
                <w:szCs w:val="20"/>
                <w:lang w:val="en-GB"/>
              </w:rPr>
              <w:t>one</w:t>
            </w:r>
            <w:r w:rsidRPr="0088365D">
              <w:rPr>
                <w:rFonts w:ascii="Arial" w:eastAsia="PMingLiU" w:hAnsi="Arial" w:cs="Arial"/>
                <w:sz w:val="20"/>
                <w:szCs w:val="20"/>
                <w:lang w:val="en-GB"/>
              </w:rPr>
              <w:t> PFL for PRS transmission is conveyed can be inferred from the channel over which the same symbol</w:t>
            </w:r>
            <w:r w:rsidRPr="0088365D">
              <w:rPr>
                <w:rFonts w:ascii="Arial" w:eastAsia="PMingLiU" w:hAnsi="Arial" w:cs="Arial"/>
                <w:bCs/>
                <w:sz w:val="20"/>
                <w:szCs w:val="20"/>
                <w:lang w:val="en-GB"/>
              </w:rPr>
              <w:t> of another PFL or the aggregated PFL</w:t>
            </w:r>
            <w:r w:rsidRPr="0088365D">
              <w:rPr>
                <w:rFonts w:ascii="Arial" w:eastAsia="PMingLiU" w:hAnsi="Arial" w:cs="Arial"/>
                <w:sz w:val="20"/>
                <w:szCs w:val="20"/>
                <w:lang w:val="en-GB"/>
              </w:rPr>
              <w:t> is conveyed</w:t>
            </w:r>
            <w:bookmarkEnd w:id="1"/>
            <w:r w:rsidRPr="0088365D">
              <w:rPr>
                <w:rFonts w:ascii="Arial" w:eastAsia="PMingLiU" w:hAnsi="Arial" w:cs="Arial"/>
                <w:sz w:val="20"/>
                <w:szCs w:val="20"/>
                <w:lang w:val="en-GB"/>
              </w:rPr>
              <w:t>.</w:t>
            </w:r>
          </w:p>
          <w:p w14:paraId="6A2C8186" w14:textId="77777777" w:rsidR="00C94A9E" w:rsidRPr="0088365D" w:rsidRDefault="00C94A9E" w:rsidP="00184FBE">
            <w:pPr>
              <w:widowControl/>
              <w:autoSpaceDE/>
              <w:autoSpaceDN/>
              <w:adjustRightInd/>
              <w:spacing w:beforeLines="50" w:before="120" w:afterLines="50"/>
              <w:ind w:left="840"/>
              <w:rPr>
                <w:rFonts w:ascii="Arial" w:eastAsia="PMingLiU" w:hAnsi="Arial" w:cs="Arial"/>
                <w:sz w:val="20"/>
                <w:szCs w:val="20"/>
                <w:lang w:val="en-GB"/>
              </w:rPr>
            </w:pPr>
            <w:r w:rsidRPr="0088365D">
              <w:rPr>
                <w:rFonts w:ascii="Arial" w:eastAsia="PMingLiU" w:hAnsi="Arial" w:cs="Arial"/>
                <w:sz w:val="20"/>
                <w:szCs w:val="20"/>
                <w:lang w:val="en-GB"/>
              </w:rPr>
              <w:t>Note: this does not imply the radio propagation conditions are the same for aggregated PFLs</w:t>
            </w:r>
          </w:p>
          <w:bookmarkEnd w:id="2"/>
          <w:p w14:paraId="4871EB23" w14:textId="77777777" w:rsidR="00C94A9E" w:rsidRPr="0088365D" w:rsidRDefault="00C94A9E" w:rsidP="00C94A9E">
            <w:pPr>
              <w:widowControl/>
              <w:numPr>
                <w:ilvl w:val="0"/>
                <w:numId w:val="18"/>
              </w:numPr>
              <w:autoSpaceDE/>
              <w:autoSpaceDN/>
              <w:adjustRightInd/>
              <w:snapToGrid/>
              <w:spacing w:beforeLines="50" w:before="120" w:afterLines="50"/>
              <w:rPr>
                <w:rFonts w:ascii="Arial" w:eastAsia="PMingLiU" w:hAnsi="Arial" w:cs="Arial"/>
                <w:sz w:val="20"/>
                <w:szCs w:val="20"/>
                <w:lang w:val="en-GB"/>
              </w:rPr>
            </w:pPr>
            <w:r w:rsidRPr="0088365D">
              <w:rPr>
                <w:rFonts w:ascii="Arial" w:eastAsia="PMingLiU" w:hAnsi="Arial" w:cs="Arial"/>
                <w:sz w:val="20"/>
                <w:szCs w:val="20"/>
                <w:lang w:val="en-GB"/>
              </w:rPr>
              <w:t>RAN4 to define the following side conditions for the gNB Rx-Tx measurement accuracy (performance) requirements.</w:t>
            </w:r>
          </w:p>
          <w:p w14:paraId="55568869" w14:textId="77777777" w:rsidR="00C94A9E" w:rsidRPr="0088365D" w:rsidRDefault="00C94A9E" w:rsidP="00C94A9E">
            <w:pPr>
              <w:widowControl/>
              <w:numPr>
                <w:ilvl w:val="1"/>
                <w:numId w:val="18"/>
              </w:numPr>
              <w:autoSpaceDE/>
              <w:autoSpaceDN/>
              <w:adjustRightInd/>
              <w:snapToGrid/>
              <w:spacing w:beforeLines="50" w:before="120" w:afterLines="50"/>
              <w:rPr>
                <w:rFonts w:ascii="Arial" w:eastAsia="PMingLiU" w:hAnsi="Arial" w:cs="Arial"/>
                <w:sz w:val="20"/>
                <w:szCs w:val="20"/>
                <w:lang w:val="en-GB"/>
              </w:rPr>
            </w:pPr>
            <w:bookmarkStart w:id="3" w:name="_Hlk157096485"/>
            <w:r w:rsidRPr="0088365D">
              <w:rPr>
                <w:rFonts w:ascii="Arial" w:eastAsia="PMingLiU" w:hAnsi="Arial" w:cs="Arial"/>
                <w:sz w:val="20"/>
                <w:szCs w:val="20"/>
                <w:lang w:val="en-GB"/>
              </w:rPr>
              <w:t>For positioning SRS resources on multiple carriers linked for aggregation, the gNB Rx-Tx measurement accuracy (performance) requirements apply provided that the channel over which a symbol on </w:t>
            </w:r>
            <w:r w:rsidRPr="0088365D">
              <w:rPr>
                <w:rFonts w:ascii="Arial" w:eastAsia="PMingLiU" w:hAnsi="Arial" w:cs="Arial"/>
                <w:bCs/>
                <w:sz w:val="20"/>
                <w:szCs w:val="20"/>
                <w:lang w:val="en-GB"/>
              </w:rPr>
              <w:t>one</w:t>
            </w:r>
            <w:r w:rsidRPr="0088365D">
              <w:rPr>
                <w:rFonts w:ascii="Arial" w:eastAsia="PMingLiU" w:hAnsi="Arial" w:cs="Arial"/>
                <w:sz w:val="20"/>
                <w:szCs w:val="20"/>
                <w:lang w:val="en-GB"/>
              </w:rPr>
              <w:t> carrier for SRS transmission is conveyed can be inferred from the channel over which the same symbol</w:t>
            </w:r>
            <w:r w:rsidRPr="0088365D">
              <w:rPr>
                <w:rFonts w:ascii="Arial" w:eastAsia="PMingLiU" w:hAnsi="Arial" w:cs="Arial"/>
                <w:bCs/>
                <w:sz w:val="20"/>
                <w:szCs w:val="20"/>
                <w:lang w:val="en-GB"/>
              </w:rPr>
              <w:t> of another carrier or the aggregated carrier</w:t>
            </w:r>
            <w:r w:rsidRPr="0088365D">
              <w:rPr>
                <w:rFonts w:ascii="Arial" w:eastAsia="PMingLiU" w:hAnsi="Arial" w:cs="Arial"/>
                <w:sz w:val="20"/>
                <w:szCs w:val="20"/>
                <w:lang w:val="en-GB"/>
              </w:rPr>
              <w:t> is conveyed.</w:t>
            </w:r>
          </w:p>
          <w:p w14:paraId="73BC1728" w14:textId="77777777" w:rsidR="00C94A9E" w:rsidRPr="0088365D" w:rsidRDefault="00C94A9E" w:rsidP="00184FBE">
            <w:pPr>
              <w:widowControl/>
              <w:autoSpaceDE/>
              <w:autoSpaceDN/>
              <w:adjustRightInd/>
              <w:spacing w:beforeLines="50" w:before="120" w:afterLines="50"/>
              <w:ind w:left="840"/>
              <w:rPr>
                <w:rFonts w:ascii="Arial" w:eastAsia="PMingLiU" w:hAnsi="Arial" w:cs="Arial"/>
                <w:sz w:val="20"/>
                <w:szCs w:val="20"/>
                <w:lang w:val="en-GB"/>
              </w:rPr>
            </w:pPr>
            <w:r w:rsidRPr="0088365D">
              <w:rPr>
                <w:rFonts w:ascii="Arial" w:eastAsia="PMingLiU" w:hAnsi="Arial" w:cs="Arial"/>
                <w:sz w:val="20"/>
                <w:szCs w:val="20"/>
                <w:lang w:val="en-GB"/>
              </w:rPr>
              <w:t>Note: this does not imply the radio propagation conditions are the same for aggregated carriers</w:t>
            </w:r>
          </w:p>
          <w:bookmarkEnd w:id="3"/>
          <w:p w14:paraId="11D152C5" w14:textId="77777777" w:rsidR="00C94A9E" w:rsidRPr="00FD2BEF" w:rsidRDefault="00C94A9E" w:rsidP="00184FBE">
            <w:pPr>
              <w:autoSpaceDE/>
              <w:autoSpaceDN/>
              <w:adjustRightInd/>
              <w:spacing w:line="259" w:lineRule="auto"/>
              <w:rPr>
                <w:rFonts w:ascii="Arial" w:eastAsia="Arial" w:hAnsi="Arial" w:cs="Arial"/>
                <w:color w:val="000000"/>
                <w:szCs w:val="20"/>
              </w:rPr>
            </w:pPr>
            <w:r w:rsidRPr="0088365D">
              <w:rPr>
                <w:rFonts w:ascii="Arial" w:eastAsia="PMingLiU" w:hAnsi="Arial" w:cs="Arial"/>
                <w:sz w:val="20"/>
                <w:szCs w:val="20"/>
                <w:lang w:val="en-GB" w:eastAsia="zh-CN"/>
              </w:rPr>
              <w:t>Based on the agreements, RAN4 believes it is better to capture the “single Tx chain” assumption in RAN1 spec.</w:t>
            </w:r>
          </w:p>
        </w:tc>
      </w:tr>
    </w:tbl>
    <w:p w14:paraId="72291564" w14:textId="77777777" w:rsidR="00C94A9E" w:rsidRPr="00FD2BEF" w:rsidRDefault="00C94A9E" w:rsidP="00C94A9E">
      <w:pPr>
        <w:spacing w:beforeLines="50" w:before="120"/>
      </w:pPr>
      <w:r w:rsidRPr="00FD2BEF">
        <w:rPr>
          <w:rFonts w:hint="eastAsia"/>
        </w:rPr>
        <w:t>I</w:t>
      </w:r>
      <w:r w:rsidRPr="00FD2BEF">
        <w:t>n this paper, we provide our views on this.</w:t>
      </w:r>
    </w:p>
    <w:p w14:paraId="2D268D33" w14:textId="77777777" w:rsidR="00C94A9E" w:rsidRPr="00FD2BEF" w:rsidRDefault="00C94A9E" w:rsidP="00C94A9E">
      <w:pPr>
        <w:spacing w:beforeLines="50" w:before="120"/>
      </w:pPr>
    </w:p>
    <w:p w14:paraId="3B039859" w14:textId="77777777" w:rsidR="00C94A9E" w:rsidRPr="00FD2BEF" w:rsidRDefault="00C94A9E" w:rsidP="00C94A9E">
      <w:pPr>
        <w:keepNext/>
        <w:numPr>
          <w:ilvl w:val="0"/>
          <w:numId w:val="17"/>
        </w:numPr>
        <w:tabs>
          <w:tab w:val="clear" w:pos="432"/>
          <w:tab w:val="num" w:pos="360"/>
        </w:tabs>
        <w:spacing w:before="120"/>
        <w:ind w:left="0" w:firstLine="0"/>
        <w:outlineLvl w:val="0"/>
        <w:rPr>
          <w:b/>
          <w:bCs/>
          <w:sz w:val="28"/>
          <w:szCs w:val="28"/>
        </w:rPr>
      </w:pPr>
      <w:r w:rsidRPr="00FD2BEF">
        <w:rPr>
          <w:rFonts w:hint="eastAsia"/>
          <w:b/>
          <w:bCs/>
          <w:sz w:val="28"/>
          <w:szCs w:val="28"/>
        </w:rPr>
        <w:t>D</w:t>
      </w:r>
      <w:r w:rsidRPr="00FD2BEF">
        <w:rPr>
          <w:b/>
          <w:bCs/>
          <w:sz w:val="28"/>
          <w:szCs w:val="28"/>
        </w:rPr>
        <w:t>iscussion</w:t>
      </w:r>
    </w:p>
    <w:p w14:paraId="13F8585D" w14:textId="3DC3117D" w:rsidR="00C94A9E" w:rsidRDefault="00C94A9E" w:rsidP="00C94A9E">
      <w:pPr>
        <w:autoSpaceDE/>
        <w:autoSpaceDN/>
        <w:adjustRightInd/>
      </w:pPr>
      <w:r>
        <w:rPr>
          <w:rFonts w:hint="eastAsia"/>
        </w:rPr>
        <w:t>F</w:t>
      </w:r>
      <w:r>
        <w:t xml:space="preserve">rom the </w:t>
      </w:r>
      <w:r>
        <w:rPr>
          <w:rFonts w:hint="eastAsia"/>
        </w:rPr>
        <w:t>agreement</w:t>
      </w:r>
      <w:r>
        <w:t xml:space="preserve"> of RAN4, RAN4 defines the side conditions that </w:t>
      </w:r>
      <w:r w:rsidRPr="0088365D">
        <w:t>the channel over which a symbol on one PFL</w:t>
      </w:r>
      <w:r>
        <w:t>/carrier</w:t>
      </w:r>
      <w:r w:rsidRPr="0088365D">
        <w:t xml:space="preserve"> for PRS</w:t>
      </w:r>
      <w:r>
        <w:t>/SRS</w:t>
      </w:r>
      <w:r w:rsidRPr="0088365D">
        <w:t xml:space="preserve"> transmission is conveyed can be inferred from the channel over which the same symbol of another PFL</w:t>
      </w:r>
      <w:r>
        <w:t>/carrier</w:t>
      </w:r>
      <w:r w:rsidRPr="0088365D">
        <w:t xml:space="preserve"> or the aggregated PFL</w:t>
      </w:r>
      <w:r>
        <w:t>s/carriers</w:t>
      </w:r>
      <w:r w:rsidRPr="0088365D">
        <w:t> is conveyed</w:t>
      </w:r>
      <w:r w:rsidR="00DE18DC">
        <w:t>, and</w:t>
      </w:r>
      <w:r>
        <w:t xml:space="preserve"> RAN4 </w:t>
      </w:r>
      <w:r w:rsidRPr="00987EDD">
        <w:t>believes it is better to capture the “single Tx chain” assumption in RAN1 spec</w:t>
      </w:r>
      <w:r w:rsidR="00A310BE">
        <w:t>ification</w:t>
      </w:r>
      <w:bookmarkStart w:id="4" w:name="_GoBack"/>
      <w:bookmarkEnd w:id="4"/>
      <w:r w:rsidRPr="00987EDD">
        <w:t>.</w:t>
      </w:r>
      <w:r>
        <w:t xml:space="preserve"> </w:t>
      </w:r>
    </w:p>
    <w:p w14:paraId="27798B2D" w14:textId="076B20FA" w:rsidR="00C6224D" w:rsidRDefault="00C6224D" w:rsidP="00C94A9E">
      <w:pPr>
        <w:autoSpaceDE/>
        <w:autoSpaceDN/>
        <w:adjustRightInd/>
        <w:rPr>
          <w:lang w:eastAsia="zh-CN"/>
        </w:rPr>
      </w:pPr>
      <w:r>
        <w:rPr>
          <w:rFonts w:hint="eastAsia"/>
          <w:lang w:eastAsia="zh-CN"/>
        </w:rPr>
        <w:t>B</w:t>
      </w:r>
      <w:r>
        <w:rPr>
          <w:lang w:eastAsia="zh-CN"/>
        </w:rPr>
        <w:t>ased on our understanding, there are two reasons that this condition should be captured in RAN1 specification.</w:t>
      </w:r>
    </w:p>
    <w:p w14:paraId="33DCC042" w14:textId="7041BB30" w:rsidR="00C6224D" w:rsidRPr="00153F2F" w:rsidRDefault="00C6224D" w:rsidP="00C94A9E">
      <w:pPr>
        <w:autoSpaceDE/>
        <w:autoSpaceDN/>
        <w:adjustRightInd/>
        <w:rPr>
          <w:b/>
          <w:lang w:eastAsia="zh-CN"/>
        </w:rPr>
      </w:pPr>
      <w:r>
        <w:rPr>
          <w:rFonts w:hint="eastAsia"/>
          <w:b/>
          <w:lang w:eastAsia="zh-CN"/>
        </w:rPr>
        <w:t>R</w:t>
      </w:r>
      <w:r>
        <w:rPr>
          <w:b/>
          <w:lang w:eastAsia="zh-CN"/>
        </w:rPr>
        <w:t xml:space="preserve">eason 1: </w:t>
      </w:r>
      <w:r>
        <w:t>The definition provided by RAN4 is quite similar to</w:t>
      </w:r>
      <w:r w:rsidRPr="00FD2BEF">
        <w:t xml:space="preserve"> the definition of antenna port in TS</w:t>
      </w:r>
      <w:r>
        <w:t xml:space="preserve"> </w:t>
      </w:r>
      <w:r w:rsidRPr="00FD2BEF">
        <w:t xml:space="preserve">38.211 </w:t>
      </w:r>
      <w:r w:rsidRPr="00FD2BEF">
        <w:fldChar w:fldCharType="begin"/>
      </w:r>
      <w:r w:rsidRPr="00FD2BEF">
        <w:instrText xml:space="preserve"> REF _Ref141695034 \r \h </w:instrText>
      </w:r>
      <w:r w:rsidRPr="00FD2BEF">
        <w:fldChar w:fldCharType="separate"/>
      </w:r>
      <w:r w:rsidRPr="00FD2BEF">
        <w:t>[2]</w:t>
      </w:r>
      <w:r w:rsidRPr="00FD2BEF">
        <w:fldChar w:fldCharType="end"/>
      </w:r>
      <w:r w:rsidRPr="00FD2BEF">
        <w:t>.</w:t>
      </w:r>
    </w:p>
    <w:tbl>
      <w:tblPr>
        <w:tblStyle w:val="10"/>
        <w:tblW w:w="0" w:type="auto"/>
        <w:tblLook w:val="04A0" w:firstRow="1" w:lastRow="0" w:firstColumn="1" w:lastColumn="0" w:noHBand="0" w:noVBand="1"/>
      </w:tblPr>
      <w:tblGrid>
        <w:gridCol w:w="9307"/>
      </w:tblGrid>
      <w:tr w:rsidR="00C94A9E" w:rsidRPr="00FD2BEF" w14:paraId="7FC789AC" w14:textId="77777777" w:rsidTr="00184FBE">
        <w:tc>
          <w:tcPr>
            <w:tcW w:w="9307" w:type="dxa"/>
          </w:tcPr>
          <w:p w14:paraId="3962ACF2" w14:textId="77777777" w:rsidR="00C94A9E" w:rsidRPr="00FD2BEF" w:rsidRDefault="00C94A9E" w:rsidP="00184FBE">
            <w:pPr>
              <w:keepNext/>
              <w:keepLines/>
              <w:autoSpaceDE/>
              <w:autoSpaceDN/>
              <w:adjustRightInd/>
              <w:spacing w:before="120" w:after="180"/>
              <w:outlineLvl w:val="2"/>
              <w:rPr>
                <w:rFonts w:ascii="Arial" w:eastAsia="等线" w:hAnsi="Arial"/>
                <w:sz w:val="28"/>
                <w:szCs w:val="20"/>
                <w:lang w:val="en-GB"/>
              </w:rPr>
            </w:pPr>
            <w:bookmarkStart w:id="5" w:name="_Toc19796382"/>
            <w:bookmarkStart w:id="6" w:name="_Toc26459608"/>
            <w:bookmarkStart w:id="7" w:name="_Toc29230252"/>
            <w:bookmarkStart w:id="8" w:name="_Toc36026511"/>
            <w:bookmarkStart w:id="9" w:name="_Toc45107350"/>
            <w:bookmarkStart w:id="10" w:name="_Toc51774019"/>
            <w:bookmarkStart w:id="11" w:name="_Toc106014708"/>
            <w:r w:rsidRPr="00FD2BEF">
              <w:rPr>
                <w:rFonts w:ascii="Arial" w:eastAsia="等线" w:hAnsi="Arial"/>
                <w:sz w:val="28"/>
                <w:szCs w:val="20"/>
                <w:lang w:val="en-GB"/>
              </w:rPr>
              <w:lastRenderedPageBreak/>
              <w:t>4.4.1</w:t>
            </w:r>
            <w:r w:rsidRPr="00FD2BEF">
              <w:rPr>
                <w:rFonts w:ascii="Arial" w:eastAsia="等线" w:hAnsi="Arial"/>
                <w:sz w:val="28"/>
                <w:szCs w:val="20"/>
                <w:lang w:val="en-GB"/>
              </w:rPr>
              <w:tab/>
              <w:t>Antenna ports</w:t>
            </w:r>
            <w:bookmarkEnd w:id="5"/>
            <w:bookmarkEnd w:id="6"/>
            <w:bookmarkEnd w:id="7"/>
            <w:bookmarkEnd w:id="8"/>
            <w:bookmarkEnd w:id="9"/>
            <w:bookmarkEnd w:id="10"/>
            <w:bookmarkEnd w:id="11"/>
          </w:p>
          <w:p w14:paraId="19918C7E" w14:textId="77777777" w:rsidR="00C94A9E" w:rsidRPr="00FD2BEF" w:rsidRDefault="00C94A9E" w:rsidP="00184FBE">
            <w:pPr>
              <w:autoSpaceDE/>
              <w:autoSpaceDN/>
              <w:adjustRightInd/>
              <w:spacing w:after="180"/>
              <w:rPr>
                <w:rFonts w:eastAsia="等线"/>
                <w:lang w:val="en-GB"/>
              </w:rPr>
            </w:pPr>
            <w:r w:rsidRPr="00FD2BEF">
              <w:rPr>
                <w:rFonts w:eastAsia="等线"/>
                <w:lang w:val="en-GB"/>
              </w:rPr>
              <w:t xml:space="preserve">An antenna port is defined such that the channel over which a symbol on the antenna port is conveyed can be inferred from the channel over which another symbol on the same antenna port is conveyed. </w:t>
            </w:r>
          </w:p>
        </w:tc>
      </w:tr>
    </w:tbl>
    <w:p w14:paraId="24F98BC3" w14:textId="369D4904" w:rsidR="00C94A9E" w:rsidRDefault="00C94A9E" w:rsidP="00C94A9E">
      <w:pPr>
        <w:spacing w:beforeLines="50" w:before="120" w:afterLines="50"/>
      </w:pPr>
      <w:r>
        <w:t xml:space="preserve">According to the definition of antenna port, the same antenna port has the </w:t>
      </w:r>
      <w:r w:rsidRPr="00FD2BEF">
        <w:t>same channel property</w:t>
      </w:r>
      <w:r>
        <w:t xml:space="preserve">. </w:t>
      </w:r>
      <w:r w:rsidR="00C6224D">
        <w:t xml:space="preserve">The </w:t>
      </w:r>
      <w:r>
        <w:t xml:space="preserve">channel </w:t>
      </w:r>
      <w:r w:rsidR="00C6224D">
        <w:t xml:space="preserve">at </w:t>
      </w:r>
      <w:r>
        <w:t>different frequenc</w:t>
      </w:r>
      <w:r w:rsidR="00C6224D">
        <w:t>ies</w:t>
      </w:r>
      <w:r>
        <w:t xml:space="preserve"> of same antenna port can be seen as the different CFRs of different frequencies of same </w:t>
      </w:r>
      <w:r w:rsidRPr="00174C60">
        <w:t>CIR</w:t>
      </w:r>
      <w:r>
        <w:t xml:space="preserve">. For example, </w:t>
      </w:r>
      <w:r w:rsidRPr="00174C60">
        <w:t>for a 100MHz PRS (single CC)</w:t>
      </w:r>
      <w:r>
        <w:t xml:space="preserve"> transmitted by the same antenna port</w:t>
      </w:r>
      <w:r w:rsidRPr="00174C60">
        <w:t>, the upper 50</w:t>
      </w:r>
      <w:r w:rsidRPr="00174C60">
        <w:rPr>
          <w:rFonts w:hint="eastAsia"/>
        </w:rPr>
        <w:t>MHz</w:t>
      </w:r>
      <w:r w:rsidRPr="00174C60">
        <w:t xml:space="preserve"> </w:t>
      </w:r>
      <w:r>
        <w:t>channel can</w:t>
      </w:r>
      <w:r w:rsidRPr="00174C60">
        <w:t xml:space="preserve"> be </w:t>
      </w:r>
      <w:r>
        <w:t xml:space="preserve">inferred by the lower </w:t>
      </w:r>
      <w:r w:rsidRPr="00174C60">
        <w:t>50MHz</w:t>
      </w:r>
      <w:r>
        <w:t xml:space="preserve"> </w:t>
      </w:r>
      <w:r>
        <w:rPr>
          <w:rFonts w:hint="eastAsia"/>
        </w:rPr>
        <w:t>channel</w:t>
      </w:r>
      <w:r w:rsidR="00C6224D">
        <w:t xml:space="preserve"> or the entire 100MHz channel</w:t>
      </w:r>
      <w:r>
        <w:t xml:space="preserve"> because </w:t>
      </w:r>
      <w:r w:rsidRPr="00174C60">
        <w:t>the channel (CIR) is common to both 50MHz frequency chunks.</w:t>
      </w:r>
      <w:r>
        <w:t xml:space="preserve"> The aggregated channel containing different PFLs/carriers with the same antenna port can be seen as a larger bandwidth channel with the same antenna port. Therefore, the CIR of different PFLs/carriers is the same and the </w:t>
      </w:r>
      <w:r w:rsidRPr="0088365D">
        <w:t>channel on one PFL</w:t>
      </w:r>
      <w:r>
        <w:t>/carrier</w:t>
      </w:r>
      <w:r w:rsidRPr="0088365D">
        <w:t xml:space="preserve"> for PRS</w:t>
      </w:r>
      <w:r>
        <w:t>/SRS</w:t>
      </w:r>
      <w:r w:rsidRPr="0088365D">
        <w:t xml:space="preserve"> transmission can be inferred from the channel of another PFL</w:t>
      </w:r>
      <w:r>
        <w:t xml:space="preserve">/carrier. </w:t>
      </w:r>
    </w:p>
    <w:p w14:paraId="78D09F74" w14:textId="0EDE2650" w:rsidR="00C6224D" w:rsidRPr="00C6224D" w:rsidRDefault="00C6224D" w:rsidP="00C94A9E">
      <w:pPr>
        <w:rPr>
          <w:lang w:eastAsia="zh-CN"/>
        </w:rPr>
      </w:pPr>
      <w:r>
        <w:rPr>
          <w:b/>
          <w:lang w:eastAsia="zh-CN"/>
        </w:rPr>
        <w:t xml:space="preserve">Reason 2: </w:t>
      </w:r>
      <w:r>
        <w:rPr>
          <w:lang w:eastAsia="zh-CN"/>
        </w:rPr>
        <w:t xml:space="preserve">Currently RAN4 consideration is from Rx performance perspective, and the requirement at the Tx is considered as the side condition to derive the performance. For some measurements, e.g. UL RTOA, for which RAN4 have not specified any requirement, the side condition cannot be covered. It would also be very strange that </w:t>
      </w:r>
      <w:r w:rsidR="00442231">
        <w:rPr>
          <w:lang w:eastAsia="zh-CN"/>
        </w:rPr>
        <w:t xml:space="preserve">there could be requirement for SRS Tx when </w:t>
      </w:r>
      <w:proofErr w:type="spellStart"/>
      <w:r w:rsidR="00442231">
        <w:rPr>
          <w:lang w:eastAsia="zh-CN"/>
        </w:rPr>
        <w:t>gNB</w:t>
      </w:r>
      <w:proofErr w:type="spellEnd"/>
      <w:r w:rsidR="00442231">
        <w:rPr>
          <w:lang w:eastAsia="zh-CN"/>
        </w:rPr>
        <w:t xml:space="preserve"> </w:t>
      </w:r>
      <w:r w:rsidR="006F2D49">
        <w:rPr>
          <w:lang w:eastAsia="zh-CN"/>
        </w:rPr>
        <w:t>perform</w:t>
      </w:r>
      <w:r w:rsidR="00111563">
        <w:rPr>
          <w:lang w:eastAsia="zh-CN"/>
        </w:rPr>
        <w:t>s</w:t>
      </w:r>
      <w:r w:rsidR="00442231">
        <w:rPr>
          <w:lang w:eastAsia="zh-CN"/>
        </w:rPr>
        <w:t xml:space="preserve"> </w:t>
      </w:r>
      <w:proofErr w:type="spellStart"/>
      <w:r w:rsidR="00442231">
        <w:rPr>
          <w:lang w:eastAsia="zh-CN"/>
        </w:rPr>
        <w:t>gNB</w:t>
      </w:r>
      <w:proofErr w:type="spellEnd"/>
      <w:r w:rsidR="00442231">
        <w:rPr>
          <w:lang w:eastAsia="zh-CN"/>
        </w:rPr>
        <w:t xml:space="preserve"> Rx – Tx time difference measurement and no requirement when </w:t>
      </w:r>
      <w:proofErr w:type="spellStart"/>
      <w:r w:rsidR="00442231">
        <w:rPr>
          <w:lang w:eastAsia="zh-CN"/>
        </w:rPr>
        <w:t>gNB</w:t>
      </w:r>
      <w:proofErr w:type="spellEnd"/>
      <w:r w:rsidR="00442231">
        <w:rPr>
          <w:lang w:eastAsia="zh-CN"/>
        </w:rPr>
        <w:t xml:space="preserve"> </w:t>
      </w:r>
      <w:r w:rsidR="00760511">
        <w:rPr>
          <w:lang w:eastAsia="zh-CN"/>
        </w:rPr>
        <w:t xml:space="preserve">performs </w:t>
      </w:r>
      <w:r w:rsidR="00442231">
        <w:rPr>
          <w:lang w:eastAsia="zh-CN"/>
        </w:rPr>
        <w:t>UL RT</w:t>
      </w:r>
      <w:r w:rsidR="00442231">
        <w:rPr>
          <w:rFonts w:hint="eastAsia"/>
          <w:lang w:eastAsia="zh-CN"/>
        </w:rPr>
        <w:t>OA</w:t>
      </w:r>
      <w:r w:rsidR="00442231">
        <w:rPr>
          <w:lang w:eastAsia="zh-CN"/>
        </w:rPr>
        <w:t xml:space="preserve"> </w:t>
      </w:r>
      <w:r w:rsidR="00442231">
        <w:rPr>
          <w:rFonts w:hint="eastAsia"/>
          <w:lang w:eastAsia="zh-CN"/>
        </w:rPr>
        <w:t>measu</w:t>
      </w:r>
      <w:r w:rsidR="00442231">
        <w:rPr>
          <w:lang w:eastAsia="zh-CN"/>
        </w:rPr>
        <w:t>rement, while in reality UE transmission of SRS should be agnostic of how gNB is measuring it.</w:t>
      </w:r>
    </w:p>
    <w:p w14:paraId="1473907C" w14:textId="5571075E" w:rsidR="00C94A9E" w:rsidRDefault="00C94A9E" w:rsidP="00C94A9E">
      <w:r>
        <w:t xml:space="preserve">According to above analysis, </w:t>
      </w:r>
      <w:r w:rsidR="00442231">
        <w:t xml:space="preserve">we think that </w:t>
      </w:r>
      <w:r w:rsidRPr="00FD2BEF">
        <w:t>RAN1 should capture transmission procedure of bandwidth aggregation for positioning measurement as same antenna port in specification</w:t>
      </w:r>
      <w:r w:rsidR="00760511">
        <w:t xml:space="preserve"> as the proposed TP as in </w:t>
      </w:r>
      <w:r w:rsidR="002875D0">
        <w:t xml:space="preserve">the companion paper </w:t>
      </w:r>
      <w:r w:rsidR="002875D0">
        <w:fldChar w:fldCharType="begin"/>
      </w:r>
      <w:r w:rsidR="002875D0">
        <w:instrText xml:space="preserve"> REF _Ref158024297 \n \h </w:instrText>
      </w:r>
      <w:r w:rsidR="002875D0">
        <w:fldChar w:fldCharType="separate"/>
      </w:r>
      <w:r w:rsidR="002875D0">
        <w:t>[3]</w:t>
      </w:r>
      <w:r w:rsidR="002875D0">
        <w:fldChar w:fldCharType="end"/>
      </w:r>
      <w:r w:rsidRPr="00FD2BEF">
        <w:t>.</w:t>
      </w:r>
      <w:r>
        <w:t xml:space="preserve"> We have the following proposal.</w:t>
      </w:r>
    </w:p>
    <w:p w14:paraId="307A93F4" w14:textId="77777777" w:rsidR="00C94A9E" w:rsidRDefault="00C94A9E" w:rsidP="00C94A9E"/>
    <w:p w14:paraId="698AC63D" w14:textId="6C348AA5" w:rsidR="00C94A9E" w:rsidRDefault="00C94A9E" w:rsidP="00C94A9E">
      <w:pPr>
        <w:rPr>
          <w:b/>
          <w:i/>
        </w:rPr>
      </w:pPr>
      <w:r w:rsidRPr="00FD2BEF">
        <w:rPr>
          <w:b/>
          <w:i/>
        </w:rPr>
        <w:t xml:space="preserve">Proposal 1: </w:t>
      </w:r>
      <w:bookmarkStart w:id="12" w:name="_Hlk157095936"/>
      <w:r w:rsidRPr="00FD2BEF">
        <w:rPr>
          <w:b/>
          <w:i/>
        </w:rPr>
        <w:t xml:space="preserve">RAN1 </w:t>
      </w:r>
      <w:r w:rsidR="00442231">
        <w:rPr>
          <w:b/>
          <w:i/>
        </w:rPr>
        <w:t>confirm</w:t>
      </w:r>
      <w:r w:rsidR="002875D0">
        <w:rPr>
          <w:b/>
          <w:i/>
        </w:rPr>
        <w:t>s</w:t>
      </w:r>
      <w:r w:rsidR="00442231">
        <w:rPr>
          <w:b/>
          <w:i/>
        </w:rPr>
        <w:t xml:space="preserve"> to RAN4 that RAN1 will </w:t>
      </w:r>
      <w:r>
        <w:rPr>
          <w:b/>
          <w:i/>
        </w:rPr>
        <w:t xml:space="preserve">capture </w:t>
      </w:r>
      <w:r w:rsidRPr="00B870F9">
        <w:rPr>
          <w:b/>
          <w:i/>
        </w:rPr>
        <w:t>the single Tx chain</w:t>
      </w:r>
      <w:r w:rsidRPr="00FD2BEF">
        <w:rPr>
          <w:b/>
          <w:i/>
        </w:rPr>
        <w:t xml:space="preserve"> condition</w:t>
      </w:r>
      <w:r>
        <w:rPr>
          <w:b/>
          <w:i/>
        </w:rPr>
        <w:t xml:space="preserve"> for the transmission of aggregated PRS/SRS resources by TRP/UE</w:t>
      </w:r>
      <w:r w:rsidRPr="00FD2BEF">
        <w:rPr>
          <w:b/>
          <w:i/>
        </w:rPr>
        <w:t xml:space="preserve"> from intra-band contiguous carriers</w:t>
      </w:r>
      <w:r>
        <w:rPr>
          <w:b/>
          <w:i/>
        </w:rPr>
        <w:t xml:space="preserve"> as same antenna port in specification.</w:t>
      </w:r>
      <w:bookmarkEnd w:id="12"/>
      <w:r>
        <w:rPr>
          <w:b/>
          <w:i/>
        </w:rPr>
        <w:t xml:space="preserve"> </w:t>
      </w:r>
      <w:r w:rsidR="002875D0">
        <w:rPr>
          <w:b/>
          <w:i/>
        </w:rPr>
        <w:t>The TP</w:t>
      </w:r>
      <w:r w:rsidR="00852714" w:rsidRPr="00852714">
        <w:rPr>
          <w:b/>
          <w:i/>
        </w:rPr>
        <w:t xml:space="preserve"> </w:t>
      </w:r>
      <w:r w:rsidR="00852714">
        <w:rPr>
          <w:b/>
          <w:i/>
        </w:rPr>
        <w:t>once approved</w:t>
      </w:r>
      <w:r w:rsidR="002875D0">
        <w:rPr>
          <w:b/>
          <w:i/>
        </w:rPr>
        <w:t xml:space="preserve"> can be attached </w:t>
      </w:r>
      <w:r w:rsidR="009545C2">
        <w:rPr>
          <w:b/>
          <w:i/>
        </w:rPr>
        <w:t>in the reply LS</w:t>
      </w:r>
      <w:r w:rsidR="002875D0">
        <w:rPr>
          <w:b/>
          <w:i/>
        </w:rPr>
        <w:t xml:space="preserve">. </w:t>
      </w:r>
    </w:p>
    <w:p w14:paraId="0BE400C2" w14:textId="77777777" w:rsidR="00C94A9E" w:rsidRDefault="00C94A9E" w:rsidP="00C94A9E">
      <w:pPr>
        <w:rPr>
          <w:b/>
          <w:i/>
        </w:rPr>
      </w:pPr>
    </w:p>
    <w:p w14:paraId="44FDC9D9" w14:textId="77777777" w:rsidR="00C94A9E" w:rsidRPr="00FD2BEF" w:rsidRDefault="00C94A9E" w:rsidP="00C94A9E">
      <w:pPr>
        <w:keepNext/>
        <w:numPr>
          <w:ilvl w:val="0"/>
          <w:numId w:val="17"/>
        </w:numPr>
        <w:tabs>
          <w:tab w:val="clear" w:pos="432"/>
          <w:tab w:val="num" w:pos="360"/>
        </w:tabs>
        <w:spacing w:before="120"/>
        <w:ind w:left="0" w:firstLine="0"/>
        <w:outlineLvl w:val="0"/>
        <w:rPr>
          <w:b/>
          <w:bCs/>
          <w:sz w:val="28"/>
          <w:szCs w:val="28"/>
        </w:rPr>
      </w:pPr>
      <w:r w:rsidRPr="00FD2BEF">
        <w:rPr>
          <w:rFonts w:hint="eastAsia"/>
          <w:b/>
          <w:bCs/>
          <w:sz w:val="28"/>
          <w:szCs w:val="28"/>
        </w:rPr>
        <w:t>C</w:t>
      </w:r>
      <w:r w:rsidRPr="00FD2BEF">
        <w:rPr>
          <w:b/>
          <w:bCs/>
          <w:sz w:val="28"/>
          <w:szCs w:val="28"/>
        </w:rPr>
        <w:t>onclusion</w:t>
      </w:r>
    </w:p>
    <w:p w14:paraId="57356C96" w14:textId="77777777" w:rsidR="00C94A9E" w:rsidRDefault="00C94A9E" w:rsidP="00C94A9E">
      <w:r w:rsidRPr="00FD2BEF">
        <w:rPr>
          <w:rFonts w:hint="eastAsia"/>
        </w:rPr>
        <w:t>I</w:t>
      </w:r>
      <w:r w:rsidRPr="00FD2BEF">
        <w:t xml:space="preserve">n this paper, we discuss the RAN4 LS on bandwidth aggregation procedure for positioning measurement. Based on the discussion, we have the following </w:t>
      </w:r>
      <w:r>
        <w:t>proposal:</w:t>
      </w:r>
    </w:p>
    <w:p w14:paraId="73FF4A3C" w14:textId="08028CE1" w:rsidR="001B3F4E" w:rsidRDefault="001B3F4E" w:rsidP="001B3F4E">
      <w:pPr>
        <w:rPr>
          <w:b/>
          <w:i/>
        </w:rPr>
      </w:pPr>
      <w:r w:rsidRPr="00FD2BEF">
        <w:rPr>
          <w:b/>
          <w:i/>
        </w:rPr>
        <w:t xml:space="preserve">Proposal 1: RAN1 </w:t>
      </w:r>
      <w:r>
        <w:rPr>
          <w:b/>
          <w:i/>
        </w:rPr>
        <w:t xml:space="preserve">confirms to RAN4 that RAN1 will capture </w:t>
      </w:r>
      <w:r w:rsidRPr="00B870F9">
        <w:rPr>
          <w:b/>
          <w:i/>
        </w:rPr>
        <w:t>the single Tx chain</w:t>
      </w:r>
      <w:r w:rsidRPr="00FD2BEF">
        <w:rPr>
          <w:b/>
          <w:i/>
        </w:rPr>
        <w:t xml:space="preserve"> condition</w:t>
      </w:r>
      <w:r>
        <w:rPr>
          <w:b/>
          <w:i/>
        </w:rPr>
        <w:t xml:space="preserve"> for the transmission of aggregated PRS/SRS resources by TRP/UE</w:t>
      </w:r>
      <w:r w:rsidRPr="00FD2BEF">
        <w:rPr>
          <w:b/>
          <w:i/>
        </w:rPr>
        <w:t xml:space="preserve"> from intra-band contiguous carriers</w:t>
      </w:r>
      <w:r>
        <w:rPr>
          <w:b/>
          <w:i/>
        </w:rPr>
        <w:t xml:space="preserve"> as same antenna port in specification. The TP</w:t>
      </w:r>
      <w:r w:rsidRPr="00852714">
        <w:rPr>
          <w:b/>
          <w:i/>
        </w:rPr>
        <w:t xml:space="preserve"> </w:t>
      </w:r>
      <w:r>
        <w:rPr>
          <w:b/>
          <w:i/>
        </w:rPr>
        <w:t xml:space="preserve">once approved can be attached in the reply LS. </w:t>
      </w:r>
    </w:p>
    <w:p w14:paraId="356503E9" w14:textId="77777777" w:rsidR="00C94A9E" w:rsidRPr="00FD2BEF" w:rsidRDefault="00C94A9E" w:rsidP="00C94A9E">
      <w:pPr>
        <w:autoSpaceDE/>
        <w:autoSpaceDN/>
        <w:adjustRightInd/>
      </w:pPr>
    </w:p>
    <w:p w14:paraId="7F53D616" w14:textId="77777777" w:rsidR="00C94A9E" w:rsidRPr="00FD2BEF" w:rsidRDefault="00C94A9E" w:rsidP="00C94A9E">
      <w:pPr>
        <w:keepNext/>
        <w:spacing w:before="120"/>
        <w:ind w:left="432" w:hanging="432"/>
        <w:outlineLvl w:val="0"/>
        <w:rPr>
          <w:b/>
          <w:bCs/>
          <w:sz w:val="28"/>
          <w:szCs w:val="28"/>
        </w:rPr>
      </w:pPr>
      <w:r w:rsidRPr="00FD2BEF">
        <w:rPr>
          <w:rFonts w:hint="eastAsia"/>
          <w:b/>
          <w:bCs/>
          <w:sz w:val="28"/>
          <w:szCs w:val="28"/>
        </w:rPr>
        <w:t>R</w:t>
      </w:r>
      <w:r w:rsidRPr="00FD2BEF">
        <w:rPr>
          <w:b/>
          <w:bCs/>
          <w:sz w:val="28"/>
          <w:szCs w:val="28"/>
        </w:rPr>
        <w:t>eference</w:t>
      </w:r>
    </w:p>
    <w:p w14:paraId="4E48FF08" w14:textId="54269C0B" w:rsidR="00C94A9E" w:rsidRPr="00FD2BEF" w:rsidRDefault="00932F50" w:rsidP="00C94A9E">
      <w:pPr>
        <w:numPr>
          <w:ilvl w:val="0"/>
          <w:numId w:val="4"/>
        </w:numPr>
        <w:adjustRightInd/>
        <w:spacing w:after="60"/>
        <w:rPr>
          <w:color w:val="000000"/>
          <w:sz w:val="20"/>
          <w:szCs w:val="16"/>
        </w:rPr>
      </w:pPr>
      <w:bookmarkStart w:id="13" w:name="_Hlk157757314"/>
      <w:bookmarkStart w:id="14" w:name="_Ref141693254"/>
      <w:r w:rsidRPr="00932F50">
        <w:rPr>
          <w:color w:val="000000"/>
          <w:sz w:val="20"/>
          <w:szCs w:val="16"/>
        </w:rPr>
        <w:t>R1-2400020 (R4-2321599)</w:t>
      </w:r>
      <w:bookmarkEnd w:id="13"/>
      <w:r w:rsidRPr="00932F50">
        <w:rPr>
          <w:color w:val="000000"/>
          <w:sz w:val="20"/>
          <w:szCs w:val="16"/>
        </w:rPr>
        <w:t xml:space="preserve">, </w:t>
      </w:r>
      <w:bookmarkStart w:id="15" w:name="_Hlk157757335"/>
      <w:r w:rsidRPr="00932F50">
        <w:rPr>
          <w:color w:val="000000"/>
          <w:sz w:val="20"/>
          <w:szCs w:val="16"/>
        </w:rPr>
        <w:t>Reply LS on measurement definitions for positioning with bandwidth aggregation</w:t>
      </w:r>
      <w:bookmarkEnd w:id="15"/>
      <w:r w:rsidRPr="00932F50">
        <w:rPr>
          <w:color w:val="000000"/>
          <w:sz w:val="20"/>
          <w:szCs w:val="16"/>
        </w:rPr>
        <w:t>, RAN1#116, Athens, Greece, 26 February – 1 March, 2024.</w:t>
      </w:r>
      <w:bookmarkEnd w:id="14"/>
    </w:p>
    <w:p w14:paraId="0ACEC0A5" w14:textId="4B38186F" w:rsidR="0031482A" w:rsidRDefault="00C94A9E" w:rsidP="00C94A9E">
      <w:pPr>
        <w:numPr>
          <w:ilvl w:val="0"/>
          <w:numId w:val="4"/>
        </w:numPr>
        <w:adjustRightInd/>
        <w:spacing w:after="60"/>
        <w:rPr>
          <w:color w:val="000000"/>
          <w:sz w:val="20"/>
          <w:szCs w:val="16"/>
        </w:rPr>
      </w:pPr>
      <w:bookmarkStart w:id="16" w:name="_Ref141695034"/>
      <w:r w:rsidRPr="00FD2BEF">
        <w:rPr>
          <w:color w:val="000000"/>
          <w:sz w:val="20"/>
          <w:szCs w:val="16"/>
        </w:rPr>
        <w:t>TS 38.211, Physical channels and modulation (Release 17).</w:t>
      </w:r>
      <w:bookmarkEnd w:id="16"/>
    </w:p>
    <w:p w14:paraId="420E30A4" w14:textId="06AA121D" w:rsidR="00760511" w:rsidRPr="00C94A9E" w:rsidRDefault="0077163A" w:rsidP="00C94A9E">
      <w:pPr>
        <w:numPr>
          <w:ilvl w:val="0"/>
          <w:numId w:val="4"/>
        </w:numPr>
        <w:adjustRightInd/>
        <w:spacing w:after="60"/>
        <w:rPr>
          <w:color w:val="000000"/>
          <w:sz w:val="20"/>
          <w:szCs w:val="16"/>
        </w:rPr>
      </w:pPr>
      <w:bookmarkStart w:id="17" w:name="_Ref158024297"/>
      <w:r w:rsidRPr="0077163A">
        <w:rPr>
          <w:color w:val="000000"/>
          <w:sz w:val="20"/>
          <w:szCs w:val="16"/>
        </w:rPr>
        <w:t>R1-240013</w:t>
      </w:r>
      <w:r>
        <w:rPr>
          <w:color w:val="000000"/>
          <w:sz w:val="20"/>
          <w:szCs w:val="16"/>
        </w:rPr>
        <w:t xml:space="preserve">8, </w:t>
      </w:r>
      <w:r w:rsidRPr="0077163A">
        <w:rPr>
          <w:color w:val="000000"/>
          <w:sz w:val="20"/>
          <w:szCs w:val="16"/>
        </w:rPr>
        <w:t>Maintenance of expanded and improved NR positioning</w:t>
      </w:r>
      <w:r w:rsidR="005044D2">
        <w:rPr>
          <w:color w:val="000000"/>
          <w:sz w:val="20"/>
          <w:szCs w:val="16"/>
        </w:rPr>
        <w:t xml:space="preserve">, Huawei, </w:t>
      </w:r>
      <w:proofErr w:type="spellStart"/>
      <w:r w:rsidR="005044D2">
        <w:rPr>
          <w:color w:val="000000"/>
          <w:sz w:val="20"/>
          <w:szCs w:val="16"/>
        </w:rPr>
        <w:t>HiSilicon</w:t>
      </w:r>
      <w:proofErr w:type="spellEnd"/>
      <w:r w:rsidR="005044D2">
        <w:rPr>
          <w:color w:val="000000"/>
          <w:sz w:val="20"/>
          <w:szCs w:val="16"/>
        </w:rPr>
        <w:t xml:space="preserve">, </w:t>
      </w:r>
      <w:r w:rsidR="005044D2" w:rsidRPr="00932F50">
        <w:rPr>
          <w:color w:val="000000"/>
          <w:sz w:val="20"/>
          <w:szCs w:val="16"/>
        </w:rPr>
        <w:t>RAN1#116, Athens, Greece, 26 February – 1 March, 2024</w:t>
      </w:r>
      <w:r w:rsidR="00D81A00">
        <w:rPr>
          <w:color w:val="000000"/>
          <w:sz w:val="20"/>
          <w:szCs w:val="16"/>
        </w:rPr>
        <w:t>.</w:t>
      </w:r>
      <w:bookmarkEnd w:id="17"/>
      <w:r w:rsidR="00D81A00">
        <w:rPr>
          <w:color w:val="000000"/>
          <w:sz w:val="20"/>
          <w:szCs w:val="16"/>
        </w:rPr>
        <w:t xml:space="preserve"> </w:t>
      </w:r>
    </w:p>
    <w:sectPr w:rsidR="00760511" w:rsidRPr="00C94A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1988C" w14:textId="77777777" w:rsidR="00DB28A7" w:rsidRDefault="00DB28A7">
      <w:r>
        <w:separator/>
      </w:r>
    </w:p>
  </w:endnote>
  <w:endnote w:type="continuationSeparator" w:id="0">
    <w:p w14:paraId="4F6DF84F" w14:textId="77777777" w:rsidR="00DB28A7" w:rsidRDefault="00DB28A7">
      <w:r>
        <w:continuationSeparator/>
      </w:r>
    </w:p>
  </w:endnote>
  <w:endnote w:type="continuationNotice" w:id="1">
    <w:p w14:paraId="33B19BE8" w14:textId="77777777" w:rsidR="00DB28A7" w:rsidRDefault="00DB2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0380E" w14:textId="77777777" w:rsidR="00DB28A7" w:rsidRDefault="00DB28A7">
      <w:r>
        <w:separator/>
      </w:r>
    </w:p>
  </w:footnote>
  <w:footnote w:type="continuationSeparator" w:id="0">
    <w:p w14:paraId="10F7B530" w14:textId="77777777" w:rsidR="00DB28A7" w:rsidRDefault="00DB28A7">
      <w:r>
        <w:continuationSeparator/>
      </w:r>
    </w:p>
  </w:footnote>
  <w:footnote w:type="continuationNotice" w:id="1">
    <w:p w14:paraId="22741E49" w14:textId="77777777" w:rsidR="00DB28A7" w:rsidRDefault="00DB28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6"/>
  </w:num>
  <w:num w:numId="4">
    <w:abstractNumId w:val="9"/>
  </w:num>
  <w:num w:numId="5">
    <w:abstractNumId w:val="12"/>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1"/>
  </w:num>
  <w:num w:numId="14">
    <w:abstractNumId w:val="2"/>
  </w:num>
  <w:num w:numId="15">
    <w:abstractNumId w:val="10"/>
  </w:num>
  <w:num w:numId="16">
    <w:abstractNumId w:val="15"/>
  </w:num>
  <w:num w:numId="17">
    <w:abstractNumId w:val="13"/>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5F94"/>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627"/>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813"/>
    <w:rsid w:val="0010505A"/>
    <w:rsid w:val="00105440"/>
    <w:rsid w:val="00105CC7"/>
    <w:rsid w:val="00107779"/>
    <w:rsid w:val="001078C2"/>
    <w:rsid w:val="00107E1C"/>
    <w:rsid w:val="00110243"/>
    <w:rsid w:val="001112C4"/>
    <w:rsid w:val="00111444"/>
    <w:rsid w:val="00111563"/>
    <w:rsid w:val="00111723"/>
    <w:rsid w:val="001129B5"/>
    <w:rsid w:val="00112BE6"/>
    <w:rsid w:val="00112CC8"/>
    <w:rsid w:val="001141E3"/>
    <w:rsid w:val="001144DF"/>
    <w:rsid w:val="0011557B"/>
    <w:rsid w:val="00117C85"/>
    <w:rsid w:val="00120B13"/>
    <w:rsid w:val="0012182E"/>
    <w:rsid w:val="001226D4"/>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3F2F"/>
    <w:rsid w:val="0015429C"/>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8F8"/>
    <w:rsid w:val="001A496E"/>
    <w:rsid w:val="001A673E"/>
    <w:rsid w:val="001A6C24"/>
    <w:rsid w:val="001A7763"/>
    <w:rsid w:val="001B3964"/>
    <w:rsid w:val="001B3F4E"/>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5D36"/>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875D0"/>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90"/>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5E5"/>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56D"/>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573"/>
    <w:rsid w:val="00335B75"/>
    <w:rsid w:val="00335D8C"/>
    <w:rsid w:val="00336072"/>
    <w:rsid w:val="003363A1"/>
    <w:rsid w:val="00341CD2"/>
    <w:rsid w:val="0034226D"/>
    <w:rsid w:val="00342972"/>
    <w:rsid w:val="00342FDD"/>
    <w:rsid w:val="0034429B"/>
    <w:rsid w:val="00344866"/>
    <w:rsid w:val="003459C3"/>
    <w:rsid w:val="0034638C"/>
    <w:rsid w:val="00346F7F"/>
    <w:rsid w:val="00347492"/>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3E4D"/>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1C45"/>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A05"/>
    <w:rsid w:val="003F4CED"/>
    <w:rsid w:val="003F5561"/>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231"/>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03B"/>
    <w:rsid w:val="0048540F"/>
    <w:rsid w:val="00485970"/>
    <w:rsid w:val="00485AE2"/>
    <w:rsid w:val="00485C0D"/>
    <w:rsid w:val="00486307"/>
    <w:rsid w:val="00486575"/>
    <w:rsid w:val="00486584"/>
    <w:rsid w:val="004866D0"/>
    <w:rsid w:val="00486936"/>
    <w:rsid w:val="00490189"/>
    <w:rsid w:val="00490817"/>
    <w:rsid w:val="0049191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B709C"/>
    <w:rsid w:val="004C01A8"/>
    <w:rsid w:val="004C1840"/>
    <w:rsid w:val="004C24C9"/>
    <w:rsid w:val="004C31B6"/>
    <w:rsid w:val="004C5319"/>
    <w:rsid w:val="004C59A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4D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0FE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05F9"/>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442"/>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0D8"/>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2D49"/>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687"/>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39D7"/>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0E0B"/>
    <w:rsid w:val="00751091"/>
    <w:rsid w:val="00751651"/>
    <w:rsid w:val="00751B83"/>
    <w:rsid w:val="0075417F"/>
    <w:rsid w:val="00754359"/>
    <w:rsid w:val="00754411"/>
    <w:rsid w:val="00754BD9"/>
    <w:rsid w:val="00754E7A"/>
    <w:rsid w:val="0075540C"/>
    <w:rsid w:val="00755DB1"/>
    <w:rsid w:val="007574FC"/>
    <w:rsid w:val="00757CEE"/>
    <w:rsid w:val="00760511"/>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63A"/>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2A36"/>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714"/>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42C"/>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2F50"/>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5C2"/>
    <w:rsid w:val="00954FED"/>
    <w:rsid w:val="00955C0A"/>
    <w:rsid w:val="00955C4F"/>
    <w:rsid w:val="00956F7D"/>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0BE"/>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6591"/>
    <w:rsid w:val="00AF73C3"/>
    <w:rsid w:val="00AF795C"/>
    <w:rsid w:val="00B00752"/>
    <w:rsid w:val="00B026C1"/>
    <w:rsid w:val="00B02B9C"/>
    <w:rsid w:val="00B0353B"/>
    <w:rsid w:val="00B03656"/>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113"/>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24D"/>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4A9E"/>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3B05"/>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1A00"/>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8A7"/>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8D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0BE3"/>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483"/>
    <w:rsid w:val="00E25F89"/>
    <w:rsid w:val="00E26F06"/>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594"/>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4383"/>
    <w:rsid w:val="00E8519F"/>
    <w:rsid w:val="00E85CC3"/>
    <w:rsid w:val="00E8644A"/>
    <w:rsid w:val="00E866CC"/>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5FD"/>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709C"/>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table" w:customStyle="1" w:styleId="10">
    <w:name w:val="网格型1"/>
    <w:basedOn w:val="TableNormal"/>
    <w:next w:val="TableGrid"/>
    <w:qFormat/>
    <w:rsid w:val="00C94A9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430B-5697-4A07-AE27-9CC6667E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17</cp:revision>
  <cp:lastPrinted>2007-06-18T22:08:00Z</cp:lastPrinted>
  <dcterms:created xsi:type="dcterms:W3CDTF">2024-02-02T01:05:00Z</dcterms:created>
  <dcterms:modified xsi:type="dcterms:W3CDTF">2024-02-05T03:26:00Z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(3)TdEW7iHOjquA5q0nucO69MX5Sj+E7wI7NGNAHTQLCjE/255Z4yXTUvnvT6rLYgs2IWdKB7TH
jWkzZ0zdrT8ns/AYHIZNDUYFy2AJJmCNzvApJpYQ3QR1oWWAGdrTzmAry6bk2bCJW99OZQGM
uIc5DItxOWGkWhSZm5OusWnxHhxD+K43lw2r291sStSlS/YArtm/Xz+PKSw2TUYHZ+XL9VbU
ihWwm9O87YQkgN3rY/</vt:lpwstr>
  </property>
  <property fmtid="{D5CDD505-2E9C-101B-9397-08002B2CF9AE}" pid="13" name="_2015_ms_pID_725343_00">
    <vt:lpwstr>_2015_ms_pID_725343</vt:lpwstr>
  </property>
  <property fmtid="{D5CDD505-2E9C-101B-9397-08002B2CF9AE}" pid="14" name="_2015_ms_pID_7253431">
    <vt:lpwstr>mk6fJhHf51Of6b5qzOODZjR7ExNwQ+2htzrnLNcwVDuMNPa3u+rylw
7qtU/8iMxW+nlOd7+Y8+jhIPpAfq6KD2TsomE7+vMApitly5WCeN/LjWTRrfbf4Jne69PrQK
LKNjPYTMreh8Y9mi+7wSWW+yHEtDAc+U+GzvfmOhdBrrMirZUHvNFJ7N+aL+kwbZTmn8c4/C
UmIOmK6n4stZgPvPQCnsLZ/ZK8yP2h4Rfqg4</vt:lpwstr>
  </property>
  <property fmtid="{D5CDD505-2E9C-101B-9397-08002B2CF9AE}" pid="15" name="_2015_ms_pID_7253431_00">
    <vt:lpwstr>_2015_ms_pID_7253431</vt:lpwstr>
  </property>
  <property fmtid="{D5CDD505-2E9C-101B-9397-08002B2CF9AE}" pid="16" name="_2015_ms_pID_7253432">
    <vt:lpwstr>skD9QmX9pX+VK78au/QBIQhjqselECwKCVYm
BHOZj9mFrXJN+riBloo47nroeK2UDw==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1707054114</vt:lpwstr>
  </property>
</Properties>
</file>