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5ADAD2" w14:textId="3A5B0592" w:rsidR="001672B0" w:rsidRDefault="001672B0" w:rsidP="001672B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670EBF" w:rsidRPr="00670EBF">
        <w:rPr>
          <w:rFonts w:ascii="Arial" w:hAnsi="Arial" w:cs="Arial"/>
          <w:b/>
          <w:bCs/>
          <w:sz w:val="28"/>
        </w:rPr>
        <w:t>R1-2400072</w:t>
      </w:r>
    </w:p>
    <w:p w14:paraId="67899AD4" w14:textId="77777777" w:rsidR="001672B0" w:rsidRDefault="001672B0" w:rsidP="001672B0">
      <w:pPr>
        <w:tabs>
          <w:tab w:val="center" w:pos="4536"/>
          <w:tab w:val="right" w:pos="9072"/>
        </w:tabs>
        <w:rPr>
          <w:rFonts w:ascii="Arial" w:hAnsi="Arial" w:cs="Arial"/>
          <w:b/>
          <w:bCs/>
          <w:sz w:val="28"/>
          <w:lang w:eastAsia="ja-JP"/>
        </w:rPr>
      </w:pPr>
      <w:r>
        <w:rPr>
          <w:rFonts w:ascii="Arial"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hAnsi="Arial" w:cs="Arial"/>
          <w:b/>
          <w:bCs/>
          <w:sz w:val="28"/>
          <w:lang w:eastAsia="ja-JP"/>
        </w:rPr>
        <w:t>, 2024</w:t>
      </w:r>
      <w:bookmarkEnd w:id="0"/>
    </w:p>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6"/>
      <w:bookmarkStart w:id="3"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bookmarkStart w:id="4" w:name="_GoBack"/>
      <w:bookmarkEnd w:id="4"/>
    </w:p>
    <w:bookmarkEnd w:id="2"/>
    <w:bookmarkEnd w:id="3"/>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32AE31B7" w:rsidR="00E604A3" w:rsidRDefault="00E604A3" w:rsidP="00E604A3">
      <w:pPr>
        <w:jc w:val="both"/>
      </w:pPr>
      <w:r>
        <w:t>In RAN#102</w:t>
      </w:r>
      <w:r w:rsidRPr="0028551E">
        <w:t xml:space="preserve">, </w:t>
      </w:r>
      <w:r>
        <w:t>W</w:t>
      </w:r>
      <w:r w:rsidRPr="0028551E">
        <w:t xml:space="preserve">I on </w:t>
      </w:r>
      <w:r>
        <w:t>Non-Terrestrial Networks (NTN) for Internet of Things (IoT) Phase 3</w:t>
      </w:r>
      <w:r w:rsidRPr="0028551E">
        <w:t xml:space="preserve"> was approved [1]. As described in the </w:t>
      </w:r>
      <w:r>
        <w:t>W</w:t>
      </w:r>
      <w:r w:rsidRPr="0028551E">
        <w:t xml:space="preserve">ID, </w:t>
      </w:r>
      <w:r w:rsidR="005516CE">
        <w:t>for</w:t>
      </w:r>
      <w:r w:rsidR="005516CE" w:rsidRPr="005516CE">
        <w:t xml:space="preserve"> </w:t>
      </w:r>
      <w:r w:rsidR="005516CE" w:rsidRPr="00CF56F2">
        <w:t xml:space="preserve">HD-FDD RedCap UEs and eRedCap UEs, </w:t>
      </w:r>
      <w:r w:rsidR="005516CE">
        <w:t xml:space="preserve">it needs to </w:t>
      </w:r>
      <w:r w:rsidR="005516CE" w:rsidRPr="00CF56F2">
        <w:t>check whether any essential changes are needed for their support (i.e. focusing on HD collision rules)</w:t>
      </w:r>
      <w:r w:rsidRPr="0028551E">
        <w:t xml:space="preserve">. </w:t>
      </w:r>
    </w:p>
    <w:tbl>
      <w:tblPr>
        <w:tblStyle w:val="aff"/>
        <w:tblW w:w="0" w:type="auto"/>
        <w:tblLook w:val="04A0" w:firstRow="1" w:lastRow="0" w:firstColumn="1" w:lastColumn="0" w:noHBand="0" w:noVBand="1"/>
      </w:tblPr>
      <w:tblGrid>
        <w:gridCol w:w="9630"/>
      </w:tblGrid>
      <w:tr w:rsidR="009A597A" w14:paraId="60EB68CB" w14:textId="77777777" w:rsidTr="009A597A">
        <w:tc>
          <w:tcPr>
            <w:tcW w:w="9630" w:type="dxa"/>
          </w:tcPr>
          <w:p w14:paraId="1852E44D" w14:textId="77777777" w:rsidR="009A597A" w:rsidRPr="00CF56F2" w:rsidRDefault="009A597A" w:rsidP="009A597A">
            <w:pPr>
              <w:overflowPunct w:val="0"/>
              <w:autoSpaceDE w:val="0"/>
              <w:autoSpaceDN w:val="0"/>
              <w:adjustRightInd w:val="0"/>
              <w:spacing w:after="0" w:line="276" w:lineRule="auto"/>
              <w:textAlignment w:val="baseline"/>
              <w:rPr>
                <w:rFonts w:eastAsia="Malgun Gothic"/>
                <w:lang w:eastAsia="ko-KR"/>
              </w:rPr>
            </w:pPr>
            <w:r w:rsidRPr="00CF56F2">
              <w:rPr>
                <w:rFonts w:eastAsia="Malgun Gothic"/>
                <w:lang w:eastAsia="ko-KR"/>
              </w:rPr>
              <w:t>Support of Rel-17 RedCap and Rel-18 eRedCap UEs with NR NTN operating in FR1-NTN bands [RAN4, RAN1]</w:t>
            </w:r>
          </w:p>
          <w:p w14:paraId="3F0D156C" w14:textId="77777777" w:rsidR="009A597A" w:rsidRPr="00CF56F2" w:rsidRDefault="009A597A" w:rsidP="009A597A">
            <w:pPr>
              <w:pStyle w:val="aff8"/>
              <w:widowControl w:val="0"/>
              <w:numPr>
                <w:ilvl w:val="0"/>
                <w:numId w:val="38"/>
              </w:numPr>
              <w:spacing w:after="0" w:line="276" w:lineRule="auto"/>
              <w:ind w:leftChars="0"/>
              <w:contextualSpacing/>
              <w:jc w:val="both"/>
            </w:pPr>
            <w:r w:rsidRPr="00CF56F2">
              <w:t>For full-duplex FDD RedCap and eRedCap UEs, define the RF and RRM requirements [RAN4]</w:t>
            </w:r>
          </w:p>
          <w:p w14:paraId="73FB9398" w14:textId="77777777" w:rsidR="009A597A" w:rsidRPr="00CF56F2" w:rsidRDefault="009A597A" w:rsidP="009A597A">
            <w:pPr>
              <w:pStyle w:val="aff8"/>
              <w:widowControl w:val="0"/>
              <w:numPr>
                <w:ilvl w:val="0"/>
                <w:numId w:val="38"/>
              </w:numPr>
              <w:spacing w:after="0" w:line="276" w:lineRule="auto"/>
              <w:ind w:leftChars="0"/>
              <w:contextualSpacing/>
              <w:jc w:val="both"/>
            </w:pPr>
            <w:r w:rsidRPr="00CF56F2">
              <w:t>For HD-FDD RedCap UEs and eRedCap UEs, check whether any essential changes are needed for their support (i.e. focusing on HD collision rules) by end of Q2/2024 [RAN1]</w:t>
            </w:r>
          </w:p>
          <w:p w14:paraId="155A1360" w14:textId="77777777" w:rsidR="009A597A" w:rsidRPr="00CF56F2" w:rsidRDefault="009A597A" w:rsidP="009A597A">
            <w:pPr>
              <w:pStyle w:val="aff8"/>
              <w:widowControl w:val="0"/>
              <w:numPr>
                <w:ilvl w:val="1"/>
                <w:numId w:val="38"/>
              </w:numPr>
              <w:spacing w:after="0" w:line="276" w:lineRule="auto"/>
              <w:ind w:leftChars="0"/>
              <w:contextualSpacing/>
              <w:jc w:val="both"/>
            </w:pPr>
            <w:r w:rsidRPr="00CF56F2">
              <w:t>Depending on feasibility assessment above, define the RF and RRM requirements [RAN4]</w:t>
            </w:r>
          </w:p>
          <w:p w14:paraId="3BA605BE" w14:textId="77777777" w:rsidR="009A597A" w:rsidRPr="00CF56F2" w:rsidRDefault="009A597A" w:rsidP="009A597A">
            <w:pPr>
              <w:pStyle w:val="aff8"/>
              <w:widowControl w:val="0"/>
              <w:numPr>
                <w:ilvl w:val="0"/>
                <w:numId w:val="38"/>
              </w:numPr>
              <w:spacing w:after="0" w:line="276" w:lineRule="auto"/>
              <w:ind w:leftChars="0"/>
              <w:contextualSpacing/>
              <w:jc w:val="both"/>
            </w:pPr>
            <w:r w:rsidRPr="00CF56F2">
              <w:t>Notes for this objective:</w:t>
            </w:r>
          </w:p>
          <w:p w14:paraId="4BF714F2" w14:textId="6A87D649" w:rsidR="009A597A" w:rsidRPr="00CF56F2" w:rsidRDefault="009A597A" w:rsidP="009A597A">
            <w:pPr>
              <w:pStyle w:val="aff8"/>
              <w:widowControl w:val="0"/>
              <w:numPr>
                <w:ilvl w:val="1"/>
                <w:numId w:val="38"/>
              </w:numPr>
              <w:spacing w:after="0" w:line="276" w:lineRule="auto"/>
              <w:ind w:leftChars="0"/>
              <w:contextualSpacing/>
              <w:jc w:val="both"/>
            </w:pPr>
            <w:r w:rsidRPr="00CF56F2">
              <w:t>GNSS (Global Navigation Satellite Systems) capabilities and simultaneous GNSS and NR-NTN operation is supported in RedCap/eRedCap UE.</w:t>
            </w:r>
          </w:p>
        </w:tc>
      </w:tr>
    </w:tbl>
    <w:p w14:paraId="668285D6" w14:textId="77777777" w:rsidR="009A597A" w:rsidRPr="009A597A" w:rsidRDefault="009A597A" w:rsidP="009A597A">
      <w:pPr>
        <w:rPr>
          <w:lang w:eastAsia="ja-JP"/>
        </w:rPr>
      </w:pPr>
    </w:p>
    <w:p w14:paraId="304E414A" w14:textId="15889AC5"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our views for</w:t>
      </w:r>
      <w:r w:rsidR="008B3625" w:rsidRPr="008B3625">
        <w:t xml:space="preserve"> </w:t>
      </w:r>
      <w:r w:rsidR="008B3625">
        <w:t xml:space="preserve">the supportive of </w:t>
      </w:r>
      <w:r w:rsidR="008B3625" w:rsidRPr="00CF56F2">
        <w:t>HD-FDD RedCap UEs and eRedCap UEs</w:t>
      </w:r>
      <w:r w:rsidR="0076631B">
        <w:t xml:space="preserve"> with NR NTN operating</w:t>
      </w:r>
      <w:r w:rsidR="00202E5A">
        <w:rPr>
          <w:rFonts w:eastAsia="宋体"/>
          <w:lang w:eastAsia="zh-CN"/>
        </w:rPr>
        <w:t>.</w:t>
      </w:r>
    </w:p>
    <w:p w14:paraId="3D033E90" w14:textId="6BBA89FF" w:rsidR="00927531" w:rsidRDefault="00BD4ED7" w:rsidP="00315195">
      <w:pPr>
        <w:pStyle w:val="1"/>
      </w:pPr>
      <w:bookmarkStart w:id="6" w:name="OLE_LINK33"/>
      <w:bookmarkStart w:id="7" w:name="OLE_LINK34"/>
      <w:r w:rsidRPr="003C1B37">
        <w:t>Discussion</w:t>
      </w:r>
    </w:p>
    <w:p w14:paraId="170ABF73" w14:textId="07247FC5" w:rsidR="00186C42" w:rsidRPr="00DB57CF" w:rsidRDefault="00186C42" w:rsidP="00DB57CF">
      <w:pPr>
        <w:jc w:val="both"/>
        <w:rPr>
          <w:rFonts w:eastAsia="宋体"/>
          <w:lang w:eastAsia="zh-CN"/>
        </w:rPr>
      </w:pPr>
      <w:r w:rsidRPr="00DB57CF">
        <w:rPr>
          <w:rFonts w:eastAsia="宋体"/>
          <w:lang w:eastAsia="zh-CN"/>
        </w:rPr>
        <w:t xml:space="preserve">During Rel-17 HD-FDD operation for RedCap UEs, the following cases of potential </w:t>
      </w:r>
      <w:bookmarkStart w:id="8" w:name="OLE_LINK56"/>
      <w:r w:rsidRPr="00DB57CF">
        <w:rPr>
          <w:rFonts w:eastAsia="宋体"/>
          <w:lang w:eastAsia="zh-CN"/>
        </w:rPr>
        <w:t>collisions</w:t>
      </w:r>
      <w:bookmarkEnd w:id="8"/>
      <w:r w:rsidRPr="00DB57CF">
        <w:rPr>
          <w:rFonts w:eastAsia="宋体"/>
          <w:lang w:eastAsia="zh-CN"/>
        </w:rPr>
        <w:t xml:space="preserve"> were studied and defined in the current specs</w:t>
      </w:r>
      <w:r w:rsidR="00B1212B" w:rsidRPr="00DB57CF">
        <w:rPr>
          <w:rFonts w:eastAsia="宋体"/>
          <w:lang w:eastAsia="zh-CN"/>
        </w:rPr>
        <w:t xml:space="preserve"> as in xx</w:t>
      </w:r>
      <w:r w:rsidRPr="00DB57CF">
        <w:rPr>
          <w:rFonts w:eastAsia="宋体"/>
          <w:lang w:eastAsia="zh-CN"/>
        </w:rPr>
        <w:t>.</w:t>
      </w:r>
    </w:p>
    <w:p w14:paraId="125F5674" w14:textId="77777777" w:rsidR="00186C42" w:rsidRPr="003841FE" w:rsidRDefault="00186C42" w:rsidP="00DB57CF">
      <w:pPr>
        <w:numPr>
          <w:ilvl w:val="0"/>
          <w:numId w:val="40"/>
        </w:numPr>
        <w:spacing w:after="0" w:line="252" w:lineRule="auto"/>
        <w:contextualSpacing/>
        <w:jc w:val="both"/>
      </w:pPr>
      <w:r w:rsidRPr="003841FE">
        <w:t xml:space="preserve">Case 1: Dynamically scheduled DL reception vs. </w:t>
      </w:r>
      <w:bookmarkStart w:id="9" w:name="OLE_LINK49"/>
      <w:r w:rsidRPr="003841FE">
        <w:t>semi-statically configured UL transmission</w:t>
      </w:r>
      <w:bookmarkEnd w:id="9"/>
    </w:p>
    <w:p w14:paraId="6E84520A" w14:textId="77777777" w:rsidR="00186C42" w:rsidRPr="003841FE" w:rsidRDefault="00186C42" w:rsidP="00DB57CF">
      <w:pPr>
        <w:numPr>
          <w:ilvl w:val="1"/>
          <w:numId w:val="40"/>
        </w:numPr>
        <w:spacing w:after="0" w:line="252" w:lineRule="auto"/>
        <w:contextualSpacing/>
        <w:jc w:val="both"/>
      </w:pPr>
      <w:r w:rsidRPr="003841FE">
        <w:rPr>
          <w:lang w:eastAsia="x-none"/>
        </w:rPr>
        <w:t>e.g., dynamic PDSCH or CSI-RS collides with configured SRS, PUCCH, or CG PUSCH</w:t>
      </w:r>
    </w:p>
    <w:p w14:paraId="654C48C9" w14:textId="77777777" w:rsidR="00186C42" w:rsidRPr="003841FE" w:rsidRDefault="00186C42" w:rsidP="00DB57CF">
      <w:pPr>
        <w:numPr>
          <w:ilvl w:val="0"/>
          <w:numId w:val="40"/>
        </w:numPr>
        <w:spacing w:after="0" w:line="252" w:lineRule="auto"/>
        <w:contextualSpacing/>
        <w:jc w:val="both"/>
      </w:pPr>
      <w:r w:rsidRPr="003841FE">
        <w:t xml:space="preserve">Case 2: </w:t>
      </w:r>
      <w:bookmarkStart w:id="10" w:name="OLE_LINK50"/>
      <w:bookmarkStart w:id="11" w:name="OLE_LINK51"/>
      <w:r w:rsidRPr="003841FE">
        <w:rPr>
          <w:lang w:eastAsia="x-none"/>
        </w:rPr>
        <w:t xml:space="preserve">Semi-statically configured DL reception </w:t>
      </w:r>
      <w:bookmarkEnd w:id="10"/>
      <w:bookmarkEnd w:id="11"/>
      <w:r w:rsidRPr="003841FE">
        <w:rPr>
          <w:lang w:eastAsia="x-none"/>
        </w:rPr>
        <w:t>vs. dynamically scheduled UL transmission</w:t>
      </w:r>
    </w:p>
    <w:p w14:paraId="3A912A4D" w14:textId="77777777" w:rsidR="00186C42" w:rsidRPr="001C15E4" w:rsidRDefault="00186C42" w:rsidP="00DB57CF">
      <w:pPr>
        <w:numPr>
          <w:ilvl w:val="1"/>
          <w:numId w:val="40"/>
        </w:numPr>
        <w:spacing w:after="0" w:line="252" w:lineRule="auto"/>
        <w:contextualSpacing/>
        <w:jc w:val="both"/>
        <w:rPr>
          <w:lang w:val="en-US"/>
        </w:rPr>
      </w:pPr>
      <w:r w:rsidRPr="003841FE">
        <w:t>e.g., PDCCH or SPS PDSCH collides with dynamic PUSCH or PUCCH</w:t>
      </w:r>
    </w:p>
    <w:p w14:paraId="6E10994C" w14:textId="77777777" w:rsidR="00186C42" w:rsidRPr="003841FE" w:rsidRDefault="00186C42" w:rsidP="00DB57CF">
      <w:pPr>
        <w:numPr>
          <w:ilvl w:val="0"/>
          <w:numId w:val="40"/>
        </w:numPr>
        <w:spacing w:after="0" w:line="252" w:lineRule="auto"/>
        <w:contextualSpacing/>
        <w:jc w:val="both"/>
      </w:pPr>
      <w:bookmarkStart w:id="12" w:name="OLE_LINK2"/>
      <w:r w:rsidRPr="003841FE">
        <w:t xml:space="preserve">Case 3: </w:t>
      </w:r>
      <w:bookmarkStart w:id="13" w:name="OLE_LINK52"/>
      <w:r w:rsidRPr="003841FE">
        <w:t>Semi-statically configured DL reception</w:t>
      </w:r>
      <w:bookmarkEnd w:id="13"/>
      <w:r w:rsidRPr="003841FE">
        <w:t xml:space="preserve"> vs. </w:t>
      </w:r>
      <w:bookmarkStart w:id="14" w:name="OLE_LINK53"/>
      <w:bookmarkStart w:id="15" w:name="OLE_LINK54"/>
      <w:r w:rsidRPr="003841FE">
        <w:t>semi-statically configured</w:t>
      </w:r>
      <w:bookmarkEnd w:id="14"/>
      <w:bookmarkEnd w:id="15"/>
      <w:r w:rsidRPr="003841FE">
        <w:t xml:space="preserve"> UL transmission  </w:t>
      </w:r>
    </w:p>
    <w:p w14:paraId="0DD5E3D6" w14:textId="77777777" w:rsidR="00186C42" w:rsidRPr="003841FE" w:rsidRDefault="00186C42" w:rsidP="00DB57CF">
      <w:pPr>
        <w:numPr>
          <w:ilvl w:val="0"/>
          <w:numId w:val="40"/>
        </w:numPr>
        <w:spacing w:after="0" w:line="252" w:lineRule="auto"/>
        <w:contextualSpacing/>
        <w:jc w:val="both"/>
      </w:pPr>
      <w:r w:rsidRPr="003841FE">
        <w:t>Case 4: Dynamically scheduled DL reception vs. dynamic scheduled UL transmission</w:t>
      </w:r>
    </w:p>
    <w:bookmarkEnd w:id="12"/>
    <w:p w14:paraId="61923985" w14:textId="77777777" w:rsidR="00186C42" w:rsidRPr="003841FE" w:rsidRDefault="00186C42" w:rsidP="00DB57CF">
      <w:pPr>
        <w:numPr>
          <w:ilvl w:val="0"/>
          <w:numId w:val="40"/>
        </w:numPr>
        <w:spacing w:after="0" w:line="252" w:lineRule="auto"/>
        <w:contextualSpacing/>
        <w:jc w:val="both"/>
      </w:pPr>
      <w:r w:rsidRPr="003841FE">
        <w:t xml:space="preserve">Case 5: Configured SSB vs. </w:t>
      </w:r>
      <w:bookmarkStart w:id="16" w:name="OLE_LINK55"/>
      <w:r w:rsidRPr="003841FE">
        <w:t>dynamically scheduled or configured UL transmission</w:t>
      </w:r>
      <w:bookmarkEnd w:id="16"/>
    </w:p>
    <w:p w14:paraId="41B586AC" w14:textId="77777777" w:rsidR="00186C42" w:rsidRPr="001C15E4" w:rsidRDefault="00186C42" w:rsidP="00DB57CF">
      <w:pPr>
        <w:numPr>
          <w:ilvl w:val="1"/>
          <w:numId w:val="40"/>
        </w:numPr>
        <w:spacing w:after="0" w:line="252" w:lineRule="auto"/>
        <w:contextualSpacing/>
        <w:jc w:val="both"/>
        <w:rPr>
          <w:lang w:val="sv-SE"/>
        </w:rPr>
      </w:pPr>
      <w:r w:rsidRPr="001C15E4">
        <w:rPr>
          <w:lang w:val="sv-SE"/>
        </w:rPr>
        <w:t>e.g., PUSCH, PUCCH, PRACH, SRS</w:t>
      </w:r>
    </w:p>
    <w:p w14:paraId="6BFC48C7" w14:textId="77777777" w:rsidR="00186C42" w:rsidRPr="003841FE" w:rsidRDefault="00186C42" w:rsidP="00DB57CF">
      <w:pPr>
        <w:numPr>
          <w:ilvl w:val="0"/>
          <w:numId w:val="40"/>
        </w:numPr>
        <w:spacing w:after="0" w:line="252" w:lineRule="auto"/>
        <w:contextualSpacing/>
        <w:jc w:val="both"/>
      </w:pPr>
      <w:r w:rsidRPr="003841FE">
        <w:t>Case 8: Dynamic or semi-static DL vs. valid RO</w:t>
      </w:r>
    </w:p>
    <w:p w14:paraId="4880E165" w14:textId="77777777" w:rsidR="00186C42" w:rsidRPr="003841FE" w:rsidRDefault="00186C42" w:rsidP="00DB57CF">
      <w:pPr>
        <w:numPr>
          <w:ilvl w:val="0"/>
          <w:numId w:val="40"/>
        </w:numPr>
        <w:spacing w:after="0" w:line="252" w:lineRule="auto"/>
        <w:contextualSpacing/>
        <w:jc w:val="both"/>
      </w:pPr>
      <w:r w:rsidRPr="003841FE">
        <w:t>Case 9: Collision due to direction switching</w:t>
      </w:r>
    </w:p>
    <w:p w14:paraId="4C7767FB" w14:textId="6FFDD41D" w:rsidR="005B42E6" w:rsidRDefault="005B42E6" w:rsidP="00186C42">
      <w:pPr>
        <w:rPr>
          <w:rFonts w:eastAsia="Malgun Gothic"/>
          <w:lang w:eastAsia="ko-KR"/>
        </w:rPr>
      </w:pPr>
    </w:p>
    <w:p w14:paraId="77BF4342" w14:textId="554AD9B3" w:rsidR="00756956" w:rsidRDefault="00093198" w:rsidP="003007F7">
      <w:pPr>
        <w:pStyle w:val="ae"/>
        <w:jc w:val="center"/>
        <w:rPr>
          <w:rFonts w:eastAsia="Malgun Gothic"/>
          <w:lang w:eastAsia="ko-KR"/>
        </w:rPr>
      </w:pPr>
      <w:bookmarkStart w:id="17" w:name="_Ref157600927"/>
      <w:r>
        <w:t xml:space="preserve">Table </w:t>
      </w:r>
      <w:r>
        <w:fldChar w:fldCharType="begin"/>
      </w:r>
      <w:r>
        <w:instrText xml:space="preserve"> SEQ Table \* ARABIC </w:instrText>
      </w:r>
      <w:r>
        <w:fldChar w:fldCharType="separate"/>
      </w:r>
      <w:r w:rsidR="007637EA">
        <w:rPr>
          <w:noProof/>
        </w:rPr>
        <w:t>1</w:t>
      </w:r>
      <w:r>
        <w:fldChar w:fldCharType="end"/>
      </w:r>
      <w:bookmarkEnd w:id="17"/>
      <w:r>
        <w:t>:</w:t>
      </w:r>
      <w:r w:rsidR="00D44CCE">
        <w:t xml:space="preserve"> Redca</w:t>
      </w:r>
      <w:r w:rsidR="003007F7">
        <w:t>p collision cases and UE behavio</w:t>
      </w:r>
      <w:r w:rsidR="00D44CCE">
        <w:t>r</w:t>
      </w:r>
    </w:p>
    <w:tbl>
      <w:tblPr>
        <w:tblW w:w="0" w:type="auto"/>
        <w:tblLook w:val="04A0" w:firstRow="1" w:lastRow="0" w:firstColumn="1" w:lastColumn="0" w:noHBand="0" w:noVBand="1"/>
      </w:tblPr>
      <w:tblGrid>
        <w:gridCol w:w="597"/>
        <w:gridCol w:w="2371"/>
        <w:gridCol w:w="2785"/>
        <w:gridCol w:w="3877"/>
      </w:tblGrid>
      <w:tr w:rsidR="00B1212B" w:rsidRPr="00B1212B" w14:paraId="23F4B547" w14:textId="77777777" w:rsidTr="008C5C0E">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5687EBDF"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Case</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3770B7EF"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DL</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A4D1134"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UL</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999FFBC" w14:textId="5F81B34D"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UE </w:t>
            </w:r>
            <w:r w:rsidR="0035250D" w:rsidRPr="003007F7">
              <w:rPr>
                <w:rFonts w:ascii="Calibri" w:eastAsia="Times New Roman" w:hAnsi="Calibri" w:cs="Calibri"/>
                <w:color w:val="000000"/>
                <w:lang w:val="en-US" w:eastAsia="zh-CN"/>
              </w:rPr>
              <w:t>behavior</w:t>
            </w:r>
          </w:p>
        </w:tc>
      </w:tr>
      <w:tr w:rsidR="00B1212B" w:rsidRPr="00B1212B" w14:paraId="03336CA0" w14:textId="77777777" w:rsidTr="008C5C0E">
        <w:trPr>
          <w:trHeight w:val="5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DDB2082"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A7B1283"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Dynamic</w:t>
            </w:r>
          </w:p>
        </w:tc>
        <w:tc>
          <w:tcPr>
            <w:tcW w:w="0" w:type="auto"/>
            <w:tcBorders>
              <w:top w:val="nil"/>
              <w:left w:val="nil"/>
              <w:bottom w:val="single" w:sz="4" w:space="0" w:color="auto"/>
              <w:right w:val="single" w:sz="4" w:space="0" w:color="auto"/>
            </w:tcBorders>
            <w:shd w:val="clear" w:color="auto" w:fill="auto"/>
            <w:vAlign w:val="bottom"/>
            <w:hideMark/>
          </w:tcPr>
          <w:p w14:paraId="3E820C06"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1E141341" w14:textId="13F7CA4C" w:rsidR="00B1212B" w:rsidRPr="00B1212B" w:rsidRDefault="00B1212B" w:rsidP="008C5C0E">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DL, with UL cancellation timeline</w:t>
            </w:r>
          </w:p>
        </w:tc>
      </w:tr>
      <w:tr w:rsidR="00B1212B" w:rsidRPr="00B1212B" w14:paraId="7B1EDEF7" w14:textId="77777777" w:rsidTr="008C5C0E">
        <w:trPr>
          <w:trHeight w:val="5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DAD897"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bottom"/>
            <w:hideMark/>
          </w:tcPr>
          <w:p w14:paraId="74B407F9"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39A2DA9C"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Dynamic</w:t>
            </w:r>
          </w:p>
        </w:tc>
        <w:tc>
          <w:tcPr>
            <w:tcW w:w="0" w:type="auto"/>
            <w:tcBorders>
              <w:top w:val="nil"/>
              <w:left w:val="nil"/>
              <w:bottom w:val="single" w:sz="4" w:space="0" w:color="auto"/>
              <w:right w:val="single" w:sz="4" w:space="0" w:color="auto"/>
            </w:tcBorders>
            <w:shd w:val="clear" w:color="auto" w:fill="auto"/>
            <w:vAlign w:val="bottom"/>
            <w:hideMark/>
          </w:tcPr>
          <w:p w14:paraId="37A975F4" w14:textId="59F2B246" w:rsidR="00B1212B" w:rsidRPr="00B1212B" w:rsidRDefault="00B1212B" w:rsidP="008C5C0E">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UL </w:t>
            </w:r>
          </w:p>
        </w:tc>
      </w:tr>
      <w:tr w:rsidR="00B1212B" w:rsidRPr="00B1212B" w14:paraId="1F20B472" w14:textId="77777777" w:rsidTr="008C5C0E">
        <w:trPr>
          <w:trHeight w:val="5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A5C94F3"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lastRenderedPageBreak/>
              <w:t>3</w:t>
            </w:r>
          </w:p>
        </w:tc>
        <w:tc>
          <w:tcPr>
            <w:tcW w:w="0" w:type="auto"/>
            <w:tcBorders>
              <w:top w:val="nil"/>
              <w:left w:val="nil"/>
              <w:bottom w:val="single" w:sz="4" w:space="0" w:color="auto"/>
              <w:right w:val="single" w:sz="4" w:space="0" w:color="auto"/>
            </w:tcBorders>
            <w:shd w:val="clear" w:color="auto" w:fill="auto"/>
            <w:vAlign w:val="bottom"/>
            <w:hideMark/>
          </w:tcPr>
          <w:p w14:paraId="7CCB2BC7"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195B7B04"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semi-statically configured</w:t>
            </w:r>
          </w:p>
        </w:tc>
        <w:tc>
          <w:tcPr>
            <w:tcW w:w="0" w:type="auto"/>
            <w:tcBorders>
              <w:top w:val="nil"/>
              <w:left w:val="nil"/>
              <w:bottom w:val="single" w:sz="4" w:space="0" w:color="auto"/>
              <w:right w:val="single" w:sz="4" w:space="0" w:color="auto"/>
            </w:tcBorders>
            <w:shd w:val="clear" w:color="auto" w:fill="auto"/>
            <w:vAlign w:val="bottom"/>
            <w:hideMark/>
          </w:tcPr>
          <w:p w14:paraId="658AF688"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Error case</w:t>
            </w:r>
          </w:p>
        </w:tc>
      </w:tr>
      <w:tr w:rsidR="00B1212B" w:rsidRPr="00B1212B" w14:paraId="6FE6F75D" w14:textId="77777777" w:rsidTr="008C5C0E">
        <w:trPr>
          <w:trHeight w:val="29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4B7489D"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bottom"/>
            <w:hideMark/>
          </w:tcPr>
          <w:p w14:paraId="466988A6"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Dynamic</w:t>
            </w:r>
          </w:p>
        </w:tc>
        <w:tc>
          <w:tcPr>
            <w:tcW w:w="0" w:type="auto"/>
            <w:tcBorders>
              <w:top w:val="nil"/>
              <w:left w:val="nil"/>
              <w:bottom w:val="single" w:sz="4" w:space="0" w:color="auto"/>
              <w:right w:val="single" w:sz="4" w:space="0" w:color="auto"/>
            </w:tcBorders>
            <w:shd w:val="clear" w:color="auto" w:fill="auto"/>
            <w:vAlign w:val="bottom"/>
            <w:hideMark/>
          </w:tcPr>
          <w:p w14:paraId="59AC2B6F"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Dynamic</w:t>
            </w:r>
          </w:p>
        </w:tc>
        <w:tc>
          <w:tcPr>
            <w:tcW w:w="0" w:type="auto"/>
            <w:tcBorders>
              <w:top w:val="nil"/>
              <w:left w:val="nil"/>
              <w:bottom w:val="single" w:sz="4" w:space="0" w:color="auto"/>
              <w:right w:val="single" w:sz="4" w:space="0" w:color="auto"/>
            </w:tcBorders>
            <w:shd w:val="clear" w:color="auto" w:fill="auto"/>
            <w:vAlign w:val="bottom"/>
            <w:hideMark/>
          </w:tcPr>
          <w:p w14:paraId="3D0B2714"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Error case</w:t>
            </w:r>
          </w:p>
        </w:tc>
      </w:tr>
      <w:tr w:rsidR="00B1212B" w:rsidRPr="00B1212B" w14:paraId="2EB027FB" w14:textId="77777777" w:rsidTr="008C5C0E">
        <w:trPr>
          <w:trHeight w:val="8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AACA778"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bottom"/>
            <w:hideMark/>
          </w:tcPr>
          <w:p w14:paraId="1CA163AA"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SSB</w:t>
            </w:r>
          </w:p>
        </w:tc>
        <w:tc>
          <w:tcPr>
            <w:tcW w:w="0" w:type="auto"/>
            <w:tcBorders>
              <w:top w:val="nil"/>
              <w:left w:val="nil"/>
              <w:bottom w:val="single" w:sz="4" w:space="0" w:color="auto"/>
              <w:right w:val="single" w:sz="4" w:space="0" w:color="auto"/>
            </w:tcBorders>
            <w:shd w:val="clear" w:color="auto" w:fill="auto"/>
            <w:vAlign w:val="bottom"/>
            <w:hideMark/>
          </w:tcPr>
          <w:p w14:paraId="767925A7"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dynamically scheduled or configured </w:t>
            </w:r>
          </w:p>
        </w:tc>
        <w:tc>
          <w:tcPr>
            <w:tcW w:w="0" w:type="auto"/>
            <w:tcBorders>
              <w:top w:val="nil"/>
              <w:left w:val="nil"/>
              <w:bottom w:val="single" w:sz="4" w:space="0" w:color="auto"/>
              <w:right w:val="single" w:sz="4" w:space="0" w:color="auto"/>
            </w:tcBorders>
            <w:shd w:val="clear" w:color="auto" w:fill="auto"/>
            <w:vAlign w:val="bottom"/>
            <w:hideMark/>
          </w:tcPr>
          <w:p w14:paraId="20A68104"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SSB</w:t>
            </w:r>
          </w:p>
        </w:tc>
      </w:tr>
      <w:tr w:rsidR="00EB0466" w:rsidRPr="00B1212B" w14:paraId="089EC2C7" w14:textId="77777777" w:rsidTr="003E2A84">
        <w:trPr>
          <w:trHeight w:val="290"/>
        </w:trPr>
        <w:tc>
          <w:tcPr>
            <w:tcW w:w="0" w:type="auto"/>
            <w:vMerge w:val="restart"/>
            <w:tcBorders>
              <w:top w:val="nil"/>
              <w:left w:val="single" w:sz="4" w:space="0" w:color="auto"/>
              <w:right w:val="single" w:sz="4" w:space="0" w:color="auto"/>
            </w:tcBorders>
            <w:shd w:val="clear" w:color="auto" w:fill="auto"/>
            <w:vAlign w:val="bottom"/>
            <w:hideMark/>
          </w:tcPr>
          <w:p w14:paraId="191A87FC" w14:textId="0B1A5254" w:rsidR="00EB0466" w:rsidRPr="00B1212B" w:rsidRDefault="00EB0466" w:rsidP="00EB0466">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8</w:t>
            </w:r>
          </w:p>
          <w:p w14:paraId="36FAA47F" w14:textId="35B782CB" w:rsidR="00EB0466" w:rsidRPr="00B1212B" w:rsidRDefault="00EB0466" w:rsidP="00B1212B">
            <w:pPr>
              <w:spacing w:after="0"/>
              <w:jc w:val="center"/>
              <w:rPr>
                <w:rFonts w:ascii="Calibri" w:eastAsia="Times New Roman" w:hAnsi="Calibri" w:cs="Calibri"/>
                <w:color w:val="000000"/>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14:paraId="48856D95"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SSB</w:t>
            </w:r>
          </w:p>
        </w:tc>
        <w:tc>
          <w:tcPr>
            <w:tcW w:w="0" w:type="auto"/>
            <w:tcBorders>
              <w:top w:val="nil"/>
              <w:left w:val="nil"/>
              <w:bottom w:val="single" w:sz="4" w:space="0" w:color="auto"/>
              <w:right w:val="single" w:sz="4" w:space="0" w:color="auto"/>
            </w:tcBorders>
            <w:shd w:val="clear" w:color="auto" w:fill="auto"/>
            <w:vAlign w:val="bottom"/>
            <w:hideMark/>
          </w:tcPr>
          <w:p w14:paraId="41C9D7FA"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valid RO or valid PO</w:t>
            </w:r>
          </w:p>
        </w:tc>
        <w:tc>
          <w:tcPr>
            <w:tcW w:w="0" w:type="auto"/>
            <w:vMerge w:val="restart"/>
            <w:tcBorders>
              <w:top w:val="nil"/>
              <w:left w:val="single" w:sz="4" w:space="0" w:color="auto"/>
              <w:bottom w:val="single" w:sz="4" w:space="0" w:color="auto"/>
              <w:right w:val="single" w:sz="4" w:space="0" w:color="auto"/>
            </w:tcBorders>
            <w:shd w:val="clear" w:color="auto" w:fill="auto"/>
            <w:vAlign w:val="bottom"/>
            <w:hideMark/>
          </w:tcPr>
          <w:p w14:paraId="776F6C68"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up to UE implementation</w:t>
            </w:r>
          </w:p>
        </w:tc>
      </w:tr>
      <w:tr w:rsidR="00EB0466" w:rsidRPr="00B1212B" w14:paraId="46CA68C2" w14:textId="77777777" w:rsidTr="003E2A84">
        <w:trPr>
          <w:trHeight w:val="580"/>
        </w:trPr>
        <w:tc>
          <w:tcPr>
            <w:tcW w:w="0" w:type="auto"/>
            <w:vMerge/>
            <w:tcBorders>
              <w:left w:val="single" w:sz="4" w:space="0" w:color="auto"/>
              <w:right w:val="single" w:sz="4" w:space="0" w:color="auto"/>
            </w:tcBorders>
            <w:shd w:val="clear" w:color="auto" w:fill="auto"/>
            <w:vAlign w:val="bottom"/>
            <w:hideMark/>
          </w:tcPr>
          <w:p w14:paraId="4DA2FC79" w14:textId="3B85DA75" w:rsidR="00EB0466" w:rsidRPr="00B1212B" w:rsidRDefault="00EB0466" w:rsidP="00B1212B">
            <w:pPr>
              <w:spacing w:after="0"/>
              <w:jc w:val="center"/>
              <w:rPr>
                <w:rFonts w:ascii="Calibri" w:eastAsia="Times New Roman" w:hAnsi="Calibri" w:cs="Calibri"/>
                <w:color w:val="000000"/>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14:paraId="00BC7FEF"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5A849C5C"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2C6F5987" w14:textId="77777777" w:rsidR="00EB0466" w:rsidRPr="00B1212B" w:rsidRDefault="00EB0466" w:rsidP="00B1212B">
            <w:pPr>
              <w:spacing w:after="0"/>
              <w:rPr>
                <w:rFonts w:ascii="Calibri" w:eastAsia="Times New Roman" w:hAnsi="Calibri" w:cs="Calibri"/>
                <w:color w:val="000000"/>
                <w:lang w:val="en-US" w:eastAsia="zh-CN"/>
              </w:rPr>
            </w:pPr>
          </w:p>
        </w:tc>
      </w:tr>
      <w:tr w:rsidR="00EB0466" w:rsidRPr="00B1212B" w14:paraId="282007A3" w14:textId="77777777" w:rsidTr="003E2A84">
        <w:trPr>
          <w:trHeight w:val="290"/>
        </w:trPr>
        <w:tc>
          <w:tcPr>
            <w:tcW w:w="0" w:type="auto"/>
            <w:vMerge/>
            <w:tcBorders>
              <w:left w:val="single" w:sz="4" w:space="0" w:color="auto"/>
              <w:bottom w:val="single" w:sz="4" w:space="0" w:color="auto"/>
              <w:right w:val="single" w:sz="4" w:space="0" w:color="auto"/>
            </w:tcBorders>
            <w:shd w:val="clear" w:color="auto" w:fill="auto"/>
            <w:vAlign w:val="bottom"/>
            <w:hideMark/>
          </w:tcPr>
          <w:p w14:paraId="5E21B6B6" w14:textId="32BD2625" w:rsidR="00EB0466" w:rsidRPr="00B1212B" w:rsidRDefault="00EB0466" w:rsidP="00B1212B">
            <w:pPr>
              <w:spacing w:after="0"/>
              <w:jc w:val="center"/>
              <w:rPr>
                <w:rFonts w:ascii="Calibri" w:eastAsia="Times New Roman" w:hAnsi="Calibri" w:cs="Calibri"/>
                <w:color w:val="000000"/>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14:paraId="4E6B54F5"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Dynamic</w:t>
            </w:r>
          </w:p>
        </w:tc>
        <w:tc>
          <w:tcPr>
            <w:tcW w:w="0" w:type="auto"/>
            <w:tcBorders>
              <w:top w:val="nil"/>
              <w:left w:val="nil"/>
              <w:bottom w:val="single" w:sz="4" w:space="0" w:color="auto"/>
              <w:right w:val="single" w:sz="4" w:space="0" w:color="auto"/>
            </w:tcBorders>
            <w:shd w:val="clear" w:color="auto" w:fill="auto"/>
            <w:vAlign w:val="bottom"/>
            <w:hideMark/>
          </w:tcPr>
          <w:p w14:paraId="06A729FA" w14:textId="77777777" w:rsidR="00EB0466" w:rsidRPr="00B1212B" w:rsidRDefault="00EB0466"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56020FAB" w14:textId="77777777" w:rsidR="00EB0466" w:rsidRPr="00B1212B" w:rsidRDefault="00EB0466" w:rsidP="00B1212B">
            <w:pPr>
              <w:spacing w:after="0"/>
              <w:rPr>
                <w:rFonts w:ascii="Calibri" w:eastAsia="Times New Roman" w:hAnsi="Calibri" w:cs="Calibri"/>
                <w:color w:val="000000"/>
                <w:lang w:val="en-US" w:eastAsia="zh-CN"/>
              </w:rPr>
            </w:pPr>
          </w:p>
        </w:tc>
      </w:tr>
      <w:tr w:rsidR="00B1212B" w:rsidRPr="00B1212B" w14:paraId="169E7155" w14:textId="77777777" w:rsidTr="008C5C0E">
        <w:trPr>
          <w:trHeight w:val="8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FD1BCFF"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9_1</w:t>
            </w:r>
          </w:p>
        </w:tc>
        <w:tc>
          <w:tcPr>
            <w:tcW w:w="0" w:type="auto"/>
            <w:tcBorders>
              <w:top w:val="nil"/>
              <w:left w:val="nil"/>
              <w:bottom w:val="single" w:sz="4" w:space="0" w:color="auto"/>
              <w:right w:val="single" w:sz="4" w:space="0" w:color="auto"/>
            </w:tcBorders>
            <w:shd w:val="clear" w:color="auto" w:fill="auto"/>
            <w:vAlign w:val="bottom"/>
            <w:hideMark/>
          </w:tcPr>
          <w:p w14:paraId="5C4C7919"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SSB, 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7CCE94A9"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valid RO or valid PO</w:t>
            </w:r>
          </w:p>
        </w:tc>
        <w:tc>
          <w:tcPr>
            <w:tcW w:w="0" w:type="auto"/>
            <w:tcBorders>
              <w:top w:val="nil"/>
              <w:left w:val="nil"/>
              <w:bottom w:val="single" w:sz="4" w:space="0" w:color="auto"/>
              <w:right w:val="single" w:sz="4" w:space="0" w:color="auto"/>
            </w:tcBorders>
            <w:shd w:val="clear" w:color="auto" w:fill="auto"/>
            <w:vAlign w:val="bottom"/>
            <w:hideMark/>
          </w:tcPr>
          <w:p w14:paraId="1C2A1CC5" w14:textId="043893FF" w:rsidR="00B1212B" w:rsidRPr="00B1212B" w:rsidRDefault="00B1212B" w:rsidP="00557DE1">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up to UE implementation</w:t>
            </w:r>
            <w:r w:rsidR="00557DE1">
              <w:rPr>
                <w:rFonts w:ascii="Calibri" w:eastAsia="Times New Roman" w:hAnsi="Calibri" w:cs="Calibri"/>
                <w:color w:val="000000"/>
                <w:lang w:val="en-US" w:eastAsia="zh-CN"/>
              </w:rPr>
              <w:t>,</w:t>
            </w:r>
            <w:r w:rsidRPr="00B1212B">
              <w:rPr>
                <w:rFonts w:ascii="Calibri" w:eastAsia="Times New Roman" w:hAnsi="Calibri" w:cs="Calibri"/>
                <w:color w:val="000000"/>
                <w:lang w:val="en-US" w:eastAsia="zh-CN"/>
              </w:rPr>
              <w:t xml:space="preserve"> ensure the switching time</w:t>
            </w:r>
          </w:p>
        </w:tc>
      </w:tr>
      <w:tr w:rsidR="00B1212B" w:rsidRPr="00B1212B" w14:paraId="7A3070EB" w14:textId="77777777" w:rsidTr="008C5C0E">
        <w:trPr>
          <w:trHeight w:val="5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76E9375"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9_2</w:t>
            </w:r>
          </w:p>
        </w:tc>
        <w:tc>
          <w:tcPr>
            <w:tcW w:w="0" w:type="auto"/>
            <w:tcBorders>
              <w:top w:val="nil"/>
              <w:left w:val="nil"/>
              <w:bottom w:val="single" w:sz="4" w:space="0" w:color="auto"/>
              <w:right w:val="single" w:sz="4" w:space="0" w:color="auto"/>
            </w:tcBorders>
            <w:shd w:val="clear" w:color="auto" w:fill="auto"/>
            <w:vAlign w:val="bottom"/>
            <w:hideMark/>
          </w:tcPr>
          <w:p w14:paraId="481BD794"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SSB</w:t>
            </w:r>
          </w:p>
        </w:tc>
        <w:tc>
          <w:tcPr>
            <w:tcW w:w="0" w:type="auto"/>
            <w:tcBorders>
              <w:top w:val="nil"/>
              <w:left w:val="nil"/>
              <w:bottom w:val="single" w:sz="4" w:space="0" w:color="auto"/>
              <w:right w:val="single" w:sz="4" w:space="0" w:color="auto"/>
            </w:tcBorders>
            <w:shd w:val="clear" w:color="auto" w:fill="auto"/>
            <w:vAlign w:val="bottom"/>
            <w:hideMark/>
          </w:tcPr>
          <w:p w14:paraId="6F2A2E11"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 xml:space="preserve">semi-statically configured </w:t>
            </w:r>
          </w:p>
        </w:tc>
        <w:tc>
          <w:tcPr>
            <w:tcW w:w="0" w:type="auto"/>
            <w:tcBorders>
              <w:top w:val="nil"/>
              <w:left w:val="nil"/>
              <w:bottom w:val="single" w:sz="4" w:space="0" w:color="auto"/>
              <w:right w:val="single" w:sz="4" w:space="0" w:color="auto"/>
            </w:tcBorders>
            <w:shd w:val="clear" w:color="auto" w:fill="auto"/>
            <w:vAlign w:val="bottom"/>
            <w:hideMark/>
          </w:tcPr>
          <w:p w14:paraId="40363232" w14:textId="77777777" w:rsidR="00B1212B" w:rsidRPr="00B1212B" w:rsidRDefault="00B1212B" w:rsidP="00B1212B">
            <w:pPr>
              <w:spacing w:after="0"/>
              <w:jc w:val="center"/>
              <w:rPr>
                <w:rFonts w:ascii="Calibri" w:eastAsia="Times New Roman" w:hAnsi="Calibri" w:cs="Calibri"/>
                <w:color w:val="000000"/>
                <w:lang w:val="en-US" w:eastAsia="zh-CN"/>
              </w:rPr>
            </w:pPr>
            <w:r w:rsidRPr="00B1212B">
              <w:rPr>
                <w:rFonts w:ascii="Calibri" w:eastAsia="Times New Roman" w:hAnsi="Calibri" w:cs="Calibri"/>
                <w:color w:val="000000"/>
                <w:lang w:val="en-US" w:eastAsia="zh-CN"/>
              </w:rPr>
              <w:t>SSB</w:t>
            </w:r>
          </w:p>
        </w:tc>
      </w:tr>
    </w:tbl>
    <w:p w14:paraId="301132CF" w14:textId="77777777" w:rsidR="0028144C" w:rsidRDefault="0028144C" w:rsidP="00186C42">
      <w:pPr>
        <w:rPr>
          <w:rFonts w:eastAsia="Malgun Gothic"/>
          <w:lang w:eastAsia="ko-KR"/>
        </w:rPr>
      </w:pPr>
    </w:p>
    <w:p w14:paraId="6E4CE56F" w14:textId="2576A7B6" w:rsidR="00186C42" w:rsidRDefault="009D37C5" w:rsidP="00217833">
      <w:pPr>
        <w:jc w:val="both"/>
      </w:pPr>
      <w:bookmarkStart w:id="18" w:name="OLE_LINK62"/>
      <w:r>
        <w:rPr>
          <w:rFonts w:eastAsia="Malgun Gothic"/>
          <w:lang w:eastAsia="ko-KR"/>
        </w:rPr>
        <w:t xml:space="preserve">For </w:t>
      </w:r>
      <w:r w:rsidRPr="00CF56F2">
        <w:rPr>
          <w:rFonts w:eastAsia="Malgun Gothic"/>
          <w:lang w:eastAsia="ko-KR"/>
        </w:rPr>
        <w:t>Rel-17 RedCap and Rel-18 eRedCap UEs with NR NTN operating in FR1-NTN bands</w:t>
      </w:r>
      <w:r>
        <w:rPr>
          <w:rFonts w:eastAsia="Malgun Gothic"/>
          <w:lang w:eastAsia="ko-KR"/>
        </w:rPr>
        <w:t xml:space="preserve">, those collision cases </w:t>
      </w:r>
      <w:r w:rsidR="00CF2091">
        <w:rPr>
          <w:rFonts w:eastAsia="Malgun Gothic"/>
          <w:lang w:eastAsia="ko-KR"/>
        </w:rPr>
        <w:t>can be</w:t>
      </w:r>
      <w:r>
        <w:rPr>
          <w:rFonts w:eastAsia="Malgun Gothic"/>
          <w:lang w:eastAsia="ko-KR"/>
        </w:rPr>
        <w:t xml:space="preserve"> </w:t>
      </w:r>
      <w:bookmarkEnd w:id="18"/>
      <w:r>
        <w:rPr>
          <w:rFonts w:eastAsia="Malgun Gothic"/>
          <w:lang w:eastAsia="ko-KR"/>
        </w:rPr>
        <w:t xml:space="preserve">checked </w:t>
      </w:r>
      <w:r w:rsidRPr="00CF56F2">
        <w:t>whether any essential changes are needed for their support</w:t>
      </w:r>
      <w:r w:rsidR="00096A90">
        <w:t xml:space="preserve"> d</w:t>
      </w:r>
      <w:r w:rsidR="00BB5932" w:rsidRPr="00BB5932">
        <w:t>ue to large TA</w:t>
      </w:r>
      <w:r w:rsidR="003007F7">
        <w:t xml:space="preserve"> and fast TA adjustment</w:t>
      </w:r>
      <w:r w:rsidR="00BB5932" w:rsidRPr="00BB5932">
        <w:t xml:space="preserve"> of NTN</w:t>
      </w:r>
      <w:r w:rsidR="00BB5932">
        <w:t xml:space="preserve">. </w:t>
      </w:r>
    </w:p>
    <w:p w14:paraId="39061805" w14:textId="20437B3E" w:rsidR="005431AE" w:rsidRDefault="005431AE" w:rsidP="005431AE">
      <w:pPr>
        <w:pStyle w:val="2"/>
      </w:pPr>
      <w:r>
        <w:t>TA inclusive</w:t>
      </w:r>
    </w:p>
    <w:p w14:paraId="6AC884E5" w14:textId="35450AEF" w:rsidR="00F97BFD" w:rsidRDefault="0030497C" w:rsidP="009F37D2">
      <w:pPr>
        <w:jc w:val="both"/>
      </w:pPr>
      <w:bookmarkStart w:id="19" w:name="OLE_LINK76"/>
      <w:bookmarkStart w:id="20" w:name="OLE_LINK77"/>
      <w:r>
        <w:t xml:space="preserve">In this section, it provides the analysis of </w:t>
      </w:r>
      <w:r w:rsidR="00096A90">
        <w:t xml:space="preserve">whether or not the collision cases of </w:t>
      </w:r>
      <w:r w:rsidR="009B029D">
        <w:t xml:space="preserve">HD-FDD </w:t>
      </w:r>
      <w:r w:rsidR="00096A90">
        <w:t xml:space="preserve">redcap has already considered TA impact.  </w:t>
      </w:r>
      <w:r w:rsidR="00F97BFD">
        <w:t>There were some discussions on timing and scheduling whether or not include TA</w:t>
      </w:r>
      <w:r w:rsidR="0055379A">
        <w:t xml:space="preserve"> during RAN1#98b</w:t>
      </w:r>
      <w:r w:rsidR="00073A08">
        <w:t xml:space="preserve"> [2]</w:t>
      </w:r>
      <w:r w:rsidR="0055379A">
        <w:t>, the conclusion was as below.</w:t>
      </w:r>
    </w:p>
    <w:tbl>
      <w:tblPr>
        <w:tblStyle w:val="aff"/>
        <w:tblW w:w="0" w:type="auto"/>
        <w:tblLook w:val="04A0" w:firstRow="1" w:lastRow="0" w:firstColumn="1" w:lastColumn="0" w:noHBand="0" w:noVBand="1"/>
      </w:tblPr>
      <w:tblGrid>
        <w:gridCol w:w="9630"/>
      </w:tblGrid>
      <w:tr w:rsidR="006C387A" w14:paraId="18D45B32" w14:textId="77777777" w:rsidTr="006C387A">
        <w:tc>
          <w:tcPr>
            <w:tcW w:w="9630" w:type="dxa"/>
          </w:tcPr>
          <w:bookmarkEnd w:id="19"/>
          <w:bookmarkEnd w:id="20"/>
          <w:p w14:paraId="4E750FEC" w14:textId="77777777" w:rsidR="006C387A" w:rsidRPr="007A3C8F" w:rsidRDefault="006C387A" w:rsidP="006C387A">
            <w:pPr>
              <w:rPr>
                <w:lang w:eastAsia="x-none"/>
              </w:rPr>
            </w:pPr>
            <w:r w:rsidRPr="007A3C8F">
              <w:rPr>
                <w:b/>
                <w:bCs/>
                <w:u w:val="single"/>
                <w:lang w:eastAsia="x-none"/>
              </w:rPr>
              <w:t>Conclusion</w:t>
            </w:r>
            <w:r w:rsidRPr="007A3C8F">
              <w:rPr>
                <w:lang w:eastAsia="x-none"/>
              </w:rPr>
              <w:t>:</w:t>
            </w:r>
          </w:p>
          <w:p w14:paraId="7BF09D02" w14:textId="77777777" w:rsidR="006C387A" w:rsidRPr="007A3C8F" w:rsidRDefault="006C387A" w:rsidP="006C387A">
            <w:pPr>
              <w:numPr>
                <w:ilvl w:val="0"/>
                <w:numId w:val="42"/>
              </w:numPr>
              <w:spacing w:after="0"/>
              <w:rPr>
                <w:lang w:eastAsia="x-none"/>
              </w:rPr>
            </w:pPr>
            <w:r w:rsidRPr="007A3C8F">
              <w:rPr>
                <w:lang w:eastAsia="x-none"/>
              </w:rPr>
              <w:t xml:space="preserve">The table in </w:t>
            </w:r>
            <w:bookmarkStart w:id="21" w:name="OLE_LINK57"/>
            <w:r>
              <w:fldChar w:fldCharType="begin"/>
            </w:r>
            <w:r>
              <w:instrText xml:space="preserve"> HYPERLINK "file:///C:\\Users\\wanshic\\OneDrive%20-%20Qualcomm\\Documents\\Standards\\3GPP%20Standards\\Meeting%20Documents\\TSGR1_98b\\R1-1911583.zip" </w:instrText>
            </w:r>
            <w:r>
              <w:fldChar w:fldCharType="separate"/>
            </w:r>
            <w:r>
              <w:rPr>
                <w:rStyle w:val="af"/>
                <w:lang w:eastAsia="x-none"/>
              </w:rPr>
              <w:t>R1-1911583</w:t>
            </w:r>
            <w:r>
              <w:rPr>
                <w:rStyle w:val="af"/>
                <w:lang w:eastAsia="x-none"/>
              </w:rPr>
              <w:fldChar w:fldCharType="end"/>
            </w:r>
            <w:r w:rsidRPr="007A3C8F">
              <w:rPr>
                <w:lang w:eastAsia="x-none"/>
              </w:rPr>
              <w:t xml:space="preserve"> </w:t>
            </w:r>
            <w:bookmarkEnd w:id="21"/>
            <w:r w:rsidRPr="007A3C8F">
              <w:rPr>
                <w:lang w:eastAsia="x-none"/>
              </w:rPr>
              <w:t>contains the common understanding in RAN1, except</w:t>
            </w:r>
          </w:p>
          <w:p w14:paraId="06B6407B" w14:textId="6D5A93A4" w:rsidR="006C387A" w:rsidRDefault="006C387A" w:rsidP="006C387A">
            <w:pPr>
              <w:ind w:left="720"/>
            </w:pPr>
            <w:r w:rsidRPr="007A3C8F">
              <w:rPr>
                <w:lang w:eastAsia="x-none"/>
              </w:rPr>
              <w:t>By removing the row “Time threshold for default beam vs. new TCI beam”</w:t>
            </w:r>
          </w:p>
        </w:tc>
      </w:tr>
    </w:tbl>
    <w:p w14:paraId="7F6D027D" w14:textId="2CF261F4" w:rsidR="006C387A" w:rsidRDefault="006C387A" w:rsidP="00186C42"/>
    <w:p w14:paraId="69A48FA6" w14:textId="6927D47B" w:rsidR="00162FF2" w:rsidRDefault="00162FF2" w:rsidP="00186C42">
      <w:bookmarkStart w:id="22" w:name="OLE_LINK15"/>
      <w:r w:rsidRPr="00FB5C8D">
        <w:t xml:space="preserve">The terrestrial NR (TN) positioning methods specified in Rel. 16/17 have been designed taking into account the </w:t>
      </w:r>
      <w:bookmarkStart w:id="23" w:name="OLE_LINK14"/>
      <w:r w:rsidRPr="00FB5C8D">
        <w:t>typical</w:t>
      </w:r>
      <w:bookmarkEnd w:id="23"/>
      <w:r w:rsidRPr="00FB5C8D">
        <w:t xml:space="preserve"> propagation and coverage requirements of TN in mind.</w:t>
      </w:r>
      <w:bookmarkEnd w:id="22"/>
    </w:p>
    <w:p w14:paraId="2C2DF8AA" w14:textId="6AC88719" w:rsidR="006D3750" w:rsidRDefault="00FD2BDD" w:rsidP="00FD2BDD">
      <w:pPr>
        <w:pStyle w:val="3"/>
      </w:pPr>
      <w:r>
        <w:t>D</w:t>
      </w:r>
      <w:r w:rsidR="006D3750">
        <w:t>etermination</w:t>
      </w:r>
      <w:r>
        <w:t xml:space="preserve"> of collision</w:t>
      </w:r>
    </w:p>
    <w:p w14:paraId="1CD40F00" w14:textId="77E07FB9" w:rsidR="00127459" w:rsidRDefault="00127459" w:rsidP="00186C42">
      <w:bookmarkStart w:id="24" w:name="OLE_LINK67"/>
      <w:r>
        <w:t xml:space="preserve">According to the </w:t>
      </w:r>
      <w:r w:rsidR="006C387A">
        <w:t>common understanding</w:t>
      </w:r>
      <w:r>
        <w:t xml:space="preserve"> in </w:t>
      </w:r>
      <w:r w:rsidR="006C387A">
        <w:t>[2]</w:t>
      </w:r>
      <w:r>
        <w:t xml:space="preserve">, </w:t>
      </w:r>
      <w:r w:rsidR="00231CAC">
        <w:t xml:space="preserve">the overlapping of </w:t>
      </w:r>
      <w:bookmarkStart w:id="25" w:name="OLE_LINK59"/>
      <w:r>
        <w:t>SSB/RRM vs. dynamic UL grant</w:t>
      </w:r>
      <w:r w:rsidR="00073A08">
        <w:t xml:space="preserve"> </w:t>
      </w:r>
      <w:bookmarkEnd w:id="25"/>
      <w:r w:rsidR="0095490C">
        <w:t xml:space="preserve">as </w:t>
      </w:r>
      <w:bookmarkStart w:id="26" w:name="OLE_LINK60"/>
      <w:bookmarkStart w:id="27" w:name="OLE_LINK61"/>
      <w:r w:rsidR="0095490C">
        <w:t xml:space="preserve">in </w:t>
      </w:r>
      <w:r w:rsidR="0095490C">
        <w:fldChar w:fldCharType="begin"/>
      </w:r>
      <w:r w:rsidR="0095490C">
        <w:instrText xml:space="preserve"> REF _Ref157600967 \h </w:instrText>
      </w:r>
      <w:r w:rsidR="0095490C">
        <w:fldChar w:fldCharType="separate"/>
      </w:r>
      <w:r w:rsidR="0095490C">
        <w:t xml:space="preserve">Table </w:t>
      </w:r>
      <w:r w:rsidR="0095490C">
        <w:rPr>
          <w:noProof/>
        </w:rPr>
        <w:t>2</w:t>
      </w:r>
      <w:r w:rsidR="0095490C">
        <w:fldChar w:fldCharType="end"/>
      </w:r>
      <w:bookmarkEnd w:id="26"/>
      <w:bookmarkEnd w:id="27"/>
      <w:r w:rsidR="00231CAC">
        <w:t xml:space="preserve"> takes into account TA.</w:t>
      </w:r>
      <w:r>
        <w:t xml:space="preserve"> </w:t>
      </w:r>
      <w:r w:rsidR="00231CAC">
        <w:t>T</w:t>
      </w:r>
      <w:r w:rsidR="007D2EF4">
        <w:t>he statement</w:t>
      </w:r>
      <w:r w:rsidR="00231CAC">
        <w:t xml:space="preserve"> of SSB/RRM vs. dynamic UL grant in </w:t>
      </w:r>
      <w:r w:rsidR="00231CAC">
        <w:fldChar w:fldCharType="begin"/>
      </w:r>
      <w:r w:rsidR="00231CAC">
        <w:instrText xml:space="preserve"> REF _Ref157600967 \h </w:instrText>
      </w:r>
      <w:r w:rsidR="00231CAC">
        <w:fldChar w:fldCharType="separate"/>
      </w:r>
      <w:r w:rsidR="00231CAC">
        <w:t xml:space="preserve">Table </w:t>
      </w:r>
      <w:r w:rsidR="00231CAC">
        <w:rPr>
          <w:noProof/>
        </w:rPr>
        <w:t>2</w:t>
      </w:r>
      <w:r w:rsidR="00231CAC">
        <w:fldChar w:fldCharType="end"/>
      </w:r>
      <w:r w:rsidR="007D2EF4">
        <w:t xml:space="preserve"> is as same as HD-FDD redcap in clause xxx 38.213.</w:t>
      </w:r>
      <w:r w:rsidR="00C222D1">
        <w:t xml:space="preserve"> Thus it is clear that</w:t>
      </w:r>
      <w:r w:rsidR="005E1B48">
        <w:t xml:space="preserve"> </w:t>
      </w:r>
      <w:r w:rsidR="00FE0373">
        <w:t>the collision or overlapping between DL and UL channel/signals has taken into account TA impact.</w:t>
      </w:r>
      <w:bookmarkEnd w:id="24"/>
      <w:r w:rsidR="00047B7D" w:rsidRPr="00047B7D">
        <w:tab/>
      </w:r>
      <w:r w:rsidR="00E13231">
        <w:t xml:space="preserve"> </w:t>
      </w:r>
    </w:p>
    <w:p w14:paraId="56D42676" w14:textId="29BF24DE" w:rsidR="00127459" w:rsidRDefault="00073A08" w:rsidP="0095490C">
      <w:pPr>
        <w:pStyle w:val="ae"/>
        <w:jc w:val="center"/>
      </w:pPr>
      <w:bookmarkStart w:id="28" w:name="_Ref157600967"/>
      <w:r>
        <w:t xml:space="preserve">Table </w:t>
      </w:r>
      <w:r>
        <w:fldChar w:fldCharType="begin"/>
      </w:r>
      <w:r>
        <w:instrText xml:space="preserve"> SEQ Table \* ARABIC </w:instrText>
      </w:r>
      <w:r>
        <w:fldChar w:fldCharType="separate"/>
      </w:r>
      <w:r w:rsidR="007637EA">
        <w:rPr>
          <w:noProof/>
        </w:rPr>
        <w:t>2</w:t>
      </w:r>
      <w:r>
        <w:fldChar w:fldCharType="end"/>
      </w:r>
      <w:bookmarkEnd w:id="28"/>
      <w:r>
        <w:t>:</w:t>
      </w:r>
      <w:r w:rsidRPr="00073A08">
        <w:t xml:space="preserve"> </w:t>
      </w:r>
      <w:r>
        <w:t>Collision or overlapping between DL and UL channel/signals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127459" w14:paraId="7092BBD6" w14:textId="77777777" w:rsidTr="00127459">
        <w:tc>
          <w:tcPr>
            <w:tcW w:w="1292" w:type="dxa"/>
            <w:tcMar>
              <w:top w:w="0" w:type="dxa"/>
              <w:left w:w="108" w:type="dxa"/>
              <w:bottom w:w="0" w:type="dxa"/>
              <w:right w:w="108" w:type="dxa"/>
            </w:tcMar>
            <w:hideMark/>
          </w:tcPr>
          <w:p w14:paraId="4D98DE7D" w14:textId="77777777" w:rsidR="00127459" w:rsidRDefault="00127459" w:rsidP="003E2A84">
            <w:pPr>
              <w:spacing w:after="0"/>
              <w:rPr>
                <w:rFonts w:ascii="Calibri" w:hAnsi="Calibri" w:cs="Calibri"/>
              </w:rPr>
            </w:pPr>
            <w:r>
              <w:rPr>
                <w:rFonts w:ascii="Calibri" w:hAnsi="Calibri" w:cs="Calibri"/>
              </w:rPr>
              <w:t>SSB/RRM vs. dynamic UL grant</w:t>
            </w:r>
          </w:p>
        </w:tc>
        <w:tc>
          <w:tcPr>
            <w:tcW w:w="4935" w:type="dxa"/>
            <w:tcMar>
              <w:top w:w="0" w:type="dxa"/>
              <w:left w:w="108" w:type="dxa"/>
              <w:bottom w:w="0" w:type="dxa"/>
              <w:right w:w="108" w:type="dxa"/>
            </w:tcMar>
          </w:tcPr>
          <w:p w14:paraId="7C9C2E5C" w14:textId="77777777" w:rsidR="00127459" w:rsidRDefault="00127459" w:rsidP="003E2A84">
            <w:pPr>
              <w:spacing w:after="0"/>
              <w:rPr>
                <w:rFonts w:ascii="Calibri" w:hAnsi="Calibri" w:cs="Calibri"/>
              </w:rPr>
            </w:pPr>
          </w:p>
          <w:p w14:paraId="0EAB79A2" w14:textId="77777777" w:rsidR="00127459" w:rsidRPr="0055287D" w:rsidRDefault="00127459" w:rsidP="003E2A84">
            <w:pPr>
              <w:keepNext/>
              <w:keepLines/>
              <w:spacing w:before="120"/>
              <w:ind w:left="1134" w:hanging="1134"/>
              <w:outlineLvl w:val="2"/>
              <w:rPr>
                <w:rFonts w:ascii="Arial" w:eastAsia="Yu Mincho" w:hAnsi="Arial"/>
                <w:sz w:val="28"/>
              </w:rPr>
            </w:pPr>
            <w:r w:rsidRPr="0055287D">
              <w:rPr>
                <w:rFonts w:ascii="Arial" w:eastAsia="Yu Mincho" w:hAnsi="Arial"/>
                <w:sz w:val="28"/>
              </w:rPr>
              <w:t>11.1.1</w:t>
            </w:r>
            <w:r w:rsidRPr="0055287D">
              <w:rPr>
                <w:rFonts w:ascii="Arial" w:eastAsia="Yu Mincho" w:hAnsi="Arial"/>
                <w:sz w:val="28"/>
              </w:rPr>
              <w:tab/>
              <w:t>UE procedure for determining slot format</w:t>
            </w:r>
          </w:p>
          <w:p w14:paraId="6365F937" w14:textId="77777777" w:rsidR="00127459" w:rsidRDefault="00127459" w:rsidP="003E2A84">
            <w:pPr>
              <w:rPr>
                <w:rFonts w:eastAsia="Yu Mincho"/>
                <w:lang w:eastAsia="ja-JP"/>
              </w:rPr>
            </w:pPr>
            <w:r>
              <w:rPr>
                <w:rFonts w:eastAsia="Yu Mincho" w:hint="eastAsia"/>
                <w:lang w:eastAsia="ja-JP"/>
              </w:rPr>
              <w:t>[</w:t>
            </w:r>
            <w:r>
              <w:rPr>
                <w:rFonts w:eastAsia="Yu Mincho"/>
                <w:lang w:eastAsia="ja-JP"/>
              </w:rPr>
              <w:t>…]</w:t>
            </w:r>
          </w:p>
          <w:p w14:paraId="5A16AA1D" w14:textId="77777777" w:rsidR="00127459" w:rsidRPr="00AE7676" w:rsidRDefault="00127459" w:rsidP="003E2A84">
            <w:pPr>
              <w:rPr>
                <w:rFonts w:eastAsia="Yu Mincho"/>
              </w:rPr>
            </w:pPr>
            <w:r w:rsidRPr="00AE7676">
              <w:rPr>
                <w:rFonts w:eastAsia="Yu Mincho"/>
              </w:rPr>
              <w:t xml:space="preserve">For unpaired spectrum operation for a UE on a cell in a frequency band of FR1, </w:t>
            </w:r>
            <w:r w:rsidRPr="00AE7676">
              <w:rPr>
                <w:rFonts w:eastAsia="Yu Mincho"/>
                <w:color w:val="000000"/>
              </w:rPr>
              <w:t xml:space="preserve">and when the scheduling restrictions due to RRM measurements [10, TS 38.133] are </w:t>
            </w:r>
            <w:r w:rsidRPr="003D3035">
              <w:rPr>
                <w:rFonts w:eastAsia="Yu Mincho"/>
                <w:color w:val="000000"/>
              </w:rPr>
              <w:t xml:space="preserve">not applicable, </w:t>
            </w:r>
            <w:r w:rsidRPr="003D3035">
              <w:rPr>
                <w:rFonts w:eastAsia="Yu Mincho"/>
              </w:rPr>
              <w:t xml:space="preserve">if the UE detects a DCI format 0_0, DCI format 0_1, DCI format 1_0, DCI format 1_1, or DCI format 2_3 indicating to the UE to transmit in a set of symbols, the UE is not required to perform </w:t>
            </w:r>
            <w:r w:rsidRPr="003D3035">
              <w:rPr>
                <w:rFonts w:eastAsia="Yu Mincho"/>
                <w:lang w:eastAsia="ja-JP"/>
              </w:rPr>
              <w:t xml:space="preserve">RRM </w:t>
            </w:r>
            <w:r w:rsidRPr="003D3035">
              <w:rPr>
                <w:rFonts w:eastAsia="Yu Mincho"/>
                <w:lang w:eastAsia="ja-JP"/>
              </w:rPr>
              <w:lastRenderedPageBreak/>
              <w:t xml:space="preserve">measurements </w:t>
            </w:r>
            <w:r w:rsidRPr="003D3035">
              <w:rPr>
                <w:rFonts w:eastAsia="Yu Mincho"/>
              </w:rPr>
              <w:t>[10, TS 38.133] based on a SS/PBCH block or CSI-RS reception on a different cell in the frequency band if the SS/PBCH block or CSI-RS reception includes at least one symbol from the set of symbols.</w:t>
            </w:r>
          </w:p>
          <w:p w14:paraId="32891365" w14:textId="77777777" w:rsidR="00127459" w:rsidRDefault="00127459" w:rsidP="003E2A84">
            <w:pPr>
              <w:spacing w:after="0"/>
              <w:rPr>
                <w:rFonts w:ascii="Calibri" w:hAnsi="Calibri" w:cs="Calibri"/>
              </w:rPr>
            </w:pPr>
          </w:p>
        </w:tc>
        <w:tc>
          <w:tcPr>
            <w:tcW w:w="3113" w:type="dxa"/>
            <w:tcMar>
              <w:top w:w="0" w:type="dxa"/>
              <w:left w:w="108" w:type="dxa"/>
              <w:bottom w:w="0" w:type="dxa"/>
              <w:right w:w="108" w:type="dxa"/>
            </w:tcMar>
            <w:hideMark/>
          </w:tcPr>
          <w:p w14:paraId="4FB9E301" w14:textId="77777777" w:rsidR="00127459" w:rsidRDefault="00127459" w:rsidP="003E2A84">
            <w:pPr>
              <w:spacing w:after="0"/>
              <w:rPr>
                <w:rFonts w:ascii="Calibri" w:hAnsi="Calibri" w:cs="Calibri"/>
              </w:rPr>
            </w:pPr>
          </w:p>
          <w:p w14:paraId="29468AFC" w14:textId="77777777" w:rsidR="00127459" w:rsidRDefault="00127459" w:rsidP="003E2A84">
            <w:pPr>
              <w:spacing w:after="0"/>
              <w:rPr>
                <w:rFonts w:ascii="Calibri" w:hAnsi="Calibri" w:cs="Calibri"/>
              </w:rPr>
            </w:pPr>
            <w:r w:rsidRPr="003A5692">
              <w:rPr>
                <w:rFonts w:ascii="Calibri" w:hAnsi="Calibri" w:cs="Calibri"/>
                <w:lang w:eastAsia="ja-JP"/>
              </w:rPr>
              <w:t>The determination of “if the SS/PBCH block or CSI-RS reception includes at least one symbol from the set of symbols“ takes into account DL timing difference(s) and TA(s)</w:t>
            </w:r>
          </w:p>
          <w:p w14:paraId="124EB56C" w14:textId="77777777" w:rsidR="00127459" w:rsidRDefault="00127459" w:rsidP="003E2A84">
            <w:pPr>
              <w:spacing w:after="0"/>
              <w:rPr>
                <w:rFonts w:ascii="Calibri" w:hAnsi="Calibri" w:cs="Calibri"/>
              </w:rPr>
            </w:pPr>
          </w:p>
        </w:tc>
      </w:tr>
    </w:tbl>
    <w:p w14:paraId="785460CB" w14:textId="71930503" w:rsidR="00127459" w:rsidRDefault="00127459" w:rsidP="00186C42"/>
    <w:p w14:paraId="30342F8A" w14:textId="3EA7B32A" w:rsidR="00E13231" w:rsidRDefault="00231CAC" w:rsidP="00186C42">
      <w:r>
        <w:t>Therefore, t</w:t>
      </w:r>
      <w:r w:rsidR="00B043A8" w:rsidRPr="00047B7D">
        <w:t xml:space="preserve">he </w:t>
      </w:r>
      <w:r w:rsidR="00B043A8">
        <w:t xml:space="preserve">collision </w:t>
      </w:r>
      <w:r w:rsidR="00B043A8" w:rsidRPr="00047B7D">
        <w:t>determination</w:t>
      </w:r>
      <w:r w:rsidR="00B043A8">
        <w:t xml:space="preserve"> of HD-FDD redcap, including</w:t>
      </w:r>
      <w:r w:rsidR="00B043A8" w:rsidRPr="00047B7D">
        <w:t xml:space="preserve"> “a reception in a set of symbols” and “a transmission in any symbol from the set of symbols” takes into account TA(s)</w:t>
      </w:r>
      <w:r w:rsidR="00B043A8">
        <w:t xml:space="preserve"> for case </w:t>
      </w:r>
      <w:r w:rsidR="00073A08">
        <w:t>2,</w:t>
      </w:r>
      <w:r w:rsidR="00DB57CF">
        <w:t xml:space="preserve"> </w:t>
      </w:r>
      <w:r w:rsidR="00073A08">
        <w:t xml:space="preserve">3, </w:t>
      </w:r>
      <w:r w:rsidR="00B043A8">
        <w:t>4</w:t>
      </w:r>
      <w:r w:rsidR="00BA1749">
        <w:t>, 5</w:t>
      </w:r>
      <w:r w:rsidR="00B043A8">
        <w:t xml:space="preserve"> and case </w:t>
      </w:r>
      <w:r w:rsidR="00BA1749">
        <w:t>8</w:t>
      </w:r>
      <w:r w:rsidR="00B043A8">
        <w:t>.</w:t>
      </w:r>
    </w:p>
    <w:tbl>
      <w:tblPr>
        <w:tblStyle w:val="aff"/>
        <w:tblW w:w="0" w:type="auto"/>
        <w:tblLook w:val="04A0" w:firstRow="1" w:lastRow="0" w:firstColumn="1" w:lastColumn="0" w:noHBand="0" w:noVBand="1"/>
      </w:tblPr>
      <w:tblGrid>
        <w:gridCol w:w="9630"/>
      </w:tblGrid>
      <w:tr w:rsidR="002F152E" w:rsidRPr="002F152E" w14:paraId="47F05899" w14:textId="77777777" w:rsidTr="00BA1749">
        <w:tc>
          <w:tcPr>
            <w:tcW w:w="9630" w:type="dxa"/>
          </w:tcPr>
          <w:p w14:paraId="6A83BA8C" w14:textId="1B1AF0C6" w:rsidR="00E13231" w:rsidRPr="002F152E" w:rsidRDefault="00DB57CF" w:rsidP="00DB57CF">
            <w:pPr>
              <w:jc w:val="both"/>
              <w:rPr>
                <w:i/>
              </w:rPr>
            </w:pPr>
            <w:r w:rsidRPr="002F152E">
              <w:rPr>
                <w:i/>
              </w:rPr>
              <w:t>******</w:t>
            </w:r>
            <w:r w:rsidR="00E13231" w:rsidRPr="002F152E">
              <w:rPr>
                <w:i/>
              </w:rPr>
              <w:t>Case 4: Dynamically scheduled DL reception vs. dynamic scheduled UL transmission</w:t>
            </w:r>
            <w:r w:rsidRPr="002F152E">
              <w:rPr>
                <w:i/>
              </w:rPr>
              <w:t>***********</w:t>
            </w:r>
          </w:p>
          <w:p w14:paraId="5A988C50" w14:textId="77777777" w:rsidR="00E13231" w:rsidRPr="002F152E" w:rsidRDefault="00E13231" w:rsidP="00E13231">
            <w:pPr>
              <w:rPr>
                <w:i/>
              </w:rPr>
            </w:pPr>
            <w:r w:rsidRPr="002F152E">
              <w:rPr>
                <w:i/>
              </w:rPr>
              <w:t xml:space="preserve">A HD-UE does not expect to detect a DCI format scheduling </w:t>
            </w:r>
            <w:r w:rsidRPr="002F152E">
              <w:rPr>
                <w:i/>
                <w:highlight w:val="yellow"/>
              </w:rPr>
              <w:t>a reception in a set of symbols</w:t>
            </w:r>
            <w:r w:rsidRPr="002F152E">
              <w:rPr>
                <w:i/>
              </w:rPr>
              <w:t xml:space="preserve"> and detect a DCI format scheduling </w:t>
            </w:r>
            <w:r w:rsidRPr="002F152E">
              <w:rPr>
                <w:i/>
                <w:highlight w:val="yellow"/>
              </w:rPr>
              <w:t>a transmission in any symbol from the set of symbols</w:t>
            </w:r>
            <w:r w:rsidRPr="002F152E">
              <w:rPr>
                <w:i/>
              </w:rPr>
              <w:t>.</w:t>
            </w:r>
          </w:p>
          <w:p w14:paraId="294BB1C8" w14:textId="77777777" w:rsidR="00E13231" w:rsidRPr="002F152E" w:rsidRDefault="00E13231" w:rsidP="00E13231">
            <w:pPr>
              <w:rPr>
                <w:rFonts w:eastAsia="Malgun Gothic"/>
                <w:i/>
              </w:rPr>
            </w:pPr>
            <w:r w:rsidRPr="002F152E">
              <w:rPr>
                <w:rFonts w:eastAsia="Malgun Gothic"/>
                <w:i/>
              </w:rPr>
              <w:t>When a PDCCH reception by a UE includes two PDCCH candidates from corresponding search space sets, as described in clause 10.1, the end of the PDCCH reception is the end of the PDCCH candidate that ends later.</w:t>
            </w:r>
          </w:p>
          <w:p w14:paraId="57EFFB87" w14:textId="19A99C1A" w:rsidR="00E13231" w:rsidRPr="002F152E" w:rsidRDefault="002F152E" w:rsidP="00E13231">
            <w:pPr>
              <w:rPr>
                <w:i/>
              </w:rPr>
            </w:pPr>
            <w:bookmarkStart w:id="29" w:name="OLE_LINK63"/>
            <w:bookmarkStart w:id="30" w:name="OLE_LINK64"/>
            <w:r w:rsidRPr="002F152E">
              <w:rPr>
                <w:i/>
              </w:rPr>
              <w:t>******</w:t>
            </w:r>
            <w:bookmarkEnd w:id="29"/>
            <w:bookmarkEnd w:id="30"/>
            <w:r w:rsidR="00E13231" w:rsidRPr="002F152E">
              <w:rPr>
                <w:i/>
              </w:rPr>
              <w:t>Case 2: Semi-statically configured DL reception vs. dynamically scheduled UL transmission</w:t>
            </w:r>
            <w:bookmarkStart w:id="31" w:name="OLE_LINK65"/>
            <w:r w:rsidRPr="002F152E">
              <w:rPr>
                <w:i/>
              </w:rPr>
              <w:t>********</w:t>
            </w:r>
            <w:bookmarkEnd w:id="31"/>
          </w:p>
          <w:p w14:paraId="642ABE3D" w14:textId="77777777" w:rsidR="00E13231" w:rsidRPr="002F152E" w:rsidRDefault="00E13231" w:rsidP="00186C42">
            <w:pPr>
              <w:rPr>
                <w:i/>
              </w:rPr>
            </w:pPr>
            <w:r w:rsidRPr="002F152E">
              <w:rPr>
                <w:i/>
              </w:rPr>
              <w:t xml:space="preserve">If a HD-UE is configured by higher layers to </w:t>
            </w:r>
            <w:r w:rsidRPr="002F152E">
              <w:rPr>
                <w:i/>
                <w:highlight w:val="yellow"/>
              </w:rPr>
              <w:t>receive</w:t>
            </w:r>
            <w:r w:rsidRPr="002F152E">
              <w:rPr>
                <w:i/>
              </w:rPr>
              <w:t xml:space="preserve"> a PDCCH, or PDSCH, or CSI-RS, or DL PRS </w:t>
            </w:r>
            <w:r w:rsidRPr="002F152E">
              <w:rPr>
                <w:i/>
                <w:highlight w:val="yellow"/>
              </w:rPr>
              <w:t>in a set of symbols</w:t>
            </w:r>
            <w:r w:rsidRPr="002F152E">
              <w:rPr>
                <w:i/>
              </w:rPr>
              <w:t xml:space="preserve">, the HD-UE receives the PDCCH, or PDSCH, or CSI-RS, or DL PRS if the HD-UE does not detect a DCI format that indicates to the HD-UE to </w:t>
            </w:r>
            <w:r w:rsidRPr="002F152E">
              <w:rPr>
                <w:i/>
                <w:highlight w:val="yellow"/>
              </w:rPr>
              <w:t>transmit</w:t>
            </w:r>
            <w:r w:rsidRPr="002F152E">
              <w:rPr>
                <w:i/>
              </w:rPr>
              <w:t xml:space="preserve"> a PUSCH, or PUCCH, or PRACH, or SRS in </w:t>
            </w:r>
            <w:r w:rsidRPr="002F152E">
              <w:rPr>
                <w:i/>
                <w:highlight w:val="yellow"/>
              </w:rPr>
              <w:t>at least one symbol of the set of symbols</w:t>
            </w:r>
            <w:r w:rsidRPr="002F152E">
              <w:rPr>
                <w:i/>
              </w:rPr>
              <w:t xml:space="preserve">; otherwise, the HD-UE does not receive the PDCCH, or PDSCH, or CSI-RS, or DL PRS in the set of symbols. </w:t>
            </w:r>
          </w:p>
          <w:p w14:paraId="56D1087E" w14:textId="57516B41" w:rsidR="00BF0016" w:rsidRPr="002F152E" w:rsidRDefault="00EB0466" w:rsidP="00BF0016">
            <w:pPr>
              <w:rPr>
                <w:i/>
              </w:rPr>
            </w:pPr>
            <w:r w:rsidRPr="002F152E">
              <w:rPr>
                <w:i/>
              </w:rPr>
              <w:t>******</w:t>
            </w:r>
            <w:r w:rsidR="00BF0016" w:rsidRPr="002F152E">
              <w:rPr>
                <w:i/>
              </w:rPr>
              <w:t>Case 3: Semi-statically configured DL reception vs. semi-statically configured UL transmission</w:t>
            </w:r>
            <w:r w:rsidRPr="002F152E">
              <w:rPr>
                <w:i/>
              </w:rPr>
              <w:t>********</w:t>
            </w:r>
            <w:r w:rsidR="00BF0016" w:rsidRPr="002F152E">
              <w:rPr>
                <w:i/>
              </w:rPr>
              <w:t xml:space="preserve">  </w:t>
            </w:r>
          </w:p>
          <w:p w14:paraId="2C3FBDEA" w14:textId="77777777" w:rsidR="00BF0016" w:rsidRPr="002F152E" w:rsidRDefault="00BF0016" w:rsidP="00BF0016">
            <w:pPr>
              <w:rPr>
                <w:i/>
              </w:rPr>
            </w:pPr>
            <w:r w:rsidRPr="002F152E">
              <w:rPr>
                <w:i/>
              </w:rPr>
              <w:t xml:space="preserve">A HD-UE does not expect to receive both dedicated higher layer parameters configuring </w:t>
            </w:r>
            <w:r w:rsidRPr="002F152E">
              <w:rPr>
                <w:i/>
                <w:highlight w:val="yellow"/>
              </w:rPr>
              <w:t>transmission in a set of symbols</w:t>
            </w:r>
            <w:r w:rsidRPr="002F152E">
              <w:rPr>
                <w:i/>
              </w:rPr>
              <w:t xml:space="preserve"> and dedicated higher layer parameters configuring </w:t>
            </w:r>
            <w:r w:rsidRPr="002F152E">
              <w:rPr>
                <w:i/>
                <w:highlight w:val="yellow"/>
              </w:rPr>
              <w:t>reception in the set of symbols</w:t>
            </w:r>
            <w:r w:rsidRPr="002F152E">
              <w:rPr>
                <w:i/>
              </w:rPr>
              <w:t xml:space="preserve">. A HD-UE does not expect to receive both a Type-0/0A/1/2-PDCCH CSS set configuration for PDCCH reception in a set of symbols and dedicated higher layer parameters configuring transmission in the set of symbols. </w:t>
            </w:r>
          </w:p>
          <w:p w14:paraId="00BA2000" w14:textId="0E2F500A" w:rsidR="00251FE9" w:rsidRPr="002F152E" w:rsidRDefault="00EB0466" w:rsidP="00BA1749">
            <w:pPr>
              <w:jc w:val="both"/>
              <w:rPr>
                <w:i/>
              </w:rPr>
            </w:pPr>
            <w:bookmarkStart w:id="32" w:name="OLE_LINK66"/>
            <w:r w:rsidRPr="002F152E">
              <w:rPr>
                <w:i/>
              </w:rPr>
              <w:t>*</w:t>
            </w:r>
            <w:bookmarkStart w:id="33" w:name="OLE_LINK78"/>
            <w:r w:rsidRPr="002F152E">
              <w:rPr>
                <w:i/>
              </w:rPr>
              <w:t>*****</w:t>
            </w:r>
            <w:bookmarkEnd w:id="33"/>
            <w:r w:rsidRPr="002F152E">
              <w:rPr>
                <w:i/>
              </w:rPr>
              <w:t>**</w:t>
            </w:r>
            <w:bookmarkEnd w:id="32"/>
            <w:r w:rsidR="00251FE9" w:rsidRPr="002F152E">
              <w:rPr>
                <w:i/>
              </w:rPr>
              <w:t>Case 5: Configured SSB vs. dynamically scheduled or configured UL transmission</w:t>
            </w:r>
            <w:r w:rsidRPr="002F152E">
              <w:rPr>
                <w:i/>
              </w:rPr>
              <w:t>********</w:t>
            </w:r>
            <w:r w:rsidR="00BA1749" w:rsidRPr="002F152E">
              <w:rPr>
                <w:i/>
              </w:rPr>
              <w:t>********</w:t>
            </w:r>
          </w:p>
          <w:p w14:paraId="7F6A4ADB" w14:textId="77777777" w:rsidR="00251FE9" w:rsidRPr="002F152E" w:rsidRDefault="00251FE9" w:rsidP="00251FE9">
            <w:pPr>
              <w:rPr>
                <w:i/>
              </w:rPr>
            </w:pPr>
            <w:r w:rsidRPr="002F152E">
              <w:rPr>
                <w:i/>
              </w:rPr>
              <w:t>If a HD-UE would transmit a PRACH based on a detected DCI format, or PUSCH, or PUCCH, or SRS and the HD-UE is indicated presence of SS/PBCH blocks within the active DL BWP by ssb-PositionsInBurst in SIB1 or in ServingCellConfigCommon</w:t>
            </w:r>
            <w:r w:rsidRPr="002F152E">
              <w:rPr>
                <w:i/>
                <w:iCs/>
              </w:rPr>
              <w:t xml:space="preserve"> </w:t>
            </w:r>
            <w:r w:rsidRPr="002F152E">
              <w:rPr>
                <w:i/>
              </w:rPr>
              <w:t>or by NonCellDefiningSSB</w:t>
            </w:r>
            <w:r w:rsidRPr="002F152E">
              <w:rPr>
                <w:i/>
                <w:iCs/>
              </w:rPr>
              <w:t xml:space="preserve"> in a set of symbols</w:t>
            </w:r>
            <w:r w:rsidRPr="002F152E">
              <w:rPr>
                <w:i/>
              </w:rPr>
              <w:t xml:space="preserve">, the HD-UE does not transmit PUSCH or PUCCH or PRACH if a transmission would </w:t>
            </w:r>
            <w:r w:rsidRPr="002F152E">
              <w:rPr>
                <w:i/>
                <w:highlight w:val="yellow"/>
              </w:rPr>
              <w:t>overlap with any symbol</w:t>
            </w:r>
            <w:r w:rsidRPr="002F152E">
              <w:rPr>
                <w:i/>
              </w:rPr>
              <w:t xml:space="preserve"> from the set of symbols and the HD-UE does not transmit SRS in the set of symbols.</w:t>
            </w:r>
          </w:p>
          <w:p w14:paraId="2BC6AFDE" w14:textId="481E5803" w:rsidR="00251FE9" w:rsidRPr="002F152E" w:rsidRDefault="00EB0466" w:rsidP="00BA1749">
            <w:pPr>
              <w:jc w:val="both"/>
              <w:rPr>
                <w:i/>
              </w:rPr>
            </w:pPr>
            <w:r w:rsidRPr="002F152E">
              <w:rPr>
                <w:i/>
              </w:rPr>
              <w:t>*****</w:t>
            </w:r>
            <w:r w:rsidR="00BA1749" w:rsidRPr="002F152E">
              <w:rPr>
                <w:i/>
              </w:rPr>
              <w:t>********</w:t>
            </w:r>
            <w:r w:rsidRPr="002F152E">
              <w:rPr>
                <w:i/>
              </w:rPr>
              <w:t>***</w:t>
            </w:r>
            <w:r w:rsidR="00251FE9" w:rsidRPr="002F152E">
              <w:rPr>
                <w:i/>
              </w:rPr>
              <w:t xml:space="preserve">Case </w:t>
            </w:r>
            <w:r>
              <w:rPr>
                <w:i/>
              </w:rPr>
              <w:t>8</w:t>
            </w:r>
            <w:r w:rsidR="00251FE9" w:rsidRPr="002F152E">
              <w:rPr>
                <w:i/>
              </w:rPr>
              <w:t>: Dynamic or semi-static DL vs. valid RO</w:t>
            </w:r>
            <w:r>
              <w:rPr>
                <w:i/>
              </w:rPr>
              <w:t xml:space="preserve"> or MsgA PUSCH</w:t>
            </w:r>
            <w:r w:rsidR="00251FE9" w:rsidRPr="002F152E">
              <w:rPr>
                <w:i/>
              </w:rPr>
              <w:t xml:space="preserve"> </w:t>
            </w:r>
            <w:r w:rsidRPr="002F152E">
              <w:rPr>
                <w:i/>
              </w:rPr>
              <w:t>***</w:t>
            </w:r>
            <w:bookmarkStart w:id="34" w:name="OLE_LINK69"/>
            <w:r w:rsidRPr="002F152E">
              <w:rPr>
                <w:i/>
              </w:rPr>
              <w:t>*****</w:t>
            </w:r>
            <w:r w:rsidR="00BA1749" w:rsidRPr="002F152E">
              <w:rPr>
                <w:i/>
              </w:rPr>
              <w:t>************</w:t>
            </w:r>
            <w:bookmarkEnd w:id="34"/>
            <w:r w:rsidR="00BA1749" w:rsidRPr="002F152E">
              <w:rPr>
                <w:i/>
              </w:rPr>
              <w:t>****</w:t>
            </w:r>
          </w:p>
          <w:p w14:paraId="33DD32BD" w14:textId="2288BE48" w:rsidR="00BF0016" w:rsidRPr="002F152E" w:rsidRDefault="00251FE9" w:rsidP="00EB0466">
            <w:pPr>
              <w:rPr>
                <w:i/>
              </w:rPr>
            </w:pPr>
            <w:r w:rsidRPr="002F152E">
              <w:rPr>
                <w:i/>
              </w:rPr>
              <w:t>If a HD-UE would transmit a PRACH or MsgA PUSCH triggered by higher layers in a set of symbols and would receive a PDCCH, or a PDSCH, or a CSI-RS, or a DL PRS, or is indicated presence of SS/PBCH blocks within the active DL BWP by ssb-PositionsInBurst in SIB1 or in ServingCellConfigCommon or by NonCellDefiningSSB</w:t>
            </w:r>
            <w:r w:rsidRPr="002F152E">
              <w:rPr>
                <w:i/>
                <w:iCs/>
              </w:rPr>
              <w:t xml:space="preserve"> </w:t>
            </w:r>
            <w:r w:rsidRPr="002F152E">
              <w:rPr>
                <w:i/>
              </w:rPr>
              <w:t>in symbols that include any symbol from the set of symbols, the HD-UE can select based on its implementation whether to either transmit the PRACH or the MsgA PUSCH or receive the PDSCH, or the CSI-RS, or the PL RS, or the PDCCH, or the SS/PBCH blocks.</w:t>
            </w:r>
          </w:p>
        </w:tc>
      </w:tr>
    </w:tbl>
    <w:p w14:paraId="5E13B6C9" w14:textId="38064681" w:rsidR="00E13231" w:rsidRDefault="00E13231" w:rsidP="00186C42"/>
    <w:p w14:paraId="1458E1CD" w14:textId="77777777" w:rsidR="00251FE9" w:rsidRPr="00251FE9" w:rsidRDefault="00251FE9" w:rsidP="00DC1042">
      <w:pPr>
        <w:pStyle w:val="aff8"/>
        <w:numPr>
          <w:ilvl w:val="0"/>
          <w:numId w:val="44"/>
        </w:numPr>
        <w:snapToGrid w:val="0"/>
        <w:ind w:leftChars="0" w:left="0" w:firstLine="0"/>
        <w:rPr>
          <w:b/>
          <w:i/>
        </w:rPr>
      </w:pPr>
      <w:r w:rsidRPr="00251FE9">
        <w:rPr>
          <w:b/>
          <w:i/>
        </w:rPr>
        <w:t>The determination of collision, e.g. “a reception in a set of symbols” and “a transmission in any symbol from the set of symbols” takes TA(s) into account.</w:t>
      </w:r>
    </w:p>
    <w:p w14:paraId="63CB967B" w14:textId="77777777" w:rsidR="00251FE9" w:rsidRDefault="00251FE9" w:rsidP="00186C42"/>
    <w:p w14:paraId="3DDF777A" w14:textId="3AACD7A1" w:rsidR="00370A60" w:rsidRDefault="00370A60" w:rsidP="00370A60">
      <w:pPr>
        <w:pStyle w:val="3"/>
      </w:pPr>
      <w:r>
        <w:t>UL cancellation timeline</w:t>
      </w:r>
    </w:p>
    <w:p w14:paraId="13D9116F" w14:textId="04D3F3B6" w:rsidR="00EA3902" w:rsidRPr="00EA3902" w:rsidRDefault="00EA3902" w:rsidP="00EA3902">
      <w:pPr>
        <w:rPr>
          <w:lang w:eastAsia="ja-JP"/>
        </w:rPr>
      </w:pPr>
      <w:bookmarkStart w:id="35" w:name="OLE_LINK70"/>
      <w:r>
        <w:t xml:space="preserve">According to the common understanding in [2], the </w:t>
      </w:r>
      <w:bookmarkStart w:id="36" w:name="OLE_LINK68"/>
      <w:r w:rsidR="00E925A7">
        <w:t xml:space="preserve">PUSCH and PDSCH </w:t>
      </w:r>
      <w:r>
        <w:t>processing time</w:t>
      </w:r>
      <w:bookmarkEnd w:id="36"/>
      <w:r>
        <w:t xml:space="preserve"> in </w:t>
      </w:r>
      <w:r>
        <w:fldChar w:fldCharType="begin"/>
      </w:r>
      <w:r>
        <w:instrText xml:space="preserve"> REF _Ref157600967 \h </w:instrText>
      </w:r>
      <w:r>
        <w:fldChar w:fldCharType="separate"/>
      </w:r>
      <w:r>
        <w:t xml:space="preserve">Table </w:t>
      </w:r>
      <w:r>
        <w:rPr>
          <w:noProof/>
        </w:rPr>
        <w:t>2</w:t>
      </w:r>
      <w:r>
        <w:fldChar w:fldCharType="end"/>
      </w:r>
      <w:r>
        <w:t xml:space="preserve"> takes into account TA. </w:t>
      </w:r>
      <w:r w:rsidR="00E925A7">
        <w:t xml:space="preserve">And the UL cancellation time is based on PUSCH processing timeline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E925A7">
        <w:t xml:space="preserve">. </w:t>
      </w:r>
      <w:r>
        <w:t xml:space="preserve">Thus it is clear </w:t>
      </w:r>
      <w:r w:rsidR="00B81BF6">
        <w:t>when</w:t>
      </w:r>
      <w:r>
        <w:t xml:space="preserve"> the collision or overlapping between </w:t>
      </w:r>
      <w:r w:rsidR="00E925A7">
        <w:t xml:space="preserve">dynamic </w:t>
      </w:r>
      <w:r>
        <w:t xml:space="preserve">DL and </w:t>
      </w:r>
      <w:r w:rsidR="00E925A7">
        <w:t xml:space="preserve">semi-static </w:t>
      </w:r>
      <w:r>
        <w:t xml:space="preserve">UL </w:t>
      </w:r>
      <w:r w:rsidR="00E925A7">
        <w:t>happens, it</w:t>
      </w:r>
      <w:r>
        <w:t xml:space="preserve"> has taken into account TA impact.</w:t>
      </w:r>
    </w:p>
    <w:p w14:paraId="7C937865" w14:textId="56AA719C" w:rsidR="00EA3902" w:rsidRDefault="007637EA" w:rsidP="00ED595B">
      <w:pPr>
        <w:pStyle w:val="ae"/>
        <w:jc w:val="center"/>
      </w:pPr>
      <w:bookmarkStart w:id="37" w:name="OLE_LINK4"/>
      <w:bookmarkEnd w:id="35"/>
      <w:r>
        <w:t xml:space="preserve">Table </w:t>
      </w:r>
      <w:r>
        <w:fldChar w:fldCharType="begin"/>
      </w:r>
      <w:r>
        <w:instrText xml:space="preserve"> SEQ Table \* ARABIC </w:instrText>
      </w:r>
      <w:r>
        <w:fldChar w:fldCharType="separate"/>
      </w:r>
      <w:r>
        <w:rPr>
          <w:noProof/>
        </w:rPr>
        <w:t>3</w:t>
      </w:r>
      <w:r>
        <w:fldChar w:fldCharType="end"/>
      </w:r>
      <w:r>
        <w:t>:</w:t>
      </w:r>
      <w:r w:rsidR="00ED595B">
        <w:t xml:space="preserve"> TA in processing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AD2A21" w14:paraId="3C9E009B" w14:textId="77777777" w:rsidTr="00AD2A21">
        <w:tc>
          <w:tcPr>
            <w:tcW w:w="1292" w:type="dxa"/>
            <w:tcMar>
              <w:top w:w="0" w:type="dxa"/>
              <w:left w:w="108" w:type="dxa"/>
              <w:bottom w:w="0" w:type="dxa"/>
              <w:right w:w="108" w:type="dxa"/>
            </w:tcMar>
            <w:hideMark/>
          </w:tcPr>
          <w:bookmarkEnd w:id="37"/>
          <w:p w14:paraId="0A2B2760" w14:textId="77777777" w:rsidR="00AD2A21" w:rsidRPr="00B47AE2" w:rsidRDefault="00AD2A21" w:rsidP="003E2A84">
            <w:pPr>
              <w:spacing w:after="0"/>
              <w:rPr>
                <w:rFonts w:ascii="Calibri" w:hAnsi="Calibri" w:cs="Calibri"/>
              </w:rPr>
            </w:pPr>
            <w:r w:rsidRPr="00B47AE2">
              <w:rPr>
                <w:rFonts w:ascii="Calibri" w:hAnsi="Calibri" w:cs="Calibri"/>
              </w:rPr>
              <w:lastRenderedPageBreak/>
              <w:t>Processing time</w:t>
            </w:r>
          </w:p>
        </w:tc>
        <w:tc>
          <w:tcPr>
            <w:tcW w:w="4935" w:type="dxa"/>
            <w:tcMar>
              <w:top w:w="0" w:type="dxa"/>
              <w:left w:w="108" w:type="dxa"/>
              <w:bottom w:w="0" w:type="dxa"/>
              <w:right w:w="108" w:type="dxa"/>
            </w:tcMar>
          </w:tcPr>
          <w:p w14:paraId="3492421A" w14:textId="77777777" w:rsidR="00AD2A21" w:rsidRPr="00B47AE2" w:rsidRDefault="00AD2A21" w:rsidP="003E2A84">
            <w:pPr>
              <w:spacing w:after="0"/>
              <w:rPr>
                <w:rFonts w:ascii="Calibri" w:hAnsi="Calibri" w:cs="Calibri"/>
              </w:rPr>
            </w:pPr>
          </w:p>
          <w:p w14:paraId="69FEAA12" w14:textId="77777777" w:rsidR="00AD2A21" w:rsidRPr="00B47AE2" w:rsidRDefault="00AD2A21" w:rsidP="003E2A84">
            <w:pPr>
              <w:keepNext/>
              <w:keepLines/>
              <w:spacing w:before="180"/>
              <w:ind w:left="1134" w:hanging="1134"/>
              <w:outlineLvl w:val="1"/>
              <w:rPr>
                <w:rFonts w:ascii="Arial" w:eastAsia="Yu Mincho" w:hAnsi="Arial"/>
                <w:color w:val="000000"/>
                <w:sz w:val="32"/>
                <w:lang w:val="x-none"/>
              </w:rPr>
            </w:pPr>
            <w:r w:rsidRPr="00B47AE2">
              <w:rPr>
                <w:rFonts w:ascii="Arial" w:eastAsia="Yu Mincho" w:hAnsi="Arial"/>
                <w:color w:val="000000"/>
                <w:sz w:val="32"/>
                <w:lang w:val="x-none"/>
              </w:rPr>
              <w:t>5.3</w:t>
            </w:r>
            <w:r w:rsidRPr="00B47AE2">
              <w:rPr>
                <w:rFonts w:ascii="Arial" w:eastAsia="Yu Mincho" w:hAnsi="Arial"/>
                <w:color w:val="000000"/>
                <w:sz w:val="32"/>
                <w:lang w:val="x-none"/>
              </w:rPr>
              <w:tab/>
              <w:t>UE PDSCH processing procedure time</w:t>
            </w:r>
          </w:p>
          <w:p w14:paraId="69CF7171" w14:textId="77777777" w:rsidR="00AD2A21" w:rsidRPr="00B47AE2" w:rsidRDefault="00AD2A21" w:rsidP="003E2A84">
            <w:pPr>
              <w:rPr>
                <w:rFonts w:eastAsia="Yu Mincho"/>
                <w:color w:val="000000"/>
              </w:rPr>
            </w:pPr>
            <w:r w:rsidRPr="00B47AE2">
              <w:rPr>
                <w:rFonts w:eastAsia="Yu Mincho"/>
                <w:color w:val="000000"/>
                <w:lang w:val="en-AU"/>
              </w:rPr>
              <w:t xml:space="preserve">If the first uplink symbol of the PUCCH which carries the HARQ-ACK information, as defined by the assigned HARQ-ACK timing </w:t>
            </w:r>
            <w:r w:rsidRPr="00B47AE2">
              <w:rPr>
                <w:rFonts w:eastAsia="Yu Mincho"/>
                <w:i/>
                <w:color w:val="000000"/>
                <w:lang w:val="en-AU"/>
              </w:rPr>
              <w:t>K</w:t>
            </w:r>
            <w:r w:rsidRPr="00B47AE2">
              <w:rPr>
                <w:rFonts w:eastAsia="Yu Mincho"/>
                <w:i/>
                <w:color w:val="000000"/>
                <w:vertAlign w:val="subscript"/>
                <w:lang w:val="en-AU"/>
              </w:rPr>
              <w:t xml:space="preserve">1 </w:t>
            </w:r>
            <w:r w:rsidRPr="00B47AE2">
              <w:rPr>
                <w:rFonts w:eastAsia="Yu Mincho"/>
                <w:color w:val="000000"/>
                <w:lang w:val="en-AU"/>
              </w:rPr>
              <w:t xml:space="preserve">and the PUCCH resource to be used and including the effect of the timing advance, starts no earlier than at symbol </w:t>
            </w:r>
            <w:r w:rsidRPr="00B47AE2">
              <w:rPr>
                <w:rFonts w:eastAsia="Yu Mincho"/>
                <w:i/>
                <w:color w:val="000000"/>
                <w:lang w:val="en-AU"/>
              </w:rPr>
              <w:t>L</w:t>
            </w:r>
            <w:r w:rsidRPr="00B47AE2">
              <w:rPr>
                <w:rFonts w:eastAsia="Yu Mincho"/>
                <w:i/>
                <w:color w:val="000000"/>
                <w:vertAlign w:val="subscript"/>
                <w:lang w:val="en-AU"/>
              </w:rPr>
              <w:t>1</w:t>
            </w:r>
            <w:r w:rsidRPr="00B47AE2">
              <w:rPr>
                <w:rFonts w:eastAsia="Yu Mincho"/>
                <w:color w:val="000000"/>
                <w:lang w:val="en-AU"/>
              </w:rPr>
              <w:t xml:space="preserve">, where </w:t>
            </w:r>
            <w:r w:rsidRPr="00B47AE2">
              <w:rPr>
                <w:rFonts w:eastAsia="Yu Mincho"/>
                <w:i/>
                <w:color w:val="000000"/>
                <w:lang w:val="en-AU"/>
              </w:rPr>
              <w:t>L</w:t>
            </w:r>
            <w:r w:rsidRPr="00B47AE2">
              <w:rPr>
                <w:rFonts w:eastAsia="Yu Mincho"/>
                <w:i/>
                <w:color w:val="000000"/>
                <w:vertAlign w:val="subscript"/>
                <w:lang w:val="en-AU"/>
              </w:rPr>
              <w:t>1</w:t>
            </w:r>
            <w:r w:rsidRPr="00B47AE2">
              <w:rPr>
                <w:rFonts w:eastAsia="Yu Mincho"/>
                <w:color w:val="000000"/>
                <w:lang w:val="en-AU"/>
              </w:rPr>
              <w:t xml:space="preserve"> is defined as the next uplink symbol with its CP starting after </w:t>
            </w:r>
            <w:r w:rsidRPr="00B47AE2">
              <w:rPr>
                <w:rFonts w:eastAsia="Yu Mincho"/>
                <w:color w:val="000000"/>
                <w:position w:val="-14"/>
              </w:rPr>
              <w:object w:dxaOrig="3660" w:dyaOrig="400" w14:anchorId="79DEC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22pt" o:ole="">
                  <v:imagedata r:id="rId8" o:title=""/>
                </v:shape>
                <o:OLEObject Type="Embed" ProgID="Equation.DSMT4" ShapeID="_x0000_i1025" DrawAspect="Content" ObjectID="_1769873255" r:id="rId9"/>
              </w:object>
            </w:r>
            <w:r w:rsidRPr="00B47AE2">
              <w:rPr>
                <w:rFonts w:eastAsia="Yu Mincho"/>
                <w:color w:val="000000"/>
              </w:rPr>
              <w:t xml:space="preserve"> after the end of the last symbol of the PDSCH carrying the TB being acknowledged, then the UE shall provide a valid HARQ-ACK message. </w:t>
            </w:r>
          </w:p>
          <w:p w14:paraId="563FF462" w14:textId="77777777" w:rsidR="00AD2A21" w:rsidRPr="00B47AE2" w:rsidRDefault="00AD2A21" w:rsidP="003E2A84">
            <w:pPr>
              <w:rPr>
                <w:rFonts w:eastAsia="Yu Mincho"/>
                <w:color w:val="000000"/>
              </w:rPr>
            </w:pPr>
          </w:p>
          <w:p w14:paraId="6E8F48DD" w14:textId="77777777" w:rsidR="00AD2A21" w:rsidRPr="00B47AE2" w:rsidRDefault="00AD2A21" w:rsidP="003E2A84">
            <w:pPr>
              <w:keepNext/>
              <w:keepLines/>
              <w:spacing w:before="180"/>
              <w:ind w:left="1134" w:hanging="1134"/>
              <w:outlineLvl w:val="1"/>
              <w:rPr>
                <w:rFonts w:ascii="Arial" w:eastAsia="Yu Mincho" w:hAnsi="Arial"/>
                <w:color w:val="000000"/>
                <w:sz w:val="32"/>
                <w:lang w:val="x-none"/>
              </w:rPr>
            </w:pPr>
            <w:r w:rsidRPr="00B47AE2">
              <w:rPr>
                <w:rFonts w:ascii="Arial" w:eastAsia="Yu Mincho" w:hAnsi="Arial"/>
                <w:color w:val="000000"/>
                <w:sz w:val="32"/>
                <w:lang w:val="x-none"/>
              </w:rPr>
              <w:t>6.4</w:t>
            </w:r>
            <w:r w:rsidRPr="00B47AE2">
              <w:rPr>
                <w:rFonts w:ascii="Arial" w:eastAsia="Yu Mincho" w:hAnsi="Arial"/>
                <w:color w:val="000000"/>
                <w:sz w:val="32"/>
                <w:lang w:val="x-none"/>
              </w:rPr>
              <w:tab/>
              <w:t>UE PUSCH preparation procedure time</w:t>
            </w:r>
          </w:p>
          <w:p w14:paraId="1DC60B95" w14:textId="2ABDE055" w:rsidR="00AD2A21" w:rsidRPr="00B47AE2" w:rsidRDefault="00AD2A21" w:rsidP="003E2A84">
            <w:pPr>
              <w:rPr>
                <w:rFonts w:eastAsia="Yu Mincho"/>
                <w:color w:val="000000"/>
                <w:lang w:val="en-AU"/>
              </w:rPr>
            </w:pPr>
            <w:r w:rsidRPr="00B47AE2">
              <w:rPr>
                <w:rFonts w:eastAsia="Yu Mincho"/>
                <w:color w:val="000000"/>
              </w:rPr>
              <w:t>I</w:t>
            </w:r>
            <w:r w:rsidRPr="00B47AE2">
              <w:rPr>
                <w:rFonts w:eastAsia="Yu Mincho"/>
                <w:color w:val="000000"/>
                <w:lang w:val="en-AU"/>
              </w:rPr>
              <w:t xml:space="preserve">f the first uplink symbol in the PUSCH allocation for a transport block, including the DM-RS, as defined by the slot offset </w:t>
            </w:r>
            <w:r w:rsidRPr="00B47AE2">
              <w:rPr>
                <w:rFonts w:eastAsia="Yu Mincho"/>
                <w:i/>
                <w:color w:val="000000"/>
                <w:lang w:val="en-AU"/>
              </w:rPr>
              <w:t>K</w:t>
            </w:r>
            <w:r w:rsidRPr="00B47AE2">
              <w:rPr>
                <w:rFonts w:eastAsia="Yu Mincho"/>
                <w:i/>
                <w:color w:val="000000"/>
                <w:vertAlign w:val="subscript"/>
                <w:lang w:val="en-AU"/>
              </w:rPr>
              <w:t>2</w:t>
            </w:r>
            <w:r w:rsidRPr="00B47AE2">
              <w:rPr>
                <w:rFonts w:eastAsia="Yu Mincho"/>
                <w:color w:val="000000"/>
                <w:lang w:val="en-AU"/>
              </w:rPr>
              <w:t xml:space="preserve"> and the start and length indicator </w:t>
            </w:r>
            <w:r w:rsidRPr="00B47AE2">
              <w:rPr>
                <w:rFonts w:eastAsia="Yu Mincho"/>
                <w:i/>
                <w:color w:val="000000"/>
                <w:lang w:val="en-AU"/>
              </w:rPr>
              <w:t>SLIV</w:t>
            </w:r>
            <w:r w:rsidRPr="00B47AE2">
              <w:rPr>
                <w:rFonts w:eastAsia="Yu Mincho"/>
                <w:color w:val="000000"/>
                <w:lang w:val="en-AU"/>
              </w:rPr>
              <w:t xml:space="preserve"> of the scheduling DCI and including the effect of the timing advance, is no earlier than at symbol </w:t>
            </w:r>
            <w:r w:rsidRPr="00B47AE2">
              <w:rPr>
                <w:rFonts w:eastAsia="Yu Mincho"/>
                <w:i/>
                <w:color w:val="000000"/>
                <w:lang w:val="en-AU"/>
              </w:rPr>
              <w:t>L</w:t>
            </w:r>
            <w:r w:rsidRPr="00B47AE2">
              <w:rPr>
                <w:rFonts w:eastAsia="Yu Mincho"/>
                <w:i/>
                <w:color w:val="000000"/>
                <w:vertAlign w:val="subscript"/>
                <w:lang w:val="en-AU"/>
              </w:rPr>
              <w:t>2</w:t>
            </w:r>
            <w:r w:rsidRPr="00B47AE2">
              <w:rPr>
                <w:rFonts w:eastAsia="Yu Mincho"/>
                <w:color w:val="000000"/>
                <w:lang w:val="en-AU"/>
              </w:rPr>
              <w:t xml:space="preserve">, where </w:t>
            </w:r>
            <w:r w:rsidRPr="00B47AE2">
              <w:rPr>
                <w:rFonts w:eastAsia="Yu Mincho"/>
                <w:i/>
                <w:color w:val="000000"/>
                <w:lang w:val="en-AU"/>
              </w:rPr>
              <w:t>L</w:t>
            </w:r>
            <w:r w:rsidRPr="00B47AE2">
              <w:rPr>
                <w:rFonts w:eastAsia="Yu Mincho"/>
                <w:i/>
                <w:color w:val="000000"/>
                <w:vertAlign w:val="subscript"/>
                <w:lang w:val="en-AU"/>
              </w:rPr>
              <w:t>2</w:t>
            </w:r>
            <w:r w:rsidRPr="00B47AE2">
              <w:rPr>
                <w:rFonts w:eastAsia="Yu Mincho"/>
                <w:color w:val="000000"/>
                <w:lang w:val="en-AU"/>
              </w:rPr>
              <w:t xml:space="preserve"> is defined as the next uplink symbol with its CP starting </w:t>
            </w:r>
            <w:r w:rsidRPr="00B47AE2">
              <w:rPr>
                <w:rFonts w:eastAsia="Yu Mincho"/>
                <w:color w:val="000000"/>
                <w:position w:val="-16"/>
              </w:rPr>
              <w:object w:dxaOrig="4760" w:dyaOrig="440" w14:anchorId="72CBA94F">
                <v:shape id="_x0000_i1026" type="#_x0000_t75" style="width:244.35pt;height:22.65pt" o:ole="">
                  <v:imagedata r:id="rId10" o:title=""/>
                </v:shape>
                <o:OLEObject Type="Embed" ProgID="Equation.DSMT4" ShapeID="_x0000_i1026" DrawAspect="Content" ObjectID="_1769873256" r:id="rId11"/>
              </w:object>
            </w:r>
            <w:r w:rsidRPr="00B47AE2">
              <w:rPr>
                <w:rFonts w:eastAsia="Yu Mincho"/>
                <w:color w:val="000000"/>
                <w:lang w:val="en-AU"/>
              </w:rPr>
              <w:t xml:space="preserve">after the end of the reception of the last symbol of the PDCCH carrying the DCI scheduling the PUSCH, then the UE shall transmit the transport block. </w:t>
            </w:r>
          </w:p>
          <w:p w14:paraId="51B71105" w14:textId="77777777" w:rsidR="00AD2A21" w:rsidRPr="00B47AE2" w:rsidRDefault="00AD2A21" w:rsidP="003E2A84">
            <w:pPr>
              <w:spacing w:after="0"/>
              <w:rPr>
                <w:rFonts w:ascii="Calibri" w:hAnsi="Calibri" w:cs="Calibri"/>
              </w:rPr>
            </w:pPr>
          </w:p>
        </w:tc>
        <w:tc>
          <w:tcPr>
            <w:tcW w:w="3113" w:type="dxa"/>
            <w:tcMar>
              <w:top w:w="0" w:type="dxa"/>
              <w:left w:w="108" w:type="dxa"/>
              <w:bottom w:w="0" w:type="dxa"/>
              <w:right w:w="108" w:type="dxa"/>
            </w:tcMar>
            <w:hideMark/>
          </w:tcPr>
          <w:p w14:paraId="7714C800" w14:textId="77777777" w:rsidR="00AD2A21" w:rsidRPr="00B47AE2" w:rsidRDefault="00AD2A21" w:rsidP="003E2A84">
            <w:pPr>
              <w:spacing w:after="0"/>
              <w:rPr>
                <w:rFonts w:ascii="Calibri" w:hAnsi="Calibri" w:cs="Calibri"/>
              </w:rPr>
            </w:pPr>
          </w:p>
          <w:p w14:paraId="7349AA5F" w14:textId="77777777" w:rsidR="00AD2A21" w:rsidRPr="003F24B5" w:rsidRDefault="00AD2A21" w:rsidP="003E2A84">
            <w:pPr>
              <w:spacing w:after="0"/>
              <w:rPr>
                <w:rFonts w:ascii="Calibri" w:hAnsi="Calibri" w:cs="Calibri"/>
                <w:lang w:eastAsia="ja-JP"/>
              </w:rPr>
            </w:pPr>
            <w:r w:rsidRPr="00B47AE2">
              <w:rPr>
                <w:rFonts w:ascii="Calibri" w:hAnsi="Calibri" w:cs="Calibri" w:hint="eastAsia"/>
                <w:lang w:eastAsia="ja-JP"/>
              </w:rPr>
              <w:t>W</w:t>
            </w:r>
            <w:r w:rsidRPr="00B47AE2">
              <w:rPr>
                <w:rFonts w:ascii="Calibri" w:hAnsi="Calibri" w:cs="Calibri"/>
                <w:lang w:eastAsia="ja-JP"/>
              </w:rPr>
              <w:t>hether or not the PDSCH processing procedure time or PUSCH preparation procedure time satisfies the timeline T</w:t>
            </w:r>
            <w:r w:rsidRPr="00B47AE2">
              <w:rPr>
                <w:rFonts w:ascii="Calibri" w:hAnsi="Calibri" w:cs="Calibri"/>
                <w:vertAlign w:val="subscript"/>
                <w:lang w:eastAsia="ja-JP"/>
              </w:rPr>
              <w:t>proc,1</w:t>
            </w:r>
            <w:r w:rsidRPr="00B47AE2">
              <w:rPr>
                <w:rFonts w:ascii="Calibri" w:hAnsi="Calibri" w:cs="Calibri"/>
                <w:lang w:eastAsia="ja-JP"/>
              </w:rPr>
              <w:t xml:space="preserve"> or T</w:t>
            </w:r>
            <w:r w:rsidRPr="00B47AE2">
              <w:rPr>
                <w:rFonts w:ascii="Calibri" w:hAnsi="Calibri" w:cs="Calibri"/>
                <w:vertAlign w:val="subscript"/>
                <w:lang w:eastAsia="ja-JP"/>
              </w:rPr>
              <w:t>proc,2</w:t>
            </w:r>
            <w:r w:rsidRPr="00B47AE2">
              <w:rPr>
                <w:rFonts w:ascii="Calibri" w:hAnsi="Calibri" w:cs="Calibri"/>
                <w:lang w:eastAsia="ja-JP"/>
              </w:rPr>
              <w:t xml:space="preserve"> takes into account TA(s) and DL timing difference(s).</w:t>
            </w:r>
          </w:p>
          <w:p w14:paraId="6C1A00CF" w14:textId="77777777" w:rsidR="00AD2A21" w:rsidRDefault="00AD2A21" w:rsidP="003E2A84">
            <w:pPr>
              <w:spacing w:after="0"/>
              <w:rPr>
                <w:rFonts w:ascii="Calibri" w:hAnsi="Calibri" w:cs="Calibri"/>
              </w:rPr>
            </w:pPr>
          </w:p>
        </w:tc>
      </w:tr>
    </w:tbl>
    <w:p w14:paraId="42B4A1AC" w14:textId="3F9C7A10" w:rsidR="003E3E40" w:rsidRDefault="001E43A2" w:rsidP="00186C42">
      <w:r>
        <w:t xml:space="preserve"> </w:t>
      </w:r>
    </w:p>
    <w:p w14:paraId="514EB610" w14:textId="17CA361B" w:rsidR="00E925A7" w:rsidRDefault="00E925A7" w:rsidP="00E925A7">
      <w:pPr>
        <w:rPr>
          <w:lang w:val="en-US" w:eastAsia="zh-CN"/>
        </w:rPr>
      </w:pPr>
      <w:r>
        <w:t xml:space="preserve">For the </w:t>
      </w:r>
      <w:r>
        <w:rPr>
          <w:rFonts w:eastAsia="Times New Roman"/>
        </w:rPr>
        <w:t>timeline</w:t>
      </w:r>
      <w:r>
        <w:t xml:space="preserve"> in case 1, the cancellation processing time </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has taken TA into account. </w:t>
      </w:r>
    </w:p>
    <w:tbl>
      <w:tblPr>
        <w:tblStyle w:val="aff"/>
        <w:tblW w:w="0" w:type="auto"/>
        <w:tblLook w:val="04A0" w:firstRow="1" w:lastRow="0" w:firstColumn="1" w:lastColumn="0" w:noHBand="0" w:noVBand="1"/>
      </w:tblPr>
      <w:tblGrid>
        <w:gridCol w:w="9630"/>
      </w:tblGrid>
      <w:tr w:rsidR="00AE7227" w:rsidRPr="00AE7227" w14:paraId="5FDE3D04" w14:textId="77777777" w:rsidTr="003E3E40">
        <w:tc>
          <w:tcPr>
            <w:tcW w:w="9630" w:type="dxa"/>
          </w:tcPr>
          <w:p w14:paraId="6BD7A07C" w14:textId="310B36B6" w:rsidR="003E3E40" w:rsidRPr="00AE7227" w:rsidRDefault="00AE7227" w:rsidP="003E3E40">
            <w:pPr>
              <w:rPr>
                <w:i/>
              </w:rPr>
            </w:pPr>
            <w:r w:rsidRPr="00AE7227">
              <w:rPr>
                <w:i/>
              </w:rPr>
              <w:t>********</w:t>
            </w:r>
            <w:r w:rsidR="003E3E40" w:rsidRPr="00AE7227">
              <w:rPr>
                <w:i/>
              </w:rPr>
              <w:t>Case 1: Dynamically scheduled DL reception vs. semi-statically configured UL transmission</w:t>
            </w:r>
            <w:r w:rsidRPr="00AE7227">
              <w:rPr>
                <w:i/>
              </w:rPr>
              <w:t>**********</w:t>
            </w:r>
          </w:p>
          <w:p w14:paraId="4A34B3AD" w14:textId="77777777" w:rsidR="003E3E40" w:rsidRPr="00AE7227" w:rsidRDefault="003E3E40" w:rsidP="003E3E40">
            <w:pPr>
              <w:rPr>
                <w:i/>
              </w:rPr>
            </w:pPr>
            <w:r w:rsidRPr="00AE7227">
              <w:rPr>
                <w:i/>
              </w:rPr>
              <w:t xml:space="preserve">If a HD-UE is configured by higher layers to </w:t>
            </w:r>
            <w:r w:rsidRPr="00AE7227">
              <w:rPr>
                <w:i/>
                <w:highlight w:val="yellow"/>
              </w:rPr>
              <w:t>transmit</w:t>
            </w:r>
            <w:r w:rsidRPr="00AE7227">
              <w:rPr>
                <w:i/>
              </w:rPr>
              <w:t xml:space="preserve"> SRS, or PUCCH, or PUSCH in a </w:t>
            </w:r>
            <w:r w:rsidRPr="00AE7227">
              <w:rPr>
                <w:i/>
                <w:highlight w:val="yellow"/>
              </w:rPr>
              <w:t>set of symbols</w:t>
            </w:r>
            <w:r w:rsidRPr="00AE7227">
              <w:rPr>
                <w:i/>
              </w:rPr>
              <w:t xml:space="preserve"> and the UE detects a DCI format indicating to the HD-UE to </w:t>
            </w:r>
            <w:r w:rsidRPr="00AE7227">
              <w:rPr>
                <w:i/>
                <w:highlight w:val="yellow"/>
              </w:rPr>
              <w:t>receive</w:t>
            </w:r>
            <w:r w:rsidRPr="00AE7227">
              <w:rPr>
                <w:i/>
              </w:rPr>
              <w:t xml:space="preserve"> CSI-RS or PDSCH in </w:t>
            </w:r>
            <w:r w:rsidRPr="00AE7227">
              <w:rPr>
                <w:i/>
                <w:highlight w:val="yellow"/>
              </w:rPr>
              <w:t>a subset of symbols from the set of symbols</w:t>
            </w:r>
            <w:r w:rsidRPr="00AE7227">
              <w:rPr>
                <w:i/>
              </w:rPr>
              <w:t xml:space="preserve">, then </w:t>
            </w:r>
          </w:p>
          <w:p w14:paraId="62DDCCC9" w14:textId="13EF9C53" w:rsidR="003E3E40" w:rsidRPr="00AE7227" w:rsidRDefault="003E3E40" w:rsidP="003E3E40">
            <w:pPr>
              <w:pStyle w:val="B1"/>
              <w:rPr>
                <w:i/>
                <w:lang w:eastAsia="zh-CN"/>
              </w:rPr>
            </w:pPr>
            <w:r w:rsidRPr="00AE7227">
              <w:rPr>
                <w:i/>
              </w:rPr>
              <w:t>-</w:t>
            </w:r>
            <w:r w:rsidRPr="00AE7227">
              <w:rPr>
                <w:i/>
              </w:rPr>
              <w:tab/>
            </w:r>
            <w:r w:rsidRPr="00AE7227">
              <w:rPr>
                <w:rFonts w:hint="eastAsia"/>
                <w:i/>
              </w:rPr>
              <w:t xml:space="preserve">the </w:t>
            </w:r>
            <w:r w:rsidRPr="00AE7227">
              <w:rPr>
                <w:i/>
                <w:lang w:val="en-US"/>
              </w:rPr>
              <w:t>HD-</w:t>
            </w:r>
            <w:r w:rsidRPr="00AE7227">
              <w:rPr>
                <w:rFonts w:hint="eastAsia"/>
                <w:i/>
              </w:rPr>
              <w:t xml:space="preserve">UE does not expect to cancel the transmission </w:t>
            </w:r>
            <w:r w:rsidRPr="00AE7227">
              <w:rPr>
                <w:i/>
                <w:lang w:val="en-US"/>
              </w:rPr>
              <w:t xml:space="preserve">of the PUCCH or PUSCH </w:t>
            </w:r>
            <w:r w:rsidRPr="00AE7227">
              <w:rPr>
                <w:rFonts w:hint="eastAsia"/>
                <w:i/>
              </w:rPr>
              <w:t>in</w:t>
            </w:r>
            <w:r w:rsidRPr="00AE7227">
              <w:rPr>
                <w:i/>
                <w:lang w:val="en-US"/>
              </w:rPr>
              <w:t xml:space="preserve"> the set of symbols if the first symbol in the set</w:t>
            </w:r>
            <w:r w:rsidRPr="00AE7227">
              <w:rPr>
                <w:rFonts w:hint="eastAsia"/>
                <w:i/>
              </w:rPr>
              <w:t xml:space="preserve"> occur</w:t>
            </w:r>
            <w:r w:rsidRPr="00AE7227">
              <w:rPr>
                <w:i/>
                <w:lang w:val="en-US"/>
              </w:rPr>
              <w:t xml:space="preserve">s within </w:t>
            </w:r>
            <m:oMath>
              <m:sSub>
                <m:sSubPr>
                  <m:ctrlPr>
                    <w:rPr>
                      <w:rFonts w:ascii="Cambria Math" w:hAnsi="Cambria Math"/>
                      <w:i/>
                      <w:highlight w:val="green"/>
                      <w:lang w:val="en-US"/>
                    </w:rPr>
                  </m:ctrlPr>
                </m:sSubPr>
                <m:e>
                  <m:r>
                    <w:rPr>
                      <w:rFonts w:ascii="Cambria Math" w:hAnsi="Cambria Math"/>
                      <w:highlight w:val="green"/>
                      <w:lang w:val="en-US"/>
                    </w:rPr>
                    <m:t>T</m:t>
                  </m:r>
                </m:e>
                <m:sub>
                  <m:r>
                    <w:rPr>
                      <w:rFonts w:ascii="Cambria Math" w:hAnsi="Cambria Math"/>
                      <w:highlight w:val="green"/>
                      <w:lang w:val="en-US"/>
                    </w:rPr>
                    <m:t xml:space="preserve">proc,2 </m:t>
                  </m:r>
                </m:sub>
              </m:sSub>
            </m:oMath>
            <w:r w:rsidRPr="00AE7227">
              <w:rPr>
                <w:rFonts w:hint="eastAsia"/>
                <w:i/>
              </w:rPr>
              <w:t xml:space="preserve"> relative to a last symbol of a </w:t>
            </w:r>
            <w:r w:rsidRPr="00AE7227">
              <w:rPr>
                <w:i/>
              </w:rPr>
              <w:t>PDCCH reception</w:t>
            </w:r>
            <w:r w:rsidRPr="00AE7227">
              <w:rPr>
                <w:rFonts w:hint="eastAsia"/>
                <w:i/>
              </w:rPr>
              <w:t xml:space="preserve"> where the </w:t>
            </w:r>
            <w:r w:rsidRPr="00AE7227">
              <w:rPr>
                <w:i/>
                <w:lang w:val="en-US"/>
              </w:rPr>
              <w:t>HD-</w:t>
            </w:r>
            <w:r w:rsidRPr="00AE7227">
              <w:rPr>
                <w:rFonts w:hint="eastAsia"/>
                <w:i/>
              </w:rPr>
              <w:t>UE detects the DCI format</w:t>
            </w:r>
            <w:r w:rsidRPr="00AE7227">
              <w:rPr>
                <w:i/>
                <w:lang w:val="en-US"/>
              </w:rPr>
              <w:t>; otherwise, the HD-UE cancels the PUCCH, or the PUSCH, or an actual repetition of the PUSCH [6, TS 38.214], determined from clauses 9 and 9.2.5 or clause 6.1 of [6, TS 38.214].</w:t>
            </w:r>
          </w:p>
          <w:p w14:paraId="72062C29" w14:textId="4335B491" w:rsidR="003E3E40" w:rsidRPr="00AE7227" w:rsidRDefault="003E3E40" w:rsidP="003E3E40">
            <w:pPr>
              <w:pStyle w:val="B1"/>
              <w:rPr>
                <w:i/>
                <w:lang w:val="en-US" w:eastAsia="zh-CN"/>
              </w:rPr>
            </w:pPr>
            <w:r w:rsidRPr="00AE7227">
              <w:rPr>
                <w:i/>
                <w:lang w:val="en-US" w:eastAsia="zh-CN"/>
              </w:rPr>
              <w:t>-</w:t>
            </w:r>
            <w:r w:rsidRPr="00AE7227">
              <w:rPr>
                <w:i/>
                <w:lang w:val="en-US" w:eastAsia="zh-CN"/>
              </w:rPr>
              <w:tab/>
              <w:t xml:space="preserve">the HD-UE does not expect to cancel the transmission of SRS in symbols from the subset of symbols that occur within </w:t>
            </w:r>
            <m:oMath>
              <m:sSub>
                <m:sSubPr>
                  <m:ctrlPr>
                    <w:rPr>
                      <w:rFonts w:ascii="Cambria Math" w:hAnsi="Cambria Math"/>
                      <w:i/>
                      <w:highlight w:val="green"/>
                      <w:lang w:val="en-US" w:eastAsia="zh-CN"/>
                    </w:rPr>
                  </m:ctrlPr>
                </m:sSubPr>
                <m:e>
                  <m:r>
                    <w:rPr>
                      <w:rFonts w:ascii="Cambria Math" w:hAnsi="Cambria Math"/>
                      <w:highlight w:val="green"/>
                      <w:lang w:val="en-US" w:eastAsia="zh-CN"/>
                    </w:rPr>
                    <m:t>T</m:t>
                  </m:r>
                </m:e>
                <m:sub>
                  <m:r>
                    <w:rPr>
                      <w:rFonts w:ascii="Cambria Math" w:hAnsi="Cambria Math"/>
                      <w:highlight w:val="green"/>
                      <w:lang w:val="en-US" w:eastAsia="zh-CN"/>
                    </w:rPr>
                    <m:t>proc,2</m:t>
                  </m:r>
                </m:sub>
              </m:sSub>
            </m:oMath>
            <w:r w:rsidRPr="00AE7227">
              <w:rPr>
                <w:i/>
                <w:lang w:val="en-US" w:eastAsia="zh-CN"/>
              </w:rPr>
              <w:t xml:space="preserve"> relative to a last symbol of a </w:t>
            </w:r>
            <w:r w:rsidRPr="00AE7227">
              <w:rPr>
                <w:i/>
              </w:rPr>
              <w:t>PDCCH reception</w:t>
            </w:r>
            <w:r w:rsidRPr="00AE7227">
              <w:rPr>
                <w:i/>
                <w:lang w:val="en-US" w:eastAsia="zh-CN"/>
              </w:rPr>
              <w:t xml:space="preserve"> where the HD-UE detects the DCI format. The HD-UE cancels the SRS transmission in remaining symbols from the subset of symbols. </w:t>
            </w:r>
          </w:p>
          <w:p w14:paraId="0A970D19" w14:textId="725122C1" w:rsidR="003E3E40" w:rsidRPr="00AE7227" w:rsidRDefault="003E3E40" w:rsidP="003E3E40">
            <w:pPr>
              <w:pStyle w:val="B1"/>
              <w:rPr>
                <w:i/>
              </w:rPr>
            </w:pPr>
            <w:r w:rsidRPr="00AE7227">
              <w:rPr>
                <w:i/>
              </w:rPr>
              <w:tab/>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proc,2</m:t>
                  </m:r>
                </m:sub>
              </m:sSub>
            </m:oMath>
            <w:r w:rsidRPr="00AE7227">
              <w:rPr>
                <w:i/>
                <w:lang w:val="en-US"/>
              </w:rPr>
              <w:t xml:space="preserve"> is the PUSCH preparation time </w:t>
            </w:r>
            <w:r w:rsidRPr="00AE7227">
              <w:rPr>
                <w:rFonts w:hint="eastAsia"/>
                <w:i/>
              </w:rPr>
              <w:t xml:space="preserve">for </w:t>
            </w:r>
            <w:r w:rsidRPr="00AE7227">
              <w:rPr>
                <w:i/>
                <w:lang w:val="en-US"/>
              </w:rPr>
              <w:t>UE processing</w:t>
            </w:r>
            <w:r w:rsidRPr="00AE7227">
              <w:rPr>
                <w:rFonts w:hint="eastAsia"/>
                <w:i/>
              </w:rPr>
              <w:t xml:space="preserve"> capability </w:t>
            </w:r>
            <w:r w:rsidRPr="00AE7227">
              <w:rPr>
                <w:i/>
                <w:lang w:val="en-US"/>
              </w:rPr>
              <w:t xml:space="preserve">1 </w:t>
            </w:r>
            <w:r w:rsidRPr="00AE7227">
              <w:rPr>
                <w:rFonts w:hint="eastAsia"/>
                <w:i/>
              </w:rPr>
              <w:t>[6, TS 38.214]</w:t>
            </w:r>
            <w:r w:rsidRPr="00AE7227">
              <w:rPr>
                <w:i/>
              </w:rPr>
              <w:t xml:space="preserve"> assuming </w:t>
            </w: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oMath>
            <w:r w:rsidRPr="00AE7227">
              <w:rPr>
                <w:i/>
                <w:lang w:val="en-US"/>
              </w:rPr>
              <w:t xml:space="preserve"> </w:t>
            </w:r>
            <w:r w:rsidRPr="00AE7227">
              <w:rPr>
                <w:rFonts w:eastAsia="等线" w:hint="eastAsia"/>
                <w:i/>
                <w:lang w:eastAsia="zh-CN"/>
              </w:rPr>
              <w:t xml:space="preserve">and </w:t>
            </w:r>
            <m:oMath>
              <m:r>
                <w:rPr>
                  <w:rFonts w:ascii="Cambria Math" w:eastAsia="等线" w:hAnsi="Cambria Math"/>
                  <w:lang w:eastAsia="zh-CN"/>
                </w:rPr>
                <m:t>μ</m:t>
              </m:r>
            </m:oMath>
            <w:r w:rsidRPr="00AE7227">
              <w:rPr>
                <w:rFonts w:eastAsia="等线" w:hint="eastAsia"/>
                <w:i/>
                <w:lang w:eastAsia="zh-CN"/>
              </w:rPr>
              <w:t xml:space="preserve"> corresponds to the smallest SCS configuration </w:t>
            </w:r>
            <w:r w:rsidRPr="00AE7227">
              <w:rPr>
                <w:rFonts w:hint="eastAsia"/>
                <w:i/>
                <w:lang w:eastAsia="zh-CN"/>
              </w:rPr>
              <w:t>between</w:t>
            </w:r>
            <w:r w:rsidRPr="00AE7227">
              <w:rPr>
                <w:rFonts w:eastAsia="等线" w:hint="eastAsia"/>
                <w:i/>
                <w:lang w:eastAsia="zh-CN"/>
              </w:rPr>
              <w:t xml:space="preserve"> the SCS configuration of the PDCCH carrying the DCI format </w:t>
            </w:r>
            <w:r w:rsidRPr="00AE7227">
              <w:rPr>
                <w:rFonts w:hint="eastAsia"/>
                <w:i/>
                <w:lang w:eastAsia="zh-CN"/>
              </w:rPr>
              <w:t>and</w:t>
            </w:r>
            <w:r w:rsidRPr="00AE7227">
              <w:rPr>
                <w:rFonts w:eastAsia="等线" w:hint="eastAsia"/>
                <w:i/>
                <w:lang w:eastAsia="zh-CN"/>
              </w:rPr>
              <w:t xml:space="preserve"> the SCS configuration of the SRS, PUCCH, PUSCH</w:t>
            </w:r>
            <w:r w:rsidRPr="00AE7227">
              <w:rPr>
                <w:i/>
              </w:rPr>
              <w:t>.</w:t>
            </w:r>
          </w:p>
        </w:tc>
      </w:tr>
    </w:tbl>
    <w:p w14:paraId="13E9D420" w14:textId="2FF5D607" w:rsidR="00E13231" w:rsidRDefault="00E13231" w:rsidP="00186C42"/>
    <w:p w14:paraId="4BD14901" w14:textId="76BC10B8" w:rsidR="00251FE9" w:rsidRPr="00251FE9" w:rsidRDefault="00251FE9" w:rsidP="00DC1042">
      <w:pPr>
        <w:pStyle w:val="aff8"/>
        <w:numPr>
          <w:ilvl w:val="0"/>
          <w:numId w:val="44"/>
        </w:numPr>
        <w:snapToGrid w:val="0"/>
        <w:ind w:leftChars="0" w:left="0" w:firstLine="0"/>
        <w:rPr>
          <w:b/>
          <w:i/>
        </w:rPr>
      </w:pPr>
      <w:r w:rsidRPr="00251FE9">
        <w:rPr>
          <w:b/>
          <w:i/>
        </w:rPr>
        <w:t xml:space="preserve">The timeline of UL cancellation </w:t>
      </w:r>
      <w:r w:rsidR="00AE7227">
        <w:rPr>
          <w:b/>
          <w:i/>
        </w:rPr>
        <w:t xml:space="preserve">in case 1 </w:t>
      </w:r>
      <w:r w:rsidRPr="00251FE9">
        <w:rPr>
          <w:b/>
          <w:i/>
        </w:rPr>
        <w:t xml:space="preserve">has taken TA into account.  </w:t>
      </w:r>
    </w:p>
    <w:p w14:paraId="0520866A" w14:textId="77777777" w:rsidR="00251FE9" w:rsidRDefault="00251FE9" w:rsidP="00186C42"/>
    <w:p w14:paraId="0CE2256C" w14:textId="3368DE26" w:rsidR="00370A60" w:rsidRDefault="00C05E30" w:rsidP="00C05E30">
      <w:pPr>
        <w:pStyle w:val="3"/>
      </w:pPr>
      <w:r w:rsidRPr="00C05E30">
        <w:t>TX-Rx exclusion and switch gap</w:t>
      </w:r>
    </w:p>
    <w:p w14:paraId="591F377D" w14:textId="61B8C7EB" w:rsidR="00AE7227" w:rsidRDefault="00AE7227" w:rsidP="00AE7227">
      <w:r>
        <w:t xml:space="preserve">According to the common understanding in [2], the </w:t>
      </w:r>
      <w:r w:rsidR="00B81BF6" w:rsidRPr="00B81BF6">
        <w:t>TX-Rx exclusion and switch gap for TDD or HD</w:t>
      </w:r>
      <w:r>
        <w:t xml:space="preserve"> in </w:t>
      </w:r>
      <w:r>
        <w:fldChar w:fldCharType="begin"/>
      </w:r>
      <w:r>
        <w:instrText xml:space="preserve"> REF _Ref157600967 \h </w:instrText>
      </w:r>
      <w:r>
        <w:fldChar w:fldCharType="separate"/>
      </w:r>
      <w:r>
        <w:t xml:space="preserve">Table </w:t>
      </w:r>
      <w:r>
        <w:rPr>
          <w:noProof/>
        </w:rPr>
        <w:t>2</w:t>
      </w:r>
      <w:r>
        <w:fldChar w:fldCharType="end"/>
      </w:r>
      <w:r>
        <w:t xml:space="preserve"> takes into account TA.</w:t>
      </w:r>
    </w:p>
    <w:p w14:paraId="3E019EEB" w14:textId="76434BEA" w:rsidR="005D2DF2" w:rsidRDefault="005D2DF2" w:rsidP="005D2DF2">
      <w:pPr>
        <w:pStyle w:val="ae"/>
        <w:jc w:val="center"/>
      </w:pPr>
      <w:r>
        <w:t xml:space="preserve">Table </w:t>
      </w:r>
      <w:r>
        <w:fldChar w:fldCharType="begin"/>
      </w:r>
      <w:r>
        <w:instrText xml:space="preserve"> SEQ Table \* ARABIC </w:instrText>
      </w:r>
      <w:r>
        <w:fldChar w:fldCharType="separate"/>
      </w:r>
      <w:r w:rsidR="00BD357D">
        <w:rPr>
          <w:noProof/>
        </w:rPr>
        <w:t>4</w:t>
      </w:r>
      <w:r>
        <w:fldChar w:fldCharType="end"/>
      </w:r>
      <w:r>
        <w:t>: TA in switch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C05E30" w14:paraId="5D1E61A2" w14:textId="77777777" w:rsidTr="00C05E30">
        <w:tc>
          <w:tcPr>
            <w:tcW w:w="1292" w:type="dxa"/>
            <w:tcMar>
              <w:top w:w="0" w:type="dxa"/>
              <w:left w:w="108" w:type="dxa"/>
              <w:bottom w:w="0" w:type="dxa"/>
              <w:right w:w="108" w:type="dxa"/>
            </w:tcMar>
            <w:hideMark/>
          </w:tcPr>
          <w:p w14:paraId="3F6CBD99" w14:textId="77777777" w:rsidR="00C05E30" w:rsidRPr="00C05E30" w:rsidRDefault="00C05E30" w:rsidP="003E2A84">
            <w:pPr>
              <w:spacing w:after="0"/>
              <w:rPr>
                <w:rFonts w:ascii="Calibri" w:hAnsi="Calibri" w:cs="Calibri"/>
              </w:rPr>
            </w:pPr>
            <w:bookmarkStart w:id="38" w:name="OLE_LINK71"/>
            <w:bookmarkStart w:id="39" w:name="OLE_LINK72"/>
            <w:r w:rsidRPr="00C05E30">
              <w:rPr>
                <w:rFonts w:ascii="Calibri" w:hAnsi="Calibri" w:cs="Calibri"/>
              </w:rPr>
              <w:t xml:space="preserve">TX-Rx exclusion and </w:t>
            </w:r>
            <w:bookmarkStart w:id="40" w:name="OLE_LINK5"/>
            <w:bookmarkStart w:id="41" w:name="OLE_LINK6"/>
            <w:r w:rsidRPr="00C05E30">
              <w:rPr>
                <w:rFonts w:ascii="Calibri" w:hAnsi="Calibri" w:cs="Calibri"/>
              </w:rPr>
              <w:t>switch gap</w:t>
            </w:r>
            <w:bookmarkEnd w:id="40"/>
            <w:bookmarkEnd w:id="41"/>
            <w:r w:rsidRPr="00C05E30">
              <w:rPr>
                <w:rFonts w:ascii="Calibri" w:hAnsi="Calibri" w:cs="Calibri"/>
              </w:rPr>
              <w:t xml:space="preserve"> for TDD or HD</w:t>
            </w:r>
            <w:bookmarkEnd w:id="38"/>
            <w:bookmarkEnd w:id="39"/>
          </w:p>
        </w:tc>
        <w:tc>
          <w:tcPr>
            <w:tcW w:w="4935" w:type="dxa"/>
            <w:tcMar>
              <w:top w:w="0" w:type="dxa"/>
              <w:left w:w="108" w:type="dxa"/>
              <w:bottom w:w="0" w:type="dxa"/>
              <w:right w:w="108" w:type="dxa"/>
            </w:tcMar>
          </w:tcPr>
          <w:p w14:paraId="49B26DF3" w14:textId="77777777" w:rsidR="00C05E30" w:rsidRPr="00C05E30" w:rsidRDefault="00C05E30" w:rsidP="003E2A84">
            <w:pPr>
              <w:keepNext/>
              <w:keepLines/>
              <w:spacing w:before="120"/>
              <w:ind w:left="1134" w:hanging="1134"/>
              <w:outlineLvl w:val="2"/>
              <w:rPr>
                <w:rFonts w:ascii="Arial" w:eastAsia="Yu Mincho" w:hAnsi="Arial"/>
                <w:sz w:val="28"/>
              </w:rPr>
            </w:pPr>
            <w:r w:rsidRPr="00C05E30">
              <w:rPr>
                <w:rFonts w:ascii="Arial" w:eastAsia="Yu Mincho" w:hAnsi="Arial"/>
                <w:sz w:val="28"/>
              </w:rPr>
              <w:t>4.3.2</w:t>
            </w:r>
            <w:r w:rsidRPr="00C05E30">
              <w:rPr>
                <w:rFonts w:ascii="Arial" w:eastAsia="Yu Mincho" w:hAnsi="Arial"/>
                <w:sz w:val="28"/>
              </w:rPr>
              <w:tab/>
              <w:t>Slots</w:t>
            </w:r>
          </w:p>
          <w:p w14:paraId="5D30D52C" w14:textId="77777777" w:rsidR="00C05E30" w:rsidRPr="00C05E30" w:rsidRDefault="00C05E30" w:rsidP="003E2A84">
            <w:pPr>
              <w:rPr>
                <w:rFonts w:eastAsia="Yu Mincho"/>
                <w:lang w:eastAsia="ja-JP"/>
              </w:rPr>
            </w:pPr>
            <w:r w:rsidRPr="00C05E30">
              <w:rPr>
                <w:rFonts w:eastAsia="Yu Mincho" w:hint="eastAsia"/>
                <w:lang w:eastAsia="ja-JP"/>
              </w:rPr>
              <w:t>[</w:t>
            </w:r>
            <w:r w:rsidRPr="00C05E30">
              <w:rPr>
                <w:rFonts w:eastAsia="Yu Mincho"/>
                <w:lang w:eastAsia="ja-JP"/>
              </w:rPr>
              <w:t>…]</w:t>
            </w:r>
          </w:p>
          <w:p w14:paraId="356EE748" w14:textId="77777777" w:rsidR="00C05E30" w:rsidRPr="00C05E30" w:rsidRDefault="00C05E30" w:rsidP="003E2A84">
            <w:pPr>
              <w:rPr>
                <w:rFonts w:eastAsia="Yu Mincho"/>
              </w:rPr>
            </w:pPr>
            <w:r w:rsidRPr="00C05E30">
              <w:rPr>
                <w:rFonts w:eastAsia="Yu Mincho"/>
              </w:rPr>
              <w:t xml:space="preserve">A UE not capable of full-duplex communication and not supporting simultaneous transmission and reception as defined by paremeter </w:t>
            </w:r>
            <w:r w:rsidRPr="00C05E30">
              <w:rPr>
                <w:rFonts w:eastAsia="Yu Mincho"/>
                <w:i/>
              </w:rPr>
              <w:t>simultaneousRxTxInterBandENDC, simultaneousRxTxInterBandCA or simultaneousRxTxSUL</w:t>
            </w:r>
            <w:r w:rsidRPr="00C05E30">
              <w:rPr>
                <w:rFonts w:eastAsia="Yu Mincho"/>
              </w:rPr>
              <w:t xml:space="preserve"> [10, TS 38.306] among all cells within a group of cells is not expected to transmit in the uplink in one cell within the group of cells 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C05E30">
              <w:rPr>
                <w:rFonts w:eastAsia="Yu Mincho"/>
              </w:rPr>
              <w:t xml:space="preserve"> after the end of the last received downlink symbol in the same or different cell within the group of cells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C05E30">
              <w:rPr>
                <w:rFonts w:eastAsia="Yu Mincho"/>
              </w:rPr>
              <w:t xml:space="preserve"> is given by Table 4.3.2-3. </w:t>
            </w:r>
          </w:p>
          <w:p w14:paraId="7AAB7704" w14:textId="77777777" w:rsidR="00C05E30" w:rsidRPr="00C05E30" w:rsidRDefault="00C05E30" w:rsidP="003E2A84">
            <w:pPr>
              <w:rPr>
                <w:rFonts w:eastAsia="Yu Mincho"/>
              </w:rPr>
            </w:pPr>
            <w:r w:rsidRPr="00C05E30">
              <w:rPr>
                <w:rFonts w:eastAsia="Yu Mincho"/>
              </w:rPr>
              <w:t xml:space="preserve">A UE not capable of full-duplex communication and not supporting simultaneous transmission and reception as defined by parameter </w:t>
            </w:r>
            <w:r w:rsidRPr="00C05E30">
              <w:rPr>
                <w:rFonts w:eastAsia="Yu Mincho"/>
                <w:i/>
              </w:rPr>
              <w:t>simultaneousRxTxInterBandENDC</w:t>
            </w:r>
            <w:r w:rsidRPr="00C05E30">
              <w:rPr>
                <w:rFonts w:eastAsia="Yu Mincho"/>
              </w:rPr>
              <w:t xml:space="preserve">, </w:t>
            </w:r>
            <w:r w:rsidRPr="00C05E30">
              <w:rPr>
                <w:rFonts w:eastAsia="Yu Mincho"/>
                <w:i/>
              </w:rPr>
              <w:t>simultaneousRxTxInterBandCA</w:t>
            </w:r>
            <w:r w:rsidRPr="00C05E30">
              <w:rPr>
                <w:rFonts w:eastAsia="Yu Mincho"/>
              </w:rPr>
              <w:t xml:space="preserve"> </w:t>
            </w:r>
            <w:r w:rsidRPr="00C05E30">
              <w:rPr>
                <w:rFonts w:eastAsia="Yu Mincho"/>
                <w:i/>
              </w:rPr>
              <w:t>or simultaneousRxTxSUL</w:t>
            </w:r>
            <w:r w:rsidRPr="00C05E30">
              <w:rPr>
                <w:rFonts w:eastAsia="Yu Mincho"/>
              </w:rPr>
              <w:t xml:space="preserve"> [10, TS 38.306] among all cells within a group of cells is not expected to receive in the downlink in one cell within the group of cells 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Tx-Rx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C05E30">
              <w:rPr>
                <w:rFonts w:eastAsia="Yu Mincho"/>
              </w:rPr>
              <w:t xml:space="preserve"> after the end of the last transmitted uplink symbol in the same or different cell within the group of cells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Tx-Rx</m:t>
                  </m:r>
                </m:sub>
              </m:sSub>
            </m:oMath>
            <w:r w:rsidRPr="00C05E30">
              <w:rPr>
                <w:rFonts w:eastAsia="Yu Mincho"/>
              </w:rPr>
              <w:t xml:space="preserve"> is given by Table 4.3.2-3. </w:t>
            </w:r>
          </w:p>
          <w:p w14:paraId="1F01C7B2" w14:textId="77777777" w:rsidR="00C05E30" w:rsidRPr="00C05E30" w:rsidRDefault="00C05E30" w:rsidP="003E2A84">
            <w:pPr>
              <w:rPr>
                <w:rFonts w:eastAsia="Yu Mincho"/>
              </w:rPr>
            </w:pPr>
            <w:r w:rsidRPr="00C05E30">
              <w:rPr>
                <w:rFonts w:eastAsia="Yu Mincho"/>
              </w:rPr>
              <w:t xml:space="preserve">A UE not capable of full-duplex communication is not expected to transmit in the uplink earlier than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Rx-Tx</m:t>
                  </m:r>
                </m:sub>
              </m:sSub>
              <m:sSub>
                <m:sSubPr>
                  <m:ctrlPr>
                    <w:rPr>
                      <w:rFonts w:ascii="Cambria Math" w:eastAsia="Yu Mincho" w:hAnsi="Cambria Math"/>
                      <w:i/>
                    </w:rPr>
                  </m:ctrlPr>
                </m:sSubPr>
                <m:e>
                  <m:r>
                    <w:rPr>
                      <w:rFonts w:ascii="Cambria Math" w:eastAsia="Yu Mincho" w:hAnsi="Cambria Math"/>
                    </w:rPr>
                    <m:t>T</m:t>
                  </m:r>
                </m:e>
                <m:sub>
                  <m:r>
                    <m:rPr>
                      <m:nor/>
                    </m:rPr>
                    <w:rPr>
                      <w:rFonts w:eastAsia="Yu Mincho"/>
                    </w:rPr>
                    <m:t>c</m:t>
                  </m:r>
                </m:sub>
              </m:sSub>
            </m:oMath>
            <w:r w:rsidRPr="00C05E30">
              <w:rPr>
                <w:rFonts w:eastAsia="Yu Mincho"/>
              </w:rPr>
              <w:t xml:space="preserve"> after the end of the last received downlink symbol 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Rx-Tx</m:t>
                  </m:r>
                </m:sub>
              </m:sSub>
            </m:oMath>
            <w:r w:rsidRPr="00C05E30">
              <w:rPr>
                <w:rFonts w:eastAsia="Yu Mincho"/>
              </w:rPr>
              <w:t xml:space="preserve"> is given by Table 4.3.2-3. </w:t>
            </w:r>
          </w:p>
          <w:p w14:paraId="2256B93A" w14:textId="77777777" w:rsidR="00C05E30" w:rsidRPr="00C05E30" w:rsidRDefault="00C05E30" w:rsidP="003E2A84">
            <w:pPr>
              <w:rPr>
                <w:rFonts w:eastAsia="Yu Mincho"/>
              </w:rPr>
            </w:pPr>
            <w:r w:rsidRPr="00C05E30">
              <w:rPr>
                <w:rFonts w:eastAsia="Yu Mincho"/>
              </w:rPr>
              <w:t xml:space="preserve">A UE not capable of full-duplex communication is not expected to receive in the downlink earlier than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i/>
                    </w:rPr>
                  </m:ctrlPr>
                </m:sSubPr>
                <m:e>
                  <m:r>
                    <w:rPr>
                      <w:rFonts w:ascii="Cambria Math" w:eastAsia="Yu Mincho" w:hAnsi="Cambria Math"/>
                    </w:rPr>
                    <m:t>T</m:t>
                  </m:r>
                </m:e>
                <m:sub>
                  <m:r>
                    <m:rPr>
                      <m:nor/>
                    </m:rPr>
                    <w:rPr>
                      <w:rFonts w:eastAsia="Yu Mincho"/>
                    </w:rPr>
                    <m:t>c</m:t>
                  </m:r>
                </m:sub>
              </m:sSub>
            </m:oMath>
            <w:r w:rsidRPr="00C05E30">
              <w:rPr>
                <w:rFonts w:eastAsia="Yu Mincho"/>
              </w:rPr>
              <w:t xml:space="preserve"> after the end of the last transmitted uplink symbol 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Tx-Rx</m:t>
                  </m:r>
                </m:sub>
              </m:sSub>
            </m:oMath>
            <w:r w:rsidRPr="00C05E30">
              <w:rPr>
                <w:rFonts w:eastAsia="Yu Mincho"/>
              </w:rPr>
              <w:t xml:space="preserve"> is given by Table 4.3.2-3.</w:t>
            </w:r>
          </w:p>
          <w:p w14:paraId="740CBD6F" w14:textId="77777777" w:rsidR="00C05E30" w:rsidRPr="00C05E30" w:rsidRDefault="00C05E30" w:rsidP="003E2A84">
            <w:pPr>
              <w:spacing w:after="0"/>
              <w:rPr>
                <w:rFonts w:ascii="Calibri" w:hAnsi="Calibri" w:cs="Calibri"/>
              </w:rPr>
            </w:pPr>
          </w:p>
        </w:tc>
        <w:tc>
          <w:tcPr>
            <w:tcW w:w="3113" w:type="dxa"/>
            <w:tcMar>
              <w:top w:w="0" w:type="dxa"/>
              <w:left w:w="108" w:type="dxa"/>
              <w:bottom w:w="0" w:type="dxa"/>
              <w:right w:w="108" w:type="dxa"/>
            </w:tcMar>
            <w:hideMark/>
          </w:tcPr>
          <w:p w14:paraId="27CC4396" w14:textId="77777777" w:rsidR="00C05E30" w:rsidRPr="00C05E30" w:rsidRDefault="00C05E30" w:rsidP="003E2A84">
            <w:pPr>
              <w:spacing w:after="0"/>
              <w:rPr>
                <w:rFonts w:ascii="Calibri" w:hAnsi="Calibri" w:cs="Calibri"/>
              </w:rPr>
            </w:pPr>
          </w:p>
          <w:p w14:paraId="6249997F" w14:textId="77777777" w:rsidR="00C05E30" w:rsidRDefault="00C05E30" w:rsidP="003E2A84">
            <w:pPr>
              <w:spacing w:after="0"/>
              <w:rPr>
                <w:rFonts w:ascii="Calibri" w:hAnsi="Calibri" w:cs="Calibri"/>
              </w:rPr>
            </w:pPr>
            <w:r w:rsidRPr="00C05E30">
              <w:rPr>
                <w:rFonts w:ascii="Calibri" w:hAnsi="Calibri" w:cs="Calibri"/>
                <w:lang w:eastAsia="ja-JP"/>
              </w:rPr>
              <w:t xml:space="preserve">The “to transmit in the uplink in one cell within the group of cells earlier than </w:t>
            </w:r>
            <m:oMath>
              <m:sSub>
                <m:sSubPr>
                  <m:ctrlPr>
                    <w:rPr>
                      <w:rFonts w:ascii="Cambria Math" w:hAnsi="Cambria Math" w:cs="Calibri"/>
                      <w:i/>
                      <w:lang w:eastAsia="ja-JP"/>
                    </w:rPr>
                  </m:ctrlPr>
                </m:sSubPr>
                <m:e>
                  <m:r>
                    <w:rPr>
                      <w:rFonts w:ascii="Cambria Math" w:hAnsi="Cambria Math" w:cs="Calibri"/>
                      <w:lang w:eastAsia="ja-JP"/>
                    </w:rPr>
                    <m:t>N</m:t>
                  </m:r>
                </m:e>
                <m:sub>
                  <m:r>
                    <m:rPr>
                      <m:nor/>
                    </m:rPr>
                    <w:rPr>
                      <w:rFonts w:ascii="Calibri" w:hAnsi="Calibri" w:cs="Calibri"/>
                      <w:lang w:eastAsia="ja-JP"/>
                    </w:rPr>
                    <m:t>Rx-Tx</m:t>
                  </m:r>
                </m:sub>
              </m:sSub>
              <m:sSub>
                <m:sSubPr>
                  <m:ctrlPr>
                    <w:rPr>
                      <w:rFonts w:ascii="Cambria Math" w:hAnsi="Cambria Math" w:cs="Calibri"/>
                      <w:i/>
                      <w:lang w:eastAsia="ja-JP"/>
                    </w:rPr>
                  </m:ctrlPr>
                </m:sSubPr>
                <m:e>
                  <m:r>
                    <w:rPr>
                      <w:rFonts w:ascii="Cambria Math" w:hAnsi="Cambria Math" w:cs="Calibri"/>
                      <w:lang w:eastAsia="ja-JP"/>
                    </w:rPr>
                    <m:t>T</m:t>
                  </m:r>
                </m:e>
                <m:sub>
                  <m:r>
                    <m:rPr>
                      <m:nor/>
                    </m:rPr>
                    <w:rPr>
                      <w:rFonts w:ascii="Calibri" w:hAnsi="Calibri" w:cs="Calibri"/>
                      <w:lang w:eastAsia="ja-JP"/>
                    </w:rPr>
                    <m:t>c</m:t>
                  </m:r>
                </m:sub>
              </m:sSub>
            </m:oMath>
            <w:r w:rsidRPr="00C05E30">
              <w:rPr>
                <w:rFonts w:ascii="Calibri" w:hAnsi="Calibri" w:cs="Calibri"/>
                <w:lang w:eastAsia="ja-JP"/>
              </w:rPr>
              <w:t xml:space="preserve"> after the end of the last received downlink symbol in the same or different cell within the group of cells” takes into account DL timing difference(s) and TA(s).</w:t>
            </w:r>
          </w:p>
          <w:p w14:paraId="3C928C55" w14:textId="77777777" w:rsidR="00C05E30" w:rsidRDefault="00C05E30" w:rsidP="003E2A84">
            <w:pPr>
              <w:spacing w:after="0"/>
              <w:rPr>
                <w:rFonts w:ascii="Calibri" w:hAnsi="Calibri" w:cs="Calibri"/>
              </w:rPr>
            </w:pPr>
          </w:p>
        </w:tc>
      </w:tr>
    </w:tbl>
    <w:p w14:paraId="1B58F99D" w14:textId="650D4412" w:rsidR="00C05E30" w:rsidRDefault="00C05E30" w:rsidP="00186C42"/>
    <w:p w14:paraId="48F956B5" w14:textId="4D1A7308" w:rsidR="00ED7D2E" w:rsidRDefault="00FB346C" w:rsidP="00186C42">
      <w:r w:rsidRPr="00ED7D2E">
        <w:t>TX-Rx exclusion and switch gap</w:t>
      </w:r>
      <w:r>
        <w:t xml:space="preserve"> defined for case </w:t>
      </w:r>
      <w:r w:rsidR="00557DE1">
        <w:t xml:space="preserve">9 </w:t>
      </w:r>
      <w:r>
        <w:t>has taken TA into account.</w:t>
      </w:r>
    </w:p>
    <w:tbl>
      <w:tblPr>
        <w:tblStyle w:val="aff"/>
        <w:tblW w:w="0" w:type="auto"/>
        <w:tblLook w:val="04A0" w:firstRow="1" w:lastRow="0" w:firstColumn="1" w:lastColumn="0" w:noHBand="0" w:noVBand="1"/>
      </w:tblPr>
      <w:tblGrid>
        <w:gridCol w:w="9630"/>
      </w:tblGrid>
      <w:tr w:rsidR="009030EC" w:rsidRPr="00896A04" w14:paraId="4940BEE5" w14:textId="77777777" w:rsidTr="00ED7D2E">
        <w:tc>
          <w:tcPr>
            <w:tcW w:w="9630" w:type="dxa"/>
          </w:tcPr>
          <w:p w14:paraId="29D1C37B" w14:textId="77777777" w:rsidR="00251FE9" w:rsidRPr="00896A04" w:rsidRDefault="00251FE9" w:rsidP="00251FE9">
            <w:pPr>
              <w:rPr>
                <w:i/>
              </w:rPr>
            </w:pPr>
            <w:r w:rsidRPr="00896A04">
              <w:rPr>
                <w:i/>
              </w:rPr>
              <w:t xml:space="preserve">If a HD-UE would transmit a PUSCH, or PUCCH, or SRS based on a configuration by higher layers and the HD-UE is indicated presence of SS/PBCH blocks within the active DL BWP by ssb-PositionsInBurst in SIB1 or in ServingCellConfigCommon or by NonCellDefiningSSB, the HD-UE does not transmit </w:t>
            </w:r>
          </w:p>
          <w:p w14:paraId="6F451987" w14:textId="6AF3A5BA" w:rsidR="00251FE9" w:rsidRPr="00896A04" w:rsidRDefault="00251FE9" w:rsidP="00251FE9">
            <w:pPr>
              <w:pStyle w:val="B1"/>
              <w:rPr>
                <w:i/>
              </w:rPr>
            </w:pPr>
            <w:r w:rsidRPr="00896A04">
              <w:rPr>
                <w:i/>
              </w:rPr>
              <w:t>-</w:t>
            </w:r>
            <w:r w:rsidRPr="00896A04">
              <w:rPr>
                <w:i/>
              </w:rPr>
              <w:tab/>
              <w:t>PUSCH or PUCCH</w:t>
            </w:r>
            <w:r w:rsidRPr="00896A04">
              <w:rPr>
                <w:i/>
                <w:lang w:val="en-US"/>
              </w:rPr>
              <w:t xml:space="preserve"> if a last symbol of the PUSCH or PUCCH transmission would not be at </w:t>
            </w:r>
            <w:r w:rsidRPr="00896A04">
              <w:rPr>
                <w:i/>
                <w:highlight w:val="magenta"/>
                <w:lang w:val="en-US"/>
              </w:rPr>
              <w:t xml:space="preserve">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Tx-Rx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[4, TS 38.211] prior to a first symbol of the next earliest SS/PBCH block</w:t>
            </w:r>
          </w:p>
          <w:p w14:paraId="48F133B3" w14:textId="379CE517" w:rsidR="00251FE9" w:rsidRPr="00896A04" w:rsidRDefault="00251FE9" w:rsidP="00251FE9">
            <w:pPr>
              <w:pStyle w:val="B1"/>
              <w:rPr>
                <w:i/>
              </w:rPr>
            </w:pPr>
            <w:r w:rsidRPr="00896A04">
              <w:rPr>
                <w:i/>
              </w:rPr>
              <w:t>-</w:t>
            </w:r>
            <w:r w:rsidRPr="00896A04">
              <w:rPr>
                <w:i/>
              </w:rPr>
              <w:tab/>
              <w:t>PUSCH or PUCCH</w:t>
            </w:r>
            <w:r w:rsidRPr="00896A04">
              <w:rPr>
                <w:i/>
                <w:lang w:val="en-US"/>
              </w:rPr>
              <w:t xml:space="preserve"> if a first symbol of the PUSCH or PUCCH transmission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lang w:val="en-US"/>
                    </w:rPr>
                    <m:t>R</m:t>
                  </m:r>
                  <m:r>
                    <m:rPr>
                      <m:nor/>
                    </m:rPr>
                    <w:rPr>
                      <w:i/>
                      <w:highlight w:val="magenta"/>
                    </w:rPr>
                    <m:t>x-</m:t>
                  </m:r>
                  <m:r>
                    <m:rPr>
                      <m:nor/>
                    </m:rPr>
                    <w:rPr>
                      <w:i/>
                      <w:highlight w:val="magenta"/>
                      <w:lang w:val="en-US"/>
                    </w:rPr>
                    <m:t>T</m:t>
                  </m:r>
                  <m:r>
                    <m:rPr>
                      <m:nor/>
                    </m:rPr>
                    <w:rPr>
                      <w:i/>
                      <w:highlight w:val="magenta"/>
                    </w:rPr>
                    <m: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[4, TS 38.211] after a last symbol of the previous latest SS/PBCH block</w:t>
            </w:r>
            <w:r w:rsidRPr="00896A04" w:rsidDel="00C410F0">
              <w:rPr>
                <w:i/>
                <w:lang w:val="en-US"/>
              </w:rPr>
              <w:t xml:space="preserve"> </w:t>
            </w:r>
          </w:p>
          <w:p w14:paraId="685923FB" w14:textId="36157AA9" w:rsidR="00251FE9" w:rsidRPr="00896A04" w:rsidRDefault="00251FE9" w:rsidP="00251FE9">
            <w:pPr>
              <w:pStyle w:val="B1"/>
              <w:rPr>
                <w:i/>
                <w:lang w:val="en-US"/>
              </w:rPr>
            </w:pPr>
            <w:r w:rsidRPr="00896A04">
              <w:rPr>
                <w:i/>
              </w:rPr>
              <w:t>-</w:t>
            </w:r>
            <w:r w:rsidRPr="00896A04">
              <w:rPr>
                <w:i/>
              </w:rPr>
              <w:tab/>
              <w:t xml:space="preserve">SRS in symbols </w:t>
            </w:r>
            <w:r w:rsidRPr="00896A04">
              <w:rPr>
                <w:i/>
                <w:lang w:val="en-US"/>
              </w:rPr>
              <w:t xml:space="preserve">that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Tx-Rx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prior to a first symbol of the next earliest SS/PBCH block</w:t>
            </w:r>
          </w:p>
          <w:p w14:paraId="0C32EDC8" w14:textId="1A169ADF" w:rsidR="00ED7D2E" w:rsidRPr="00896A04" w:rsidRDefault="00251FE9" w:rsidP="00251FE9">
            <w:pPr>
              <w:pStyle w:val="B1"/>
              <w:rPr>
                <w:i/>
                <w:lang w:val="en-US"/>
              </w:rPr>
            </w:pPr>
            <w:r w:rsidRPr="00896A04">
              <w:rPr>
                <w:i/>
              </w:rPr>
              <w:t>-</w:t>
            </w:r>
            <w:r w:rsidRPr="00896A04">
              <w:rPr>
                <w:i/>
              </w:rPr>
              <w:tab/>
              <w:t xml:space="preserve">SRS in symbols </w:t>
            </w:r>
            <w:r w:rsidRPr="00896A04">
              <w:rPr>
                <w:i/>
                <w:lang w:val="en-US"/>
              </w:rPr>
              <w:t xml:space="preserve">that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lang w:val="en-US"/>
                    </w:rPr>
                    <m:t>R</m:t>
                  </m:r>
                  <m:r>
                    <m:rPr>
                      <m:nor/>
                    </m:rPr>
                    <w:rPr>
                      <w:i/>
                      <w:highlight w:val="magenta"/>
                    </w:rPr>
                    <m:t>x-</m:t>
                  </m:r>
                  <m:r>
                    <m:rPr>
                      <m:nor/>
                    </m:rPr>
                    <w:rPr>
                      <w:i/>
                      <w:highlight w:val="magenta"/>
                      <w:lang w:val="en-US"/>
                    </w:rPr>
                    <m:t>T</m:t>
                  </m:r>
                  <m:r>
                    <m:rPr>
                      <m:nor/>
                    </m:rPr>
                    <w:rPr>
                      <w:i/>
                      <w:highlight w:val="magenta"/>
                    </w:rPr>
                    <m: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after a last symbol of the previous latest SS/PBCH block</w:t>
            </w:r>
          </w:p>
          <w:p w14:paraId="2E889820" w14:textId="308D7C72" w:rsidR="00251FE9" w:rsidRPr="009030EC" w:rsidRDefault="00251FE9" w:rsidP="009030EC">
            <w:pPr>
              <w:rPr>
                <w:i/>
              </w:rPr>
            </w:pPr>
            <w:r w:rsidRPr="00896A04">
              <w:rPr>
                <w:i/>
              </w:rPr>
              <w:lastRenderedPageBreak/>
              <w:t>If a HD-UE would receive a PDCCH, or a PDSCH, or a CSI-RS, or a DL PRS based on a configuration by higher layers or is indicated presence of SS/PBCH blocks within the active DL BWP by ssb-PositionsInBurst in SIB1 or in ServingCellConfigCommon</w:t>
            </w:r>
            <w:r w:rsidRPr="00896A04">
              <w:rPr>
                <w:i/>
                <w:iCs/>
              </w:rPr>
              <w:t xml:space="preserve"> </w:t>
            </w:r>
            <w:r w:rsidRPr="00896A04">
              <w:rPr>
                <w:i/>
              </w:rPr>
              <w:t>or by NonCellDefiningSSB</w:t>
            </w:r>
            <w:r w:rsidRPr="00896A04">
              <w:rPr>
                <w:i/>
                <w:iCs/>
              </w:rPr>
              <w:t xml:space="preserve"> in a set of symbols</w:t>
            </w:r>
            <w:r w:rsidRPr="00896A04">
              <w:rPr>
                <w:i/>
              </w:rPr>
              <w:t xml:space="preserve">, and the HD-UE would transmit PRACH or MsgA PUSCH triggered by higher layers starting or ending at a symbol that is earlier or later than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Rx-Tx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rPr>
              <w:t xml:space="preserve"> or </w:t>
            </w:r>
            <m:oMath>
              <m:sSub>
                <m:sSubPr>
                  <m:ctrlPr>
                    <w:rPr>
                      <w:rFonts w:ascii="Cambria Math" w:hAnsi="Cambria Math"/>
                      <w:i/>
                    </w:rPr>
                  </m:ctrlPr>
                </m:sSubPr>
                <m:e>
                  <m:r>
                    <w:rPr>
                      <w:rFonts w:ascii="Cambria Math" w:hAnsi="Cambria Math"/>
                    </w:rPr>
                    <m:t>N</m:t>
                  </m:r>
                </m:e>
                <m:sub>
                  <m:r>
                    <m:rPr>
                      <m:nor/>
                    </m:rPr>
                    <w:rPr>
                      <w:i/>
                    </w:rPr>
                    <m:t>Tx-Rx</m:t>
                  </m:r>
                </m:sub>
              </m:sSub>
              <m:r>
                <w:rPr>
                  <w:rFonts w:ascii="Cambria Math" w:hAnsi="Cambria Math" w:cs="Cambria Math"/>
                </w:rPr>
                <m:t>⋅</m:t>
              </m:r>
              <m:sSub>
                <m:sSubPr>
                  <m:ctrlPr>
                    <w:rPr>
                      <w:rFonts w:ascii="Cambria Math" w:hAnsi="Cambria Math"/>
                      <w:i/>
                    </w:rPr>
                  </m:ctrlPr>
                </m:sSubPr>
                <m:e>
                  <m:r>
                    <w:rPr>
                      <w:rFonts w:ascii="Cambria Math" w:hAnsi="Cambria Math"/>
                    </w:rPr>
                    <m:t>T</m:t>
                  </m:r>
                </m:e>
                <m:sub>
                  <m:r>
                    <m:rPr>
                      <m:nor/>
                    </m:rPr>
                    <w:rPr>
                      <w:i/>
                    </w:rPr>
                    <m:t>c</m:t>
                  </m:r>
                </m:sub>
              </m:sSub>
            </m:oMath>
            <w:r w:rsidRPr="00896A04">
              <w:rPr>
                <w:i/>
              </w:rPr>
              <w:t>, respectively, from the last or first symbol in the set of symbols, the HD-UE can select based on its implementation whether to either transmit the PRACH or the MsgA PUSCH or receive the PDSCH, or the CSI-RS, or the DL PRS, or the PDCCH, or the SS/PBCH blocks.</w:t>
            </w:r>
          </w:p>
        </w:tc>
      </w:tr>
    </w:tbl>
    <w:p w14:paraId="7165F973" w14:textId="77777777" w:rsidR="00ED7D2E" w:rsidRDefault="00ED7D2E" w:rsidP="00186C42"/>
    <w:p w14:paraId="0F0F3607" w14:textId="1DD6C330" w:rsidR="00ED7D2E" w:rsidRPr="00251FE9" w:rsidRDefault="00ED7D2E" w:rsidP="00DC1042">
      <w:pPr>
        <w:pStyle w:val="aff8"/>
        <w:numPr>
          <w:ilvl w:val="0"/>
          <w:numId w:val="44"/>
        </w:numPr>
        <w:snapToGrid w:val="0"/>
        <w:ind w:leftChars="0" w:left="0" w:firstLine="0"/>
        <w:rPr>
          <w:b/>
          <w:i/>
        </w:rPr>
      </w:pPr>
      <w:bookmarkStart w:id="42" w:name="OLE_LINK1"/>
      <w:r w:rsidRPr="00251FE9">
        <w:rPr>
          <w:b/>
          <w:i/>
        </w:rPr>
        <w:t>TX-Rx exclusion and switch gap</w:t>
      </w:r>
      <w:r w:rsidR="00896A04">
        <w:rPr>
          <w:b/>
          <w:i/>
        </w:rPr>
        <w:t xml:space="preserve"> in case 9</w:t>
      </w:r>
      <w:r w:rsidRPr="00251FE9">
        <w:rPr>
          <w:b/>
          <w:i/>
        </w:rPr>
        <w:t xml:space="preserve"> has taken TA into account</w:t>
      </w:r>
      <w:r w:rsidR="00CC3B17">
        <w:rPr>
          <w:b/>
          <w:i/>
        </w:rPr>
        <w:t>.</w:t>
      </w:r>
    </w:p>
    <w:bookmarkEnd w:id="42"/>
    <w:p w14:paraId="2BA9BDEC" w14:textId="598FB896" w:rsidR="008E75A4" w:rsidRDefault="00185C7B" w:rsidP="00185C7B">
      <w:pPr>
        <w:pStyle w:val="2"/>
      </w:pPr>
      <w:r w:rsidRPr="00185C7B">
        <w:t>UE autonomous adjustment of TA</w:t>
      </w:r>
    </w:p>
    <w:p w14:paraId="07ADE855" w14:textId="77777777" w:rsidR="00347D2B" w:rsidRDefault="00347D2B" w:rsidP="00347D2B">
      <w:pPr>
        <w:jc w:val="both"/>
      </w:pPr>
      <w:r>
        <w:t xml:space="preserve">For the impact of UE TA auto compensation to the collision cases of HD-FDD redcap, except for Case 3 and 4, all other cases have collision rules to drop one or up to UE implementation. These UE behaviours can be reuse for NTN redcap.  </w:t>
      </w:r>
    </w:p>
    <w:p w14:paraId="35B6AE17" w14:textId="77777777" w:rsidR="00347D2B" w:rsidRDefault="00347D2B" w:rsidP="00347D2B">
      <w:pPr>
        <w:pStyle w:val="aff8"/>
        <w:numPr>
          <w:ilvl w:val="0"/>
          <w:numId w:val="44"/>
        </w:numPr>
        <w:snapToGrid w:val="0"/>
        <w:ind w:leftChars="0" w:left="0" w:firstLine="0"/>
        <w:rPr>
          <w:b/>
          <w:i/>
        </w:rPr>
      </w:pPr>
      <w:r w:rsidRPr="0078730F">
        <w:rPr>
          <w:b/>
          <w:i/>
        </w:rPr>
        <w:t>For HD-FDD RedCap UEs and eRedCap UEs with NR NTN operating, UE behaviour for all the cases except for case 3 and 4 can be reused.</w:t>
      </w:r>
    </w:p>
    <w:p w14:paraId="2D2988A7" w14:textId="65B539A6" w:rsidR="003C5A94" w:rsidRDefault="00DB0C41" w:rsidP="00F02572">
      <w:pPr>
        <w:jc w:val="both"/>
      </w:pPr>
      <w:r w:rsidRPr="00E2428C">
        <w:rPr>
          <w:rFonts w:eastAsiaTheme="minorEastAsia"/>
          <w:lang w:eastAsia="zh-CN"/>
        </w:rPr>
        <w:t>In NTN, due to the movement of satellite and UE location, UE needs to pre-compensate the timing and frequency offset, via UE implementation.</w:t>
      </w:r>
      <w:r w:rsidR="00C54A55" w:rsidRPr="00C54A55">
        <w:rPr>
          <w:rFonts w:eastAsiaTheme="minorEastAsia"/>
          <w:lang w:eastAsia="zh-CN"/>
        </w:rPr>
        <w:t xml:space="preserve"> </w:t>
      </w:r>
      <w:r w:rsidR="00C54A55" w:rsidRPr="00E437C3">
        <w:rPr>
          <w:rFonts w:eastAsiaTheme="minorEastAsia"/>
          <w:lang w:eastAsia="zh-CN"/>
        </w:rPr>
        <w:t xml:space="preserve">For LEO, the distance between UE and satellite changes with fast movement of satellites, and the propagation time or round trip time varies as a result, which can be regarded as delay drift. Actually, the distance variation also depends on the satellite orbits and the elevation angle variation. </w:t>
      </w:r>
      <w:r w:rsidR="00F02572">
        <w:rPr>
          <w:rFonts w:eastAsiaTheme="minorEastAsia"/>
          <w:lang w:eastAsia="zh-CN"/>
        </w:rPr>
        <w:t xml:space="preserve"> So o</w:t>
      </w:r>
      <w:r w:rsidR="003C5A94">
        <w:t xml:space="preserve">n top of TA in TN, in Rel-17 NTN, the calculation of TA applied by NTN UE has been enhanced as described in section 4.3.1 of TS38.211. </w:t>
      </w:r>
    </w:p>
    <w:tbl>
      <w:tblPr>
        <w:tblStyle w:val="aff"/>
        <w:tblW w:w="0" w:type="auto"/>
        <w:tblLook w:val="04A0" w:firstRow="1" w:lastRow="0" w:firstColumn="1" w:lastColumn="0" w:noHBand="0" w:noVBand="1"/>
      </w:tblPr>
      <w:tblGrid>
        <w:gridCol w:w="9630"/>
      </w:tblGrid>
      <w:tr w:rsidR="003C5A94" w14:paraId="54D2F914" w14:textId="77777777" w:rsidTr="00DE022A">
        <w:tc>
          <w:tcPr>
            <w:tcW w:w="9631" w:type="dxa"/>
          </w:tcPr>
          <w:p w14:paraId="414783AC" w14:textId="77777777" w:rsidR="00347D2B" w:rsidRDefault="00347D2B" w:rsidP="00347D2B">
            <w:r>
              <w:t>U</w:t>
            </w:r>
            <w:r w:rsidRPr="00C12953">
              <w:t xml:space="preserve">plink frame number </w:t>
            </w:r>
            <w:r w:rsidRPr="00C12953">
              <w:rPr>
                <w:position w:val="-6"/>
              </w:rPr>
              <w:object w:dxaOrig="139" w:dyaOrig="240" w14:anchorId="1AAF06BF">
                <v:shape id="_x0000_i1027" type="#_x0000_t75" style="width:6.35pt;height:13pt" o:ole="">
                  <v:imagedata r:id="rId12" o:title=""/>
                </v:shape>
                <o:OLEObject Type="Embed" ProgID="Equation.3" ShapeID="_x0000_i1027" DrawAspect="Content" ObjectID="_1769873257" r:id="rId13"/>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6F932F01" w14:textId="77777777" w:rsidR="00347D2B" w:rsidRDefault="00347D2B" w:rsidP="00347D2B">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C7F2B2D" w14:textId="77777777" w:rsidR="00347D2B" w:rsidRDefault="00347D2B" w:rsidP="00347D2B">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r w:rsidRPr="00D8754A">
              <w:rPr>
                <w:i/>
                <w:iCs/>
              </w:rPr>
              <w:t>ta-Common</w:t>
            </w:r>
            <w:r>
              <w:t xml:space="preserve">, </w:t>
            </w:r>
            <w:r w:rsidRPr="008242B2">
              <w:rPr>
                <w:i/>
                <w:iCs/>
              </w:rPr>
              <w:t>ta-CommonDrift</w:t>
            </w:r>
            <w:r>
              <w:t xml:space="preserve">, and </w:t>
            </w:r>
            <w:r w:rsidRPr="00F7033A">
              <w:rPr>
                <w:i/>
                <w:iCs/>
              </w:rPr>
              <w:t>ta-CommonDriftVariant</w:t>
            </w:r>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35A85A41" w14:textId="77777777" w:rsidR="00347D2B" w:rsidRDefault="00347D2B" w:rsidP="00347D2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43"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3"/>
          </w:p>
          <w:p w14:paraId="169B41AA" w14:textId="77777777" w:rsidR="00347D2B" w:rsidRPr="00F84647" w:rsidRDefault="00347D2B" w:rsidP="00347D2B"/>
          <w:p w14:paraId="5D32C643" w14:textId="77777777" w:rsidR="00347D2B" w:rsidRPr="00C12953" w:rsidRDefault="00347D2B" w:rsidP="00347D2B">
            <w:pPr>
              <w:pStyle w:val="TH"/>
            </w:pPr>
            <w:r>
              <w:object w:dxaOrig="6736" w:dyaOrig="2206" w14:anchorId="47A287FB">
                <v:shape id="_x0000_i1028" type="#_x0000_t75" style="width:272pt;height:91pt" o:ole="">
                  <v:imagedata r:id="rId14" o:title=""/>
                </v:shape>
                <o:OLEObject Type="Embed" ProgID="Visio.Drawing.11" ShapeID="_x0000_i1028" DrawAspect="Content" ObjectID="_1769873258" r:id="rId15"/>
              </w:object>
            </w:r>
          </w:p>
          <w:p w14:paraId="283A04B2" w14:textId="757BE643" w:rsidR="003C5A94" w:rsidRDefault="00347D2B" w:rsidP="00347D2B">
            <w:pPr>
              <w:pStyle w:val="TF"/>
            </w:pPr>
            <w:r w:rsidRPr="00C12953">
              <w:t xml:space="preserve">Figure </w:t>
            </w:r>
            <w:r>
              <w:t>4.3.1-1</w:t>
            </w:r>
            <w:r w:rsidRPr="00C12953">
              <w:t>: Uplink-downlink timing relation</w:t>
            </w:r>
            <w:r>
              <w:t>.</w:t>
            </w:r>
          </w:p>
        </w:tc>
      </w:tr>
    </w:tbl>
    <w:p w14:paraId="2E6F818A" w14:textId="77777777" w:rsidR="00F02572" w:rsidRDefault="00F02572" w:rsidP="003C5A94">
      <w:pPr>
        <w:pStyle w:val="af5"/>
        <w:spacing w:before="120"/>
        <w:rPr>
          <w:rFonts w:eastAsiaTheme="minorEastAsia"/>
          <w:lang w:eastAsia="zh-CN"/>
        </w:rPr>
      </w:pPr>
    </w:p>
    <w:p w14:paraId="0D2C7CA4" w14:textId="3235E592" w:rsidR="003C5A94" w:rsidRDefault="003C5A94" w:rsidP="005D2722">
      <w:pPr>
        <w:pStyle w:val="af5"/>
        <w:spacing w:before="120"/>
      </w:pPr>
      <w:r>
        <w:rPr>
          <w:rFonts w:eastAsiaTheme="minorEastAsia"/>
          <w:lang w:eastAsia="zh-CN"/>
        </w:rPr>
        <w:t xml:space="preserve">As </w:t>
      </w:r>
      <w:r w:rsidR="00F02572">
        <w:rPr>
          <w:rFonts w:eastAsiaTheme="minorEastAsia"/>
          <w:lang w:eastAsia="zh-CN"/>
        </w:rPr>
        <w:t xml:space="preserve">it </w:t>
      </w:r>
      <w:r>
        <w:rPr>
          <w:rFonts w:eastAsiaTheme="minorEastAsia"/>
          <w:lang w:eastAsia="zh-CN"/>
        </w:rPr>
        <w:t>can be seen, common TA or UE specific TA takes effect</w:t>
      </w:r>
      <w:r w:rsidR="00F02572">
        <w:rPr>
          <w:rFonts w:eastAsiaTheme="minorEastAsia"/>
          <w:lang w:eastAsia="zh-CN"/>
        </w:rPr>
        <w:t xml:space="preserve"> </w:t>
      </w:r>
      <w:r w:rsidR="000A5396">
        <w:rPr>
          <w:rFonts w:eastAsiaTheme="minorEastAsia"/>
          <w:lang w:eastAsia="zh-CN"/>
        </w:rPr>
        <w:t xml:space="preserve">can change the TA value. </w:t>
      </w:r>
      <w:r w:rsidRPr="003179E0">
        <w:rPr>
          <w:i/>
          <w:iCs/>
        </w:rPr>
        <w:t>TACommon</w:t>
      </w:r>
      <w:r>
        <w:rPr>
          <w:i/>
          <w:iCs/>
        </w:rPr>
        <w:t>Drift</w:t>
      </w:r>
      <w:r>
        <w:t xml:space="preserve"> and </w:t>
      </w:r>
      <w:r w:rsidRPr="003179E0">
        <w:rPr>
          <w:i/>
          <w:iCs/>
        </w:rPr>
        <w:t>TACommon</w:t>
      </w:r>
      <w:r>
        <w:rPr>
          <w:i/>
          <w:iCs/>
        </w:rPr>
        <w:t>DriftVariation</w:t>
      </w:r>
      <w:r>
        <w:t xml:space="preserve"> if configured could result in the update of common TA. In current spec., </w:t>
      </w:r>
      <w:r>
        <w:rPr>
          <w:rFonts w:eastAsiaTheme="minorEastAsia"/>
          <w:lang w:eastAsia="zh-CN"/>
        </w:rPr>
        <w:t xml:space="preserve">when and how to the updated common TA is up to UE implementation. </w:t>
      </w:r>
      <w:r>
        <w:t xml:space="preserve">UE specific TA is calculated by the UE based on </w:t>
      </w:r>
      <w:r w:rsidRPr="00A65E2A">
        <w:t>UE position and serving</w:t>
      </w:r>
      <w:r>
        <w:t xml:space="preserve">-satellite-ephemeris-related higher-layers parameters if configured. Such UE specific TA could be reported to gNB, which is </w:t>
      </w:r>
      <w:r w:rsidR="000A5396">
        <w:t xml:space="preserve">stated </w:t>
      </w:r>
      <w:r>
        <w:t xml:space="preserve">in section </w:t>
      </w:r>
      <w:r w:rsidRPr="00246EC6">
        <w:t xml:space="preserve">5.4.8 of </w:t>
      </w:r>
      <w:r>
        <w:t xml:space="preserve">TS 38.321. </w:t>
      </w:r>
    </w:p>
    <w:p w14:paraId="47E59FA9" w14:textId="591DC169" w:rsidR="0078730F" w:rsidRDefault="005B32B8" w:rsidP="0078730F">
      <w:r>
        <w:t>Regarding case 3 and 4, they are semi-static vs. semi-static, and dynamic vs. dynamic, which are avoided by gNB. UE does not expect such collision. Howeve</w:t>
      </w:r>
      <w:r w:rsidR="00185C7B">
        <w:t xml:space="preserve">r, due to </w:t>
      </w:r>
      <w:bookmarkStart w:id="44" w:name="OLE_LINK10"/>
      <w:r w:rsidR="00185C7B">
        <w:t>UE autonomous adjustment of TA</w:t>
      </w:r>
      <w:bookmarkEnd w:id="44"/>
      <w:r w:rsidR="00185C7B">
        <w:t xml:space="preserve">, gNB may cannot exactly control the PDSCH reception and UL transmission timing at UE side, such as following figures show. </w:t>
      </w:r>
    </w:p>
    <w:p w14:paraId="6AC47787" w14:textId="77777777" w:rsidR="005B32B8" w:rsidRPr="0078730F" w:rsidRDefault="005B32B8" w:rsidP="0078730F"/>
    <w:p w14:paraId="79DEF94E" w14:textId="4441B2E1" w:rsidR="005B3BFD" w:rsidRDefault="005B3BFD" w:rsidP="00DC1042">
      <w:pPr>
        <w:jc w:val="both"/>
      </w:pPr>
      <w:r>
        <w:object w:dxaOrig="27461" w:dyaOrig="8781" w14:anchorId="35BAE93F">
          <v:shape id="_x0000_i1029" type="#_x0000_t75" style="width:482pt;height:154pt" o:ole="">
            <v:imagedata r:id="rId16" o:title=""/>
          </v:shape>
          <o:OLEObject Type="Embed" ProgID="Visio.Drawing.15" ShapeID="_x0000_i1029" DrawAspect="Content" ObjectID="_1769873259" r:id="rId17"/>
        </w:object>
      </w:r>
    </w:p>
    <w:p w14:paraId="27782FE4" w14:textId="7CFC83F1" w:rsidR="005B3BFD" w:rsidRDefault="005B3BFD" w:rsidP="005B3BFD">
      <w:pPr>
        <w:pStyle w:val="ae"/>
        <w:jc w:val="center"/>
      </w:pPr>
      <w:bookmarkStart w:id="45" w:name="OLE_LINK79"/>
      <w:r>
        <w:t xml:space="preserve">Figure </w:t>
      </w:r>
      <w:r>
        <w:fldChar w:fldCharType="begin"/>
      </w:r>
      <w:r>
        <w:instrText xml:space="preserve"> SEQ Figure \* ARABIC </w:instrText>
      </w:r>
      <w:r>
        <w:fldChar w:fldCharType="separate"/>
      </w:r>
      <w:r>
        <w:rPr>
          <w:noProof/>
        </w:rPr>
        <w:t>1</w:t>
      </w:r>
      <w:r>
        <w:fldChar w:fldCharType="end"/>
      </w:r>
      <w:r>
        <w:t xml:space="preserve">: </w:t>
      </w:r>
      <w:r w:rsidR="00185C7B">
        <w:t>UE autonomous adjustment of TA, example 1</w:t>
      </w:r>
    </w:p>
    <w:bookmarkEnd w:id="45"/>
    <w:p w14:paraId="7803CF6F" w14:textId="4539BB9A" w:rsidR="005B3BFD" w:rsidRDefault="005B3BFD" w:rsidP="005B3BFD"/>
    <w:p w14:paraId="52DEDA89" w14:textId="3971D409" w:rsidR="005B3BFD" w:rsidRPr="005B3BFD" w:rsidRDefault="005B3BFD" w:rsidP="005B3BFD">
      <w:r>
        <w:object w:dxaOrig="26791" w:dyaOrig="8781" w14:anchorId="40F4562A">
          <v:shape id="_x0000_i1030" type="#_x0000_t75" style="width:481pt;height:157.65pt" o:ole="">
            <v:imagedata r:id="rId18" o:title=""/>
          </v:shape>
          <o:OLEObject Type="Embed" ProgID="Visio.Drawing.15" ShapeID="_x0000_i1030" DrawAspect="Content" ObjectID="_1769873260" r:id="rId19"/>
        </w:object>
      </w:r>
    </w:p>
    <w:p w14:paraId="397B21E9" w14:textId="318AF4CE" w:rsidR="005B3BFD" w:rsidRDefault="0090769E" w:rsidP="005B3BFD">
      <w:pPr>
        <w:pStyle w:val="ae"/>
        <w:jc w:val="center"/>
      </w:pPr>
      <w:r>
        <w:t xml:space="preserve"> </w:t>
      </w:r>
      <w:r w:rsidR="005B3BFD">
        <w:t xml:space="preserve">Figure </w:t>
      </w:r>
      <w:r w:rsidR="005B3BFD">
        <w:fldChar w:fldCharType="begin"/>
      </w:r>
      <w:r w:rsidR="005B3BFD">
        <w:instrText xml:space="preserve"> SEQ Figure \* ARABIC </w:instrText>
      </w:r>
      <w:r w:rsidR="005B3BFD">
        <w:fldChar w:fldCharType="separate"/>
      </w:r>
      <w:r w:rsidR="00BD357D">
        <w:rPr>
          <w:noProof/>
        </w:rPr>
        <w:t>2</w:t>
      </w:r>
      <w:r w:rsidR="005B3BFD">
        <w:fldChar w:fldCharType="end"/>
      </w:r>
      <w:r w:rsidR="005B3BFD">
        <w:t xml:space="preserve">: </w:t>
      </w:r>
      <w:r w:rsidR="00185C7B">
        <w:t>UE autonomous adjustment of TA, example 2</w:t>
      </w:r>
    </w:p>
    <w:p w14:paraId="0FF7C8F5" w14:textId="6545BE02" w:rsidR="00F300C3" w:rsidRDefault="00F300C3" w:rsidP="0090769E"/>
    <w:tbl>
      <w:tblPr>
        <w:tblStyle w:val="aff"/>
        <w:tblW w:w="0" w:type="auto"/>
        <w:tblLook w:val="04A0" w:firstRow="1" w:lastRow="0" w:firstColumn="1" w:lastColumn="0" w:noHBand="0" w:noVBand="1"/>
      </w:tblPr>
      <w:tblGrid>
        <w:gridCol w:w="9630"/>
      </w:tblGrid>
      <w:tr w:rsidR="00BE2162" w:rsidRPr="00BE2162" w14:paraId="4F6C3B93" w14:textId="77777777" w:rsidTr="00BE2162">
        <w:tc>
          <w:tcPr>
            <w:tcW w:w="9630" w:type="dxa"/>
          </w:tcPr>
          <w:p w14:paraId="52A13BFA" w14:textId="4CAC0D17" w:rsidR="00BE2162" w:rsidRPr="00BE2162" w:rsidRDefault="00BE2162" w:rsidP="00BE2162">
            <w:pPr>
              <w:rPr>
                <w:i/>
              </w:rPr>
            </w:pPr>
            <w:bookmarkStart w:id="46" w:name="OLE_LINK30"/>
            <w:r w:rsidRPr="002F152E">
              <w:rPr>
                <w:i/>
              </w:rPr>
              <w:t>**********</w:t>
            </w:r>
            <w:r w:rsidRPr="00BE2162">
              <w:rPr>
                <w:i/>
              </w:rPr>
              <w:t>Case 4: Dynamically scheduled DL reception vs. dynamic scheduled UL transmission</w:t>
            </w:r>
            <w:r w:rsidRPr="002F152E">
              <w:rPr>
                <w:i/>
              </w:rPr>
              <w:t>***************</w:t>
            </w:r>
          </w:p>
          <w:p w14:paraId="0E86B4B9" w14:textId="77777777" w:rsidR="00BE2162" w:rsidRPr="00BE2162" w:rsidRDefault="00BE2162" w:rsidP="00BE2162">
            <w:pPr>
              <w:rPr>
                <w:i/>
              </w:rPr>
            </w:pPr>
            <w:r w:rsidRPr="00BE2162">
              <w:rPr>
                <w:i/>
              </w:rPr>
              <w:t xml:space="preserve">A HD-UE does </w:t>
            </w:r>
            <w:r w:rsidRPr="00BE2162">
              <w:rPr>
                <w:i/>
                <w:highlight w:val="yellow"/>
              </w:rPr>
              <w:t>not expect</w:t>
            </w:r>
            <w:r w:rsidRPr="00BE2162">
              <w:rPr>
                <w:i/>
              </w:rPr>
              <w:t xml:space="preserve"> to detect a DCI format scheduling a reception in a set of symbols and detect a DCI format scheduling a transmission in any symbol from the set of symbols.</w:t>
            </w:r>
          </w:p>
          <w:p w14:paraId="60CFDAF2" w14:textId="77777777" w:rsidR="00BE2162" w:rsidRPr="00BE2162" w:rsidRDefault="00BE2162" w:rsidP="00BE2162">
            <w:pPr>
              <w:rPr>
                <w:rFonts w:eastAsia="Malgun Gothic"/>
                <w:i/>
              </w:rPr>
            </w:pPr>
            <w:r w:rsidRPr="00BE2162">
              <w:rPr>
                <w:rFonts w:eastAsia="Malgun Gothic"/>
                <w:i/>
              </w:rPr>
              <w:t>When a PDCCH reception by a UE includes two PDCCH candidates from corresponding search space sets, as described in clause 10.1, the end of the PDCCH reception is the end of the PDCCH candidate that ends later.</w:t>
            </w:r>
          </w:p>
          <w:bookmarkEnd w:id="46"/>
          <w:p w14:paraId="210F6988" w14:textId="7A518312" w:rsidR="00BE2162" w:rsidRPr="00BE2162" w:rsidRDefault="00BE2162" w:rsidP="00BE2162">
            <w:pPr>
              <w:rPr>
                <w:i/>
              </w:rPr>
            </w:pPr>
            <w:r w:rsidRPr="002F152E">
              <w:rPr>
                <w:i/>
              </w:rPr>
              <w:t>*****</w:t>
            </w:r>
            <w:r w:rsidRPr="00BE2162">
              <w:rPr>
                <w:i/>
              </w:rPr>
              <w:t>Case 3: Semi-statically configured DL reception vs. semi-statica</w:t>
            </w:r>
            <w:r>
              <w:rPr>
                <w:i/>
              </w:rPr>
              <w:t xml:space="preserve">lly configured UL transmission </w:t>
            </w:r>
            <w:r w:rsidRPr="002F152E">
              <w:rPr>
                <w:i/>
              </w:rPr>
              <w:t>**********</w:t>
            </w:r>
          </w:p>
          <w:p w14:paraId="5EB7E22A" w14:textId="28675820" w:rsidR="00BE2162" w:rsidRPr="00BE2162" w:rsidRDefault="00BE2162" w:rsidP="0090769E">
            <w:pPr>
              <w:rPr>
                <w:i/>
              </w:rPr>
            </w:pPr>
            <w:r w:rsidRPr="00BE2162">
              <w:rPr>
                <w:i/>
              </w:rPr>
              <w:t xml:space="preserve">A HD-UE does </w:t>
            </w:r>
            <w:r w:rsidRPr="00BE2162">
              <w:rPr>
                <w:i/>
                <w:highlight w:val="yellow"/>
              </w:rPr>
              <w:t>not expect</w:t>
            </w:r>
            <w:r w:rsidRPr="00BE2162">
              <w:rPr>
                <w:i/>
              </w:rPr>
              <w:t xml:space="preserve">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 </w:t>
            </w:r>
          </w:p>
        </w:tc>
      </w:tr>
    </w:tbl>
    <w:p w14:paraId="3F9735DB" w14:textId="77777777" w:rsidR="00BE2162" w:rsidRPr="0090769E" w:rsidRDefault="00BE2162" w:rsidP="0090769E"/>
    <w:p w14:paraId="5F84C26B" w14:textId="77777777" w:rsidR="005B3BFD" w:rsidRDefault="005B3BFD" w:rsidP="005B3BFD">
      <w:pPr>
        <w:pStyle w:val="aff8"/>
        <w:numPr>
          <w:ilvl w:val="0"/>
          <w:numId w:val="44"/>
        </w:numPr>
        <w:snapToGrid w:val="0"/>
        <w:ind w:leftChars="0" w:left="0" w:firstLine="0"/>
        <w:rPr>
          <w:b/>
          <w:i/>
        </w:rPr>
      </w:pPr>
      <w:r>
        <w:rPr>
          <w:b/>
          <w:i/>
        </w:rPr>
        <w:t xml:space="preserve">The </w:t>
      </w:r>
      <w:bookmarkStart w:id="47" w:name="OLE_LINK82"/>
      <w:bookmarkStart w:id="48" w:name="OLE_LINK83"/>
      <w:r>
        <w:rPr>
          <w:b/>
          <w:i/>
        </w:rPr>
        <w:t>UE TA auto compensatio</w:t>
      </w:r>
      <w:bookmarkEnd w:id="47"/>
      <w:bookmarkEnd w:id="48"/>
      <w:r>
        <w:rPr>
          <w:b/>
          <w:i/>
        </w:rPr>
        <w:t xml:space="preserve">n has impact to DL/UL collision, </w:t>
      </w:r>
      <w:bookmarkStart w:id="49" w:name="OLE_LINK80"/>
      <w:bookmarkStart w:id="50" w:name="OLE_LINK81"/>
      <w:r>
        <w:rPr>
          <w:b/>
          <w:i/>
        </w:rPr>
        <w:t>gNB may not be able to avoid the overlapping between DL and UL, e.g. case 3, 4</w:t>
      </w:r>
      <w:bookmarkEnd w:id="49"/>
      <w:bookmarkEnd w:id="50"/>
      <w:r>
        <w:rPr>
          <w:b/>
          <w:i/>
        </w:rPr>
        <w:t>.</w:t>
      </w:r>
    </w:p>
    <w:p w14:paraId="032378E3" w14:textId="77777777" w:rsidR="005B3BFD" w:rsidRPr="00251FE9" w:rsidRDefault="005B3BFD" w:rsidP="005B3BFD">
      <w:pPr>
        <w:pStyle w:val="aff8"/>
        <w:numPr>
          <w:ilvl w:val="0"/>
          <w:numId w:val="41"/>
        </w:numPr>
        <w:snapToGrid w:val="0"/>
        <w:ind w:leftChars="0" w:left="0" w:firstLine="0"/>
        <w:rPr>
          <w:b/>
          <w:i/>
        </w:rPr>
      </w:pPr>
      <w:r>
        <w:rPr>
          <w:b/>
          <w:i/>
        </w:rPr>
        <w:t>Further study the collision case 3 and 4, if gNB may not be able to avoid the overlapping between DL and UL, due to UE TA auto compensation.</w:t>
      </w:r>
    </w:p>
    <w:p w14:paraId="0886DEFB" w14:textId="65A31902" w:rsidR="00BD1E4F" w:rsidRPr="003C1B37" w:rsidRDefault="00BD1E4F" w:rsidP="00315195">
      <w:pPr>
        <w:pStyle w:val="1"/>
        <w:rPr>
          <w:lang w:eastAsia="ja-JP"/>
        </w:rPr>
      </w:pPr>
      <w:r w:rsidRPr="003C1B37">
        <w:rPr>
          <w:lang w:eastAsia="ja-JP"/>
        </w:rPr>
        <w:lastRenderedPageBreak/>
        <w:t>Conclusion</w:t>
      </w:r>
    </w:p>
    <w:p w14:paraId="392502A6" w14:textId="1F47F5B0"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p>
    <w:p w14:paraId="6937E6AB" w14:textId="77777777" w:rsidR="005B3BFD" w:rsidRPr="005B3BFD" w:rsidRDefault="005B3BFD" w:rsidP="005B3BFD">
      <w:pPr>
        <w:jc w:val="both"/>
        <w:textAlignment w:val="center"/>
        <w:rPr>
          <w:b/>
          <w:i/>
        </w:rPr>
      </w:pPr>
      <w:r w:rsidRPr="005B3BFD">
        <w:rPr>
          <w:b/>
          <w:i/>
        </w:rPr>
        <w:t>Observation 1.</w:t>
      </w:r>
      <w:r w:rsidRPr="005B3BFD">
        <w:rPr>
          <w:b/>
          <w:i/>
        </w:rPr>
        <w:tab/>
        <w:t>The determination of collision, e.g. “a reception in a set of symbols” and “a transmission in any symbol from the set of symbols” takes TA(s) into account.</w:t>
      </w:r>
    </w:p>
    <w:p w14:paraId="209916CC" w14:textId="77777777" w:rsidR="005B3BFD" w:rsidRPr="005B3BFD" w:rsidRDefault="005B3BFD" w:rsidP="005B3BFD">
      <w:pPr>
        <w:jc w:val="both"/>
        <w:textAlignment w:val="center"/>
        <w:rPr>
          <w:b/>
          <w:i/>
        </w:rPr>
      </w:pPr>
      <w:r w:rsidRPr="005B3BFD">
        <w:rPr>
          <w:b/>
          <w:i/>
        </w:rPr>
        <w:t>Observation 2.</w:t>
      </w:r>
      <w:r w:rsidRPr="005B3BFD">
        <w:rPr>
          <w:b/>
          <w:i/>
        </w:rPr>
        <w:tab/>
        <w:t xml:space="preserve">The timeline of UL cancellation in case 1 has taken TA into account.  </w:t>
      </w:r>
    </w:p>
    <w:p w14:paraId="2C0C606F" w14:textId="382B738C" w:rsidR="005B3BFD" w:rsidRDefault="005B3BFD" w:rsidP="005B3BFD">
      <w:pPr>
        <w:jc w:val="both"/>
        <w:textAlignment w:val="center"/>
        <w:rPr>
          <w:b/>
          <w:i/>
        </w:rPr>
      </w:pPr>
      <w:r w:rsidRPr="005B3BFD">
        <w:rPr>
          <w:b/>
          <w:i/>
        </w:rPr>
        <w:t>Observation 3.</w:t>
      </w:r>
      <w:r w:rsidRPr="005B3BFD">
        <w:rPr>
          <w:b/>
          <w:i/>
        </w:rPr>
        <w:tab/>
        <w:t>TX-Rx exclusion and switch gap in case 9 has taken TA into account.</w:t>
      </w:r>
    </w:p>
    <w:p w14:paraId="75FCA596" w14:textId="2057D264" w:rsidR="00396615" w:rsidRPr="005B3BFD" w:rsidRDefault="00396615" w:rsidP="005B3BFD">
      <w:pPr>
        <w:jc w:val="both"/>
        <w:textAlignment w:val="center"/>
        <w:rPr>
          <w:b/>
          <w:i/>
        </w:rPr>
      </w:pPr>
      <w:r w:rsidRPr="00396615">
        <w:rPr>
          <w:b/>
          <w:i/>
        </w:rPr>
        <w:t xml:space="preserve">Observation </w:t>
      </w:r>
      <w:r>
        <w:rPr>
          <w:b/>
          <w:i/>
        </w:rPr>
        <w:t>4</w:t>
      </w:r>
      <w:r w:rsidRPr="00396615">
        <w:rPr>
          <w:b/>
          <w:i/>
        </w:rPr>
        <w:t>.</w:t>
      </w:r>
      <w:r w:rsidRPr="00396615">
        <w:rPr>
          <w:b/>
          <w:i/>
        </w:rPr>
        <w:tab/>
        <w:t>For HD-FDD RedCap UEs and eRedCap UEs with NR NTN operating, UE behaviour for all the cases except for case 3 and 4 can be reused.</w:t>
      </w:r>
    </w:p>
    <w:p w14:paraId="71DC515F" w14:textId="21810636" w:rsidR="005B3BFD" w:rsidRPr="005B3BFD" w:rsidRDefault="005B3BFD" w:rsidP="005B3BFD">
      <w:pPr>
        <w:jc w:val="both"/>
        <w:textAlignment w:val="center"/>
        <w:rPr>
          <w:b/>
          <w:i/>
        </w:rPr>
      </w:pPr>
      <w:r w:rsidRPr="005B3BFD">
        <w:rPr>
          <w:b/>
          <w:i/>
        </w:rPr>
        <w:t xml:space="preserve">Observation </w:t>
      </w:r>
      <w:r w:rsidR="00396615">
        <w:rPr>
          <w:b/>
          <w:i/>
        </w:rPr>
        <w:t>5</w:t>
      </w:r>
      <w:r w:rsidRPr="005B3BFD">
        <w:rPr>
          <w:b/>
          <w:i/>
        </w:rPr>
        <w:t>.</w:t>
      </w:r>
      <w:r w:rsidRPr="005B3BFD">
        <w:rPr>
          <w:b/>
          <w:i/>
        </w:rPr>
        <w:tab/>
        <w:t>The UE TA auto compensation has impact to DL/UL collision, gNB may not be able to avoid the overlapping between DL and UL, e.g. case 3, 4.</w:t>
      </w:r>
    </w:p>
    <w:p w14:paraId="389EB34C" w14:textId="2C2A9B8E" w:rsidR="005B3BFD" w:rsidRPr="005B3BFD" w:rsidRDefault="005B3BFD" w:rsidP="005B3BFD">
      <w:pPr>
        <w:jc w:val="both"/>
        <w:textAlignment w:val="center"/>
        <w:rPr>
          <w:b/>
          <w:i/>
        </w:rPr>
      </w:pPr>
      <w:r w:rsidRPr="005B3BFD">
        <w:rPr>
          <w:b/>
          <w:i/>
        </w:rPr>
        <w:t>Proposal 1.</w:t>
      </w:r>
      <w:r w:rsidRPr="005B3BFD">
        <w:rPr>
          <w:b/>
          <w:i/>
        </w:rPr>
        <w:tab/>
        <w:t>Further study the collision case 3 and 4, if gNB may not be able to avoid the overlapping between DL and UL, due to UE TA auto compensation.</w:t>
      </w:r>
    </w:p>
    <w:bookmarkEnd w:id="6"/>
    <w:bookmarkEnd w:id="7"/>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064674E5" w14:textId="70E2CBF0" w:rsidR="0019632A" w:rsidRDefault="00E604A3" w:rsidP="00E604A3">
      <w:pPr>
        <w:pStyle w:val="References"/>
      </w:pPr>
      <w:r w:rsidRPr="00E604A3">
        <w:t>RP-234077</w:t>
      </w:r>
      <w:r w:rsidRPr="00E604A3">
        <w:tab/>
        <w:t>New WID: Non-Terrestrial Networks (NTN) for Internet of Things (IoT) Phase 3</w:t>
      </w:r>
    </w:p>
    <w:p w14:paraId="47B6AE5F" w14:textId="0D9EC119" w:rsidR="006C387A" w:rsidRPr="00F7449F" w:rsidRDefault="006C387A" w:rsidP="006C387A">
      <w:pPr>
        <w:pStyle w:val="References"/>
      </w:pPr>
      <w:r w:rsidRPr="006C387A">
        <w:t>R1-</w:t>
      </w:r>
      <w:bookmarkStart w:id="51" w:name="OLE_LINK11"/>
      <w:r w:rsidRPr="006C387A">
        <w:t>1911583</w:t>
      </w:r>
      <w:bookmarkEnd w:id="51"/>
    </w:p>
    <w:sectPr w:rsidR="006C387A" w:rsidRPr="00F7449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B0E9" w14:textId="77777777" w:rsidR="00BE6270" w:rsidRDefault="00BE6270">
      <w:r>
        <w:separator/>
      </w:r>
    </w:p>
  </w:endnote>
  <w:endnote w:type="continuationSeparator" w:id="0">
    <w:p w14:paraId="1B765266" w14:textId="77777777" w:rsidR="00BE6270" w:rsidRDefault="00BE6270">
      <w:r>
        <w:continuationSeparator/>
      </w:r>
    </w:p>
  </w:endnote>
  <w:endnote w:type="continuationNotice" w:id="1">
    <w:p w14:paraId="3454FEE1" w14:textId="77777777" w:rsidR="00BE6270" w:rsidRDefault="00BE6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0BCCB" w14:textId="77777777" w:rsidR="00BE6270" w:rsidRDefault="00BE6270">
      <w:r>
        <w:separator/>
      </w:r>
    </w:p>
  </w:footnote>
  <w:footnote w:type="continuationSeparator" w:id="0">
    <w:p w14:paraId="18A9CC91" w14:textId="77777777" w:rsidR="00BE6270" w:rsidRDefault="00BE6270">
      <w:r>
        <w:continuationSeparator/>
      </w:r>
    </w:p>
  </w:footnote>
  <w:footnote w:type="continuationNotice" w:id="1">
    <w:p w14:paraId="006B451E" w14:textId="77777777" w:rsidR="00BE6270" w:rsidRDefault="00BE62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F80432F2"/>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A46B4"/>
    <w:multiLevelType w:val="multilevel"/>
    <w:tmpl w:val="052A46B4"/>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3"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A1217"/>
    <w:multiLevelType w:val="hybridMultilevel"/>
    <w:tmpl w:val="A358F8B0"/>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C278B6"/>
    <w:multiLevelType w:val="hybridMultilevel"/>
    <w:tmpl w:val="7C8A3682"/>
    <w:lvl w:ilvl="0" w:tplc="8CBA5D5C">
      <w:start w:val="1"/>
      <w:numFmt w:val="bullet"/>
      <w:lvlText w:val="•"/>
      <w:lvlJc w:val="left"/>
      <w:pPr>
        <w:tabs>
          <w:tab w:val="num" w:pos="720"/>
        </w:tabs>
        <w:ind w:left="720" w:hanging="360"/>
      </w:pPr>
      <w:rPr>
        <w:rFonts w:ascii="Arial" w:hAnsi="Arial" w:hint="default"/>
      </w:rPr>
    </w:lvl>
    <w:lvl w:ilvl="1" w:tplc="FF9CAD2A">
      <w:start w:val="1"/>
      <w:numFmt w:val="bullet"/>
      <w:lvlText w:val="•"/>
      <w:lvlJc w:val="left"/>
      <w:pPr>
        <w:tabs>
          <w:tab w:val="num" w:pos="1440"/>
        </w:tabs>
        <w:ind w:left="1440" w:hanging="360"/>
      </w:pPr>
      <w:rPr>
        <w:rFonts w:ascii="Arial" w:hAnsi="Arial" w:hint="default"/>
      </w:rPr>
    </w:lvl>
    <w:lvl w:ilvl="2" w:tplc="9F54E4D4">
      <w:numFmt w:val="bullet"/>
      <w:lvlText w:val="•"/>
      <w:lvlJc w:val="left"/>
      <w:pPr>
        <w:tabs>
          <w:tab w:val="num" w:pos="2160"/>
        </w:tabs>
        <w:ind w:left="2160" w:hanging="360"/>
      </w:pPr>
      <w:rPr>
        <w:rFonts w:ascii="Arial" w:hAnsi="Arial" w:hint="default"/>
      </w:rPr>
    </w:lvl>
    <w:lvl w:ilvl="3" w:tplc="2438CC8E">
      <w:numFmt w:val="bullet"/>
      <w:lvlText w:val="−"/>
      <w:lvlJc w:val="left"/>
      <w:pPr>
        <w:tabs>
          <w:tab w:val="num" w:pos="2880"/>
        </w:tabs>
        <w:ind w:left="2880" w:hanging="360"/>
      </w:pPr>
      <w:rPr>
        <w:rFonts w:ascii="Calibri" w:hAnsi="Calibri" w:hint="default"/>
      </w:rPr>
    </w:lvl>
    <w:lvl w:ilvl="4" w:tplc="E02A6ACA" w:tentative="1">
      <w:start w:val="1"/>
      <w:numFmt w:val="bullet"/>
      <w:lvlText w:val="•"/>
      <w:lvlJc w:val="left"/>
      <w:pPr>
        <w:tabs>
          <w:tab w:val="num" w:pos="3600"/>
        </w:tabs>
        <w:ind w:left="3600" w:hanging="360"/>
      </w:pPr>
      <w:rPr>
        <w:rFonts w:ascii="Arial" w:hAnsi="Arial" w:hint="default"/>
      </w:rPr>
    </w:lvl>
    <w:lvl w:ilvl="5" w:tplc="329C0876" w:tentative="1">
      <w:start w:val="1"/>
      <w:numFmt w:val="bullet"/>
      <w:lvlText w:val="•"/>
      <w:lvlJc w:val="left"/>
      <w:pPr>
        <w:tabs>
          <w:tab w:val="num" w:pos="4320"/>
        </w:tabs>
        <w:ind w:left="4320" w:hanging="360"/>
      </w:pPr>
      <w:rPr>
        <w:rFonts w:ascii="Arial" w:hAnsi="Arial" w:hint="default"/>
      </w:rPr>
    </w:lvl>
    <w:lvl w:ilvl="6" w:tplc="DEC49008" w:tentative="1">
      <w:start w:val="1"/>
      <w:numFmt w:val="bullet"/>
      <w:lvlText w:val="•"/>
      <w:lvlJc w:val="left"/>
      <w:pPr>
        <w:tabs>
          <w:tab w:val="num" w:pos="5040"/>
        </w:tabs>
        <w:ind w:left="5040" w:hanging="360"/>
      </w:pPr>
      <w:rPr>
        <w:rFonts w:ascii="Arial" w:hAnsi="Arial" w:hint="default"/>
      </w:rPr>
    </w:lvl>
    <w:lvl w:ilvl="7" w:tplc="EA100E50" w:tentative="1">
      <w:start w:val="1"/>
      <w:numFmt w:val="bullet"/>
      <w:lvlText w:val="•"/>
      <w:lvlJc w:val="left"/>
      <w:pPr>
        <w:tabs>
          <w:tab w:val="num" w:pos="5760"/>
        </w:tabs>
        <w:ind w:left="5760" w:hanging="360"/>
      </w:pPr>
      <w:rPr>
        <w:rFonts w:ascii="Arial" w:hAnsi="Arial" w:hint="default"/>
      </w:rPr>
    </w:lvl>
    <w:lvl w:ilvl="8" w:tplc="4DC02D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EA5DC4"/>
    <w:multiLevelType w:val="hybridMultilevel"/>
    <w:tmpl w:val="BF6E52B0"/>
    <w:lvl w:ilvl="0" w:tplc="D7CC69F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9A10DD"/>
    <w:multiLevelType w:val="multilevel"/>
    <w:tmpl w:val="399A10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0C0DC2"/>
    <w:multiLevelType w:val="hybridMultilevel"/>
    <w:tmpl w:val="5888B014"/>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811CC5"/>
    <w:multiLevelType w:val="hybridMultilevel"/>
    <w:tmpl w:val="BF6E52B0"/>
    <w:lvl w:ilvl="0" w:tplc="D7CC69F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2" w15:restartNumberingAfterBreak="0">
    <w:nsid w:val="712A336F"/>
    <w:multiLevelType w:val="hybridMultilevel"/>
    <w:tmpl w:val="A358F8B0"/>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41"/>
  </w:num>
  <w:num w:numId="3">
    <w:abstractNumId w:val="19"/>
  </w:num>
  <w:num w:numId="4">
    <w:abstractNumId w:val="30"/>
  </w:num>
  <w:num w:numId="5">
    <w:abstractNumId w:val="23"/>
  </w:num>
  <w:num w:numId="6">
    <w:abstractNumId w:val="24"/>
  </w:num>
  <w:num w:numId="7">
    <w:abstractNumId w:val="22"/>
  </w:num>
  <w:num w:numId="8">
    <w:abstractNumId w:val="38"/>
  </w:num>
  <w:num w:numId="9">
    <w:abstractNumId w:val="17"/>
  </w:num>
  <w:num w:numId="10">
    <w:abstractNumId w:val="11"/>
  </w:num>
  <w:num w:numId="11">
    <w:abstractNumId w:val="34"/>
  </w:num>
  <w:num w:numId="12">
    <w:abstractNumId w:val="18"/>
  </w:num>
  <w:num w:numId="13">
    <w:abstractNumId w:val="0"/>
  </w:num>
  <w:num w:numId="14">
    <w:abstractNumId w:val="8"/>
  </w:num>
  <w:num w:numId="15">
    <w:abstractNumId w:val="29"/>
  </w:num>
  <w:num w:numId="16">
    <w:abstractNumId w:val="40"/>
  </w:num>
  <w:num w:numId="17">
    <w:abstractNumId w:val="5"/>
  </w:num>
  <w:num w:numId="18">
    <w:abstractNumId w:val="26"/>
  </w:num>
  <w:num w:numId="19">
    <w:abstractNumId w:val="7"/>
  </w:num>
  <w:num w:numId="20">
    <w:abstractNumId w:val="20"/>
  </w:num>
  <w:num w:numId="21">
    <w:abstractNumId w:val="33"/>
  </w:num>
  <w:num w:numId="22">
    <w:abstractNumId w:val="10"/>
  </w:num>
  <w:num w:numId="23">
    <w:abstractNumId w:val="25"/>
  </w:num>
  <w:num w:numId="24">
    <w:abstractNumId w:val="31"/>
  </w:num>
  <w:num w:numId="25">
    <w:abstractNumId w:val="28"/>
  </w:num>
  <w:num w:numId="26">
    <w:abstractNumId w:val="13"/>
  </w:num>
  <w:num w:numId="27">
    <w:abstractNumId w:val="3"/>
  </w:num>
  <w:num w:numId="28">
    <w:abstractNumId w:val="32"/>
  </w:num>
  <w:num w:numId="29">
    <w:abstractNumId w:val="34"/>
  </w:num>
  <w:num w:numId="30">
    <w:abstractNumId w:val="21"/>
  </w:num>
  <w:num w:numId="31">
    <w:abstractNumId w:val="6"/>
  </w:num>
  <w:num w:numId="32">
    <w:abstractNumId w:val="9"/>
  </w:num>
  <w:num w:numId="33">
    <w:abstractNumId w:val="2"/>
  </w:num>
  <w:num w:numId="34">
    <w:abstractNumId w:val="9"/>
  </w:num>
  <w:num w:numId="35">
    <w:abstractNumId w:val="34"/>
  </w:num>
  <w:num w:numId="36">
    <w:abstractNumId w:val="16"/>
  </w:num>
  <w:num w:numId="37">
    <w:abstractNumId w:val="4"/>
  </w:num>
  <w:num w:numId="38">
    <w:abstractNumId w:val="12"/>
  </w:num>
  <w:num w:numId="39">
    <w:abstractNumId w:val="14"/>
  </w:num>
  <w:num w:numId="40">
    <w:abstractNumId w:val="36"/>
  </w:num>
  <w:num w:numId="41">
    <w:abstractNumId w:val="27"/>
  </w:num>
  <w:num w:numId="42">
    <w:abstractNumId w:val="35"/>
  </w:num>
  <w:num w:numId="43">
    <w:abstractNumId w:val="15"/>
  </w:num>
  <w:num w:numId="44">
    <w:abstractNumId w:val="1"/>
  </w:num>
  <w:num w:numId="45">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198"/>
    <w:rsid w:val="00093263"/>
    <w:rsid w:val="000932C3"/>
    <w:rsid w:val="00093617"/>
    <w:rsid w:val="0009372B"/>
    <w:rsid w:val="000937B6"/>
    <w:rsid w:val="00093B46"/>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BAF"/>
    <w:rsid w:val="000C4BBC"/>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3A2"/>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2E"/>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48E"/>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21"/>
    <w:rsid w:val="006E5159"/>
    <w:rsid w:val="006E5219"/>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5F09"/>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2B"/>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57"/>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CCE"/>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1B5"/>
    <w:rsid w:val="00F97530"/>
    <w:rsid w:val="00F97BFD"/>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31"/>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image" Target="media/image2.wmf"/><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AF38-42A6-47B5-B9F4-1967C7CE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8</Pages>
  <Words>3072</Words>
  <Characters>17516</Characters>
  <Application>Microsoft Office Word</Application>
  <DocSecurity>0</DocSecurity>
  <Lines>145</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212</cp:revision>
  <cp:lastPrinted>2010-04-02T09:58:00Z</cp:lastPrinted>
  <dcterms:created xsi:type="dcterms:W3CDTF">2023-08-10T22:44:00Z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