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33FA6" w14:textId="2AF2E37A" w:rsidR="00FB7EDC" w:rsidRDefault="00FB7EDC" w:rsidP="00FB7EDC">
      <w:pPr>
        <w:tabs>
          <w:tab w:val="right" w:pos="9216"/>
        </w:tabs>
        <w:jc w:val="left"/>
        <w:rPr>
          <w:rFonts w:cs="Times New Roman"/>
          <w:b/>
          <w:szCs w:val="22"/>
          <w:lang w:val="en-GB"/>
        </w:rPr>
      </w:pPr>
      <w:r>
        <w:rPr>
          <w:b/>
          <w:lang w:val="en-GB"/>
        </w:rPr>
        <w:t>3GPP TSG-RAN WG1 Meeting #115</w:t>
      </w:r>
      <w:r>
        <w:rPr>
          <w:b/>
          <w:lang w:val="en-GB"/>
        </w:rPr>
        <w:tab/>
        <w:t>R1-2310871</w:t>
      </w:r>
    </w:p>
    <w:p w14:paraId="6D5DBFC2" w14:textId="150AEE5D" w:rsidR="00FB7EDC" w:rsidRDefault="00FB7EDC" w:rsidP="00FB7EDC">
      <w:pPr>
        <w:tabs>
          <w:tab w:val="right" w:pos="9216"/>
        </w:tabs>
        <w:spacing w:afterLines="50" w:after="120"/>
        <w:jc w:val="left"/>
        <w:rPr>
          <w:b/>
          <w:lang w:val="en-GB"/>
        </w:rPr>
      </w:pPr>
      <w:r>
        <w:rPr>
          <w:b/>
        </w:rPr>
        <w:t>Chicago, US</w:t>
      </w:r>
      <w:r w:rsidR="00EA3B17">
        <w:rPr>
          <w:b/>
        </w:rPr>
        <w:t>A</w:t>
      </w:r>
      <w:r>
        <w:rPr>
          <w:b/>
        </w:rPr>
        <w:t>, November 13 - 17, 2023</w:t>
      </w:r>
    </w:p>
    <w:p w14:paraId="399C7F50" w14:textId="77777777" w:rsidR="003F1333" w:rsidRPr="006C158D" w:rsidRDefault="003F1333">
      <w:pPr>
        <w:pBdr>
          <w:top w:val="single" w:sz="4" w:space="1" w:color="auto"/>
        </w:pBdr>
        <w:jc w:val="left"/>
        <w:rPr>
          <w:rFonts w:eastAsiaTheme="minorEastAsia" w:cs="Times New Roman"/>
          <w:b/>
          <w:kern w:val="2"/>
          <w:lang w:val="en-GB"/>
        </w:rPr>
      </w:pPr>
    </w:p>
    <w:p w14:paraId="43CCE107" w14:textId="47EE19D4" w:rsidR="003F1333" w:rsidRPr="00A664B2" w:rsidRDefault="003F1333">
      <w:pPr>
        <w:ind w:left="1555" w:hanging="1555"/>
        <w:jc w:val="left"/>
        <w:rPr>
          <w:rFonts w:cs="Times New Roman"/>
          <w:b/>
          <w:kern w:val="2"/>
          <w:lang w:val="en-GB"/>
        </w:rPr>
      </w:pPr>
      <w:r w:rsidRPr="00A664B2">
        <w:rPr>
          <w:rFonts w:cs="Times New Roman"/>
          <w:b/>
          <w:kern w:val="2"/>
          <w:lang w:val="en-GB"/>
        </w:rPr>
        <w:t>Agenda Item:</w:t>
      </w:r>
      <w:r w:rsidRPr="00A664B2">
        <w:rPr>
          <w:rFonts w:cs="Times New Roman"/>
          <w:b/>
          <w:kern w:val="2"/>
          <w:lang w:val="en-GB"/>
        </w:rPr>
        <w:tab/>
      </w:r>
      <w:r w:rsidR="00AC3D8C">
        <w:rPr>
          <w:rFonts w:cs="Times New Roman"/>
          <w:b/>
          <w:kern w:val="2"/>
          <w:lang w:val="en-GB"/>
        </w:rPr>
        <w:t>8</w:t>
      </w:r>
      <w:r w:rsidRPr="00A664B2">
        <w:rPr>
          <w:rFonts w:cs="Times New Roman"/>
          <w:b/>
          <w:kern w:val="2"/>
          <w:lang w:val="en-GB"/>
        </w:rPr>
        <w:t>.1.4.1</w:t>
      </w:r>
    </w:p>
    <w:p w14:paraId="25E18F87" w14:textId="77777777" w:rsidR="003F1333" w:rsidRPr="00B43C3A" w:rsidRDefault="003F1333">
      <w:pPr>
        <w:ind w:left="1555" w:hanging="1555"/>
        <w:jc w:val="left"/>
        <w:rPr>
          <w:rFonts w:cs="Times New Roman"/>
          <w:b/>
          <w:kern w:val="2"/>
          <w:lang w:val="en-GB"/>
        </w:rPr>
      </w:pPr>
      <w:r w:rsidRPr="00B43C3A">
        <w:rPr>
          <w:rFonts w:cs="Times New Roman"/>
          <w:b/>
          <w:kern w:val="2"/>
          <w:lang w:val="en-GB"/>
        </w:rPr>
        <w:t>Source:</w:t>
      </w:r>
      <w:r w:rsidRPr="00B43C3A">
        <w:rPr>
          <w:rFonts w:cs="Times New Roman"/>
          <w:b/>
          <w:kern w:val="2"/>
          <w:lang w:val="en-GB"/>
        </w:rPr>
        <w:tab/>
        <w:t>Huawei, HiSilicon</w:t>
      </w:r>
    </w:p>
    <w:p w14:paraId="594BFA8B" w14:textId="6EA536DC" w:rsidR="003F1333" w:rsidRPr="00223667" w:rsidRDefault="003F1333">
      <w:pPr>
        <w:ind w:left="1555" w:hanging="1555"/>
        <w:jc w:val="left"/>
        <w:rPr>
          <w:rFonts w:cs="Times New Roman"/>
          <w:b/>
          <w:kern w:val="2"/>
          <w:lang w:val="en-GB"/>
        </w:rPr>
      </w:pPr>
      <w:r w:rsidRPr="00223667">
        <w:rPr>
          <w:rFonts w:cs="Times New Roman"/>
          <w:b/>
          <w:kern w:val="2"/>
          <w:lang w:val="en-GB"/>
        </w:rPr>
        <w:t>Title:</w:t>
      </w:r>
      <w:r w:rsidRPr="00223667">
        <w:rPr>
          <w:rFonts w:cs="Times New Roman"/>
          <w:b/>
          <w:kern w:val="2"/>
          <w:lang w:val="en-GB"/>
        </w:rPr>
        <w:tab/>
      </w:r>
      <w:r w:rsidR="001703EF" w:rsidRPr="001703EF">
        <w:rPr>
          <w:rFonts w:cs="Times New Roman"/>
          <w:b/>
          <w:kern w:val="2"/>
          <w:lang w:val="en-GB"/>
        </w:rPr>
        <w:t>Maintenance o</w:t>
      </w:r>
      <w:r w:rsidR="006E7D0A">
        <w:rPr>
          <w:rFonts w:cs="Times New Roman"/>
          <w:b/>
          <w:kern w:val="2"/>
          <w:lang w:val="en-GB"/>
        </w:rPr>
        <w:t>n</w:t>
      </w:r>
      <w:r w:rsidR="001703EF" w:rsidRPr="001703EF">
        <w:rPr>
          <w:rFonts w:cs="Times New Roman"/>
          <w:b/>
          <w:kern w:val="2"/>
          <w:lang w:val="en-GB"/>
        </w:rPr>
        <w:t xml:space="preserve"> </w:t>
      </w:r>
      <w:r w:rsidRPr="00223667">
        <w:rPr>
          <w:rFonts w:cs="Times New Roman"/>
          <w:b/>
          <w:kern w:val="2"/>
          <w:lang w:val="en-GB"/>
        </w:rPr>
        <w:t>UL precoding indication for multi-panel transmission</w:t>
      </w:r>
      <w:r w:rsidRPr="00223667" w:rsidDel="00FB4094">
        <w:rPr>
          <w:rFonts w:cs="Times New Roman"/>
          <w:b/>
          <w:kern w:val="2"/>
          <w:lang w:val="en-GB"/>
        </w:rPr>
        <w:t xml:space="preserve"> </w:t>
      </w:r>
    </w:p>
    <w:p w14:paraId="52D791CB" w14:textId="77777777" w:rsidR="003F1333" w:rsidRPr="00223667" w:rsidRDefault="003F1333">
      <w:pPr>
        <w:ind w:left="1555" w:hanging="1555"/>
        <w:jc w:val="left"/>
        <w:rPr>
          <w:rFonts w:cs="Times New Roman"/>
          <w:b/>
          <w:kern w:val="2"/>
          <w:lang w:val="en-GB"/>
        </w:rPr>
      </w:pPr>
      <w:r w:rsidRPr="00223667">
        <w:rPr>
          <w:rFonts w:cs="Times New Roman"/>
          <w:b/>
          <w:kern w:val="2"/>
          <w:lang w:val="en-GB"/>
        </w:rPr>
        <w:t>Document for:</w:t>
      </w:r>
      <w:r w:rsidRPr="00223667">
        <w:rPr>
          <w:rFonts w:cs="Times New Roman"/>
          <w:b/>
          <w:kern w:val="2"/>
          <w:lang w:val="en-GB"/>
        </w:rPr>
        <w:tab/>
        <w:t>Discussion and Decision</w:t>
      </w:r>
    </w:p>
    <w:p w14:paraId="3300F6C8" w14:textId="77777777" w:rsidR="003F1333" w:rsidRPr="00223667" w:rsidRDefault="003F1333">
      <w:pPr>
        <w:pBdr>
          <w:bottom w:val="single" w:sz="4" w:space="1" w:color="auto"/>
        </w:pBdr>
        <w:jc w:val="left"/>
        <w:rPr>
          <w:rFonts w:cs="Times New Roman"/>
          <w:b/>
          <w:kern w:val="2"/>
          <w:lang w:val="en-GB"/>
        </w:rPr>
      </w:pPr>
    </w:p>
    <w:p w14:paraId="55B0354E" w14:textId="447E59B0" w:rsidR="0080229A" w:rsidRPr="00E05DDB" w:rsidRDefault="0080229A">
      <w:pPr>
        <w:pStyle w:val="1"/>
        <w:rPr>
          <w:rFonts w:eastAsiaTheme="minorEastAsia"/>
          <w:szCs w:val="20"/>
          <w:lang w:eastAsia="zh-CN"/>
        </w:rPr>
      </w:pPr>
      <w:r w:rsidRPr="00223667">
        <w:rPr>
          <w:rFonts w:eastAsiaTheme="minorEastAsia"/>
          <w:szCs w:val="20"/>
          <w:lang w:eastAsia="zh-CN"/>
        </w:rPr>
        <w:t>I</w:t>
      </w:r>
      <w:r w:rsidRPr="00E05DDB">
        <w:rPr>
          <w:rFonts w:eastAsiaTheme="minorEastAsia"/>
          <w:szCs w:val="20"/>
          <w:lang w:eastAsia="zh-CN"/>
        </w:rPr>
        <w:t>ntroduction</w:t>
      </w:r>
    </w:p>
    <w:p w14:paraId="1E4DC9CB" w14:textId="03CF0E43" w:rsidR="00F76CD0" w:rsidRPr="00E05DDB" w:rsidRDefault="00F76CD0" w:rsidP="00775EED">
      <w:pPr>
        <w:rPr>
          <w:rFonts w:eastAsiaTheme="minorEastAsia" w:cs="Times New Roman"/>
        </w:rPr>
      </w:pPr>
      <w:r w:rsidRPr="008530C1">
        <w:rPr>
          <w:rFonts w:eastAsiaTheme="minorEastAsia" w:cs="Times New Roman"/>
        </w:rPr>
        <w:t>In</w:t>
      </w:r>
      <w:r w:rsidRPr="00E05DDB">
        <w:rPr>
          <w:rFonts w:eastAsiaTheme="minorEastAsia" w:cs="Times New Roman"/>
        </w:rPr>
        <w:t xml:space="preserve"> this contribution, we discuss some of our considerations for </w:t>
      </w:r>
      <w:r w:rsidR="00386284" w:rsidRPr="007E1546">
        <w:rPr>
          <w:rFonts w:eastAsiaTheme="minorEastAsia"/>
        </w:rPr>
        <w:t xml:space="preserve">PTRS </w:t>
      </w:r>
      <w:r w:rsidR="00386284">
        <w:rPr>
          <w:rFonts w:eastAsiaTheme="minorEastAsia" w:hint="eastAsia"/>
          <w:bCs/>
        </w:rPr>
        <w:t>power</w:t>
      </w:r>
      <w:r w:rsidR="00386284">
        <w:rPr>
          <w:rFonts w:eastAsiaTheme="minorEastAsia"/>
          <w:bCs/>
        </w:rPr>
        <w:t xml:space="preserve"> boosting</w:t>
      </w:r>
      <w:r w:rsidR="00386284" w:rsidRPr="00980E4E">
        <w:rPr>
          <w:rFonts w:eastAsiaTheme="minorEastAsia"/>
        </w:rPr>
        <w:t xml:space="preserve"> for STxMP SDM scheme</w:t>
      </w:r>
      <w:r w:rsidRPr="00E05DDB">
        <w:rPr>
          <w:rFonts w:eastAsiaTheme="minorEastAsia" w:cs="Times New Roman"/>
        </w:rPr>
        <w:t>.</w:t>
      </w:r>
    </w:p>
    <w:p w14:paraId="1444FA82" w14:textId="35B84005" w:rsidR="00234492" w:rsidRPr="00681FC9" w:rsidRDefault="0080229A" w:rsidP="00F572BD">
      <w:pPr>
        <w:pStyle w:val="1"/>
        <w:rPr>
          <w:szCs w:val="20"/>
          <w:lang w:eastAsia="zh-CN"/>
        </w:rPr>
      </w:pPr>
      <w:r w:rsidRPr="00024D2B">
        <w:rPr>
          <w:szCs w:val="20"/>
          <w:lang w:eastAsia="zh-CN"/>
        </w:rPr>
        <w:t>Discussion</w:t>
      </w:r>
    </w:p>
    <w:p w14:paraId="46C88E2C" w14:textId="3EA37133" w:rsidR="007E1546" w:rsidRDefault="007E1546" w:rsidP="007E1546">
      <w:pPr>
        <w:pStyle w:val="2"/>
        <w:numPr>
          <w:ilvl w:val="1"/>
          <w:numId w:val="5"/>
        </w:numPr>
        <w:tabs>
          <w:tab w:val="num" w:pos="576"/>
        </w:tabs>
        <w:ind w:left="576"/>
        <w:rPr>
          <w:rFonts w:eastAsiaTheme="minorEastAsia"/>
        </w:rPr>
      </w:pPr>
      <w:r w:rsidRPr="007E1546">
        <w:rPr>
          <w:rFonts w:eastAsiaTheme="minorEastAsia"/>
          <w:bCs w:val="0"/>
          <w:lang w:eastAsia="zh-CN"/>
        </w:rPr>
        <w:t xml:space="preserve">PTRS </w:t>
      </w:r>
      <w:r w:rsidR="00980E4E">
        <w:rPr>
          <w:rFonts w:eastAsiaTheme="minorEastAsia" w:hint="eastAsia"/>
          <w:bCs w:val="0"/>
          <w:lang w:eastAsia="zh-CN"/>
        </w:rPr>
        <w:t>power</w:t>
      </w:r>
      <w:r w:rsidR="00980E4E">
        <w:rPr>
          <w:rFonts w:eastAsiaTheme="minorEastAsia"/>
          <w:bCs w:val="0"/>
          <w:lang w:eastAsia="zh-CN"/>
        </w:rPr>
        <w:t xml:space="preserve"> boosting</w:t>
      </w:r>
      <w:r w:rsidR="00980E4E" w:rsidRPr="00980E4E">
        <w:rPr>
          <w:rFonts w:eastAsiaTheme="minorEastAsia"/>
        </w:rPr>
        <w:t xml:space="preserve"> for STxMP SDM scheme</w:t>
      </w:r>
    </w:p>
    <w:p w14:paraId="42B518C6" w14:textId="6CD75547" w:rsidR="00980E4E" w:rsidRDefault="00980E4E" w:rsidP="00980E4E">
      <w:pPr>
        <w:rPr>
          <w:rFonts w:eastAsiaTheme="minorEastAsia"/>
        </w:rPr>
      </w:pPr>
      <w:r>
        <w:rPr>
          <w:rFonts w:eastAsiaTheme="minorEastAsia" w:hint="eastAsia"/>
        </w:rPr>
        <w:t>I</w:t>
      </w:r>
      <w:r>
        <w:rPr>
          <w:rFonts w:eastAsiaTheme="minorEastAsia"/>
        </w:rPr>
        <w:t xml:space="preserve">n RAN1#114b, </w:t>
      </w:r>
      <w:r w:rsidRPr="007E1546">
        <w:rPr>
          <w:rFonts w:eastAsiaTheme="minorEastAsia"/>
        </w:rPr>
        <w:t xml:space="preserve">PTRS </w:t>
      </w:r>
      <w:r>
        <w:rPr>
          <w:rFonts w:eastAsiaTheme="minorEastAsia" w:hint="eastAsia"/>
          <w:bCs/>
        </w:rPr>
        <w:t>power</w:t>
      </w:r>
      <w:r>
        <w:rPr>
          <w:rFonts w:eastAsiaTheme="minorEastAsia"/>
          <w:bCs/>
        </w:rPr>
        <w:t xml:space="preserve"> boosting</w:t>
      </w:r>
      <w:r w:rsidRPr="00980E4E">
        <w:rPr>
          <w:rFonts w:eastAsiaTheme="minorEastAsia"/>
        </w:rPr>
        <w:t xml:space="preserve"> for STxMP SDM scheme</w:t>
      </w:r>
      <w:r>
        <w:rPr>
          <w:rFonts w:eastAsiaTheme="minorEastAsia"/>
        </w:rPr>
        <w:t xml:space="preserve"> was discussed and </w:t>
      </w:r>
      <w:r w:rsidR="00671E59">
        <w:rPr>
          <w:rFonts w:eastAsiaTheme="minorEastAsia"/>
        </w:rPr>
        <w:t>the following proposal was captured in FL summary</w:t>
      </w:r>
      <w:r w:rsidR="004503F2">
        <w:rPr>
          <w:rFonts w:eastAsiaTheme="minorEastAsia"/>
        </w:rPr>
        <w:t xml:space="preserve"> [1]</w:t>
      </w:r>
      <w:r w:rsidR="00671E59">
        <w:rPr>
          <w:rFonts w:eastAsiaTheme="minorEastAsia"/>
        </w:rPr>
        <w:t>:</w:t>
      </w:r>
    </w:p>
    <w:p w14:paraId="1EF3A226" w14:textId="77777777" w:rsidR="00671E59" w:rsidRDefault="00671E59" w:rsidP="00980E4E">
      <w:pPr>
        <w:rPr>
          <w:rFonts w:eastAsiaTheme="minorEastAsia"/>
        </w:rPr>
      </w:pPr>
    </w:p>
    <w:tbl>
      <w:tblPr>
        <w:tblStyle w:val="a5"/>
        <w:tblW w:w="0" w:type="auto"/>
        <w:tblLook w:val="04A0" w:firstRow="1" w:lastRow="0" w:firstColumn="1" w:lastColumn="0" w:noHBand="0" w:noVBand="1"/>
      </w:tblPr>
      <w:tblGrid>
        <w:gridCol w:w="8630"/>
      </w:tblGrid>
      <w:tr w:rsidR="00980E4E" w14:paraId="78824C5D" w14:textId="77777777" w:rsidTr="00980E4E">
        <w:tc>
          <w:tcPr>
            <w:tcW w:w="8630" w:type="dxa"/>
          </w:tcPr>
          <w:p w14:paraId="7C08728F" w14:textId="77777777" w:rsidR="00980E4E" w:rsidRDefault="00980E4E" w:rsidP="00980E4E">
            <w:pPr>
              <w:rPr>
                <w:rFonts w:eastAsia="等线" w:cstheme="minorBidi"/>
                <w:b/>
                <w:bCs/>
                <w:szCs w:val="22"/>
              </w:rPr>
            </w:pPr>
            <w:r>
              <w:rPr>
                <w:b/>
                <w:bCs/>
                <w:highlight w:val="yellow"/>
              </w:rPr>
              <w:t>Updated Proposal 1.7:</w:t>
            </w:r>
          </w:p>
          <w:p w14:paraId="6B1FDFDE" w14:textId="77777777" w:rsidR="00980E4E" w:rsidRDefault="00980E4E" w:rsidP="00980E4E">
            <w:pPr>
              <w:rPr>
                <w:rFonts w:eastAsiaTheme="minorEastAsia"/>
                <w:lang w:eastAsia="ja-JP"/>
              </w:rPr>
            </w:pPr>
            <w:r>
              <w:t>For a single-DCI based STxMP SDM PUSCH, when the RRC parameter maxNrofPortsforSDM is set to n2, the power scaling factor for each PTRS port is calculated according to:</w:t>
            </w:r>
          </w:p>
          <w:p w14:paraId="40DC34AB" w14:textId="77777777" w:rsidR="00980E4E" w:rsidRDefault="00980E4E" w:rsidP="00980E4E">
            <w:pPr>
              <w:pStyle w:val="a3"/>
              <w:numPr>
                <w:ilvl w:val="0"/>
                <w:numId w:val="41"/>
              </w:numPr>
              <w:spacing w:after="160" w:line="256" w:lineRule="auto"/>
              <w:ind w:firstLineChars="0"/>
              <w:contextualSpacing/>
              <w:jc w:val="left"/>
            </w:pPr>
            <w:r>
              <w:t>The number of layers corresponding to this PT-RS port</w:t>
            </w:r>
          </w:p>
          <w:p w14:paraId="5ADD690C" w14:textId="77777777" w:rsidR="00980E4E" w:rsidRDefault="00980E4E" w:rsidP="00980E4E">
            <w:pPr>
              <w:pStyle w:val="a3"/>
              <w:numPr>
                <w:ilvl w:val="0"/>
                <w:numId w:val="41"/>
              </w:numPr>
              <w:spacing w:after="160" w:line="256" w:lineRule="auto"/>
              <w:ind w:firstLineChars="0"/>
              <w:contextualSpacing/>
              <w:jc w:val="left"/>
            </w:pPr>
            <w:r>
              <w:t>and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879"/>
              <w:gridCol w:w="2654"/>
              <w:gridCol w:w="2734"/>
            </w:tblGrid>
            <w:tr w:rsidR="00980E4E" w14:paraId="6FC89F7D" w14:textId="77777777" w:rsidTr="00A92778">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7B13E4E5" w14:textId="77777777" w:rsidR="00980E4E" w:rsidRDefault="00980E4E" w:rsidP="00980E4E">
                  <w:pPr>
                    <w:pStyle w:val="TAH"/>
                    <w:snapToGrid w:val="0"/>
                    <w:rPr>
                      <w:rFonts w:eastAsia="Batang" w:cs="Arial"/>
                      <w:szCs w:val="18"/>
                      <w:lang w:val="en-US"/>
                    </w:rPr>
                  </w:pPr>
                  <w:bookmarkStart w:id="0" w:name="MCCQCTEMPBM_00000123"/>
                  <w:r>
                    <w:rPr>
                      <w:rFonts w:cs="Arial"/>
                      <w:i/>
                      <w:szCs w:val="18"/>
                      <w:lang w:val="en-US"/>
                    </w:rPr>
                    <w:t xml:space="preserve">UL-PTRS-power / </w:t>
                  </w:r>
                  <w:r>
                    <w:rPr>
                      <w:rFonts w:eastAsia="Calibri" w:cs="Arial"/>
                      <w:position w:val="-12"/>
                      <w:szCs w:val="18"/>
                      <w:lang w:val="en-US" w:eastAsia="ja-JP"/>
                    </w:rPr>
                    <w:object w:dxaOrig="720" w:dyaOrig="435" w14:anchorId="57F56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5pt" o:ole="">
                        <v:imagedata r:id="rId8" o:title=""/>
                      </v:shape>
                      <o:OLEObject Type="Embed" ProgID="Equation.3" ShapeID="_x0000_i1025" DrawAspect="Content" ObjectID="_1760567842" r:id="rId9"/>
                    </w:object>
                  </w:r>
                </w:p>
              </w:tc>
              <w:tc>
                <w:tcPr>
                  <w:tcW w:w="0" w:type="auto"/>
                  <w:gridSpan w:val="3"/>
                  <w:tcBorders>
                    <w:top w:val="single" w:sz="4" w:space="0" w:color="auto"/>
                    <w:left w:val="single" w:sz="4" w:space="0" w:color="auto"/>
                    <w:bottom w:val="single" w:sz="4" w:space="0" w:color="auto"/>
                    <w:right w:val="single" w:sz="4" w:space="0" w:color="auto"/>
                  </w:tcBorders>
                  <w:shd w:val="clear" w:color="auto" w:fill="E7E6E6"/>
                  <w:hideMark/>
                </w:tcPr>
                <w:p w14:paraId="454128D7" w14:textId="77777777" w:rsidR="00980E4E" w:rsidRDefault="00980E4E" w:rsidP="00980E4E">
                  <w:pPr>
                    <w:pStyle w:val="TAH"/>
                    <w:tabs>
                      <w:tab w:val="left" w:pos="851"/>
                    </w:tabs>
                    <w:snapToGrid w:val="0"/>
                    <w:rPr>
                      <w:rFonts w:eastAsia="Times New Roman" w:cs="Arial"/>
                      <w:szCs w:val="18"/>
                      <w:lang w:val="en-US"/>
                    </w:rPr>
                  </w:pPr>
                  <w:r>
                    <w:rPr>
                      <w:rFonts w:cs="Arial"/>
                      <w:szCs w:val="18"/>
                      <w:lang w:val="en-US"/>
                    </w:rPr>
                    <w:t xml:space="preserve">The number of PUSCH </w:t>
                  </w:r>
                  <w:r>
                    <w:rPr>
                      <w:rFonts w:cs="Arial"/>
                      <w:sz w:val="16"/>
                      <w:szCs w:val="16"/>
                      <w:lang w:val="en-US"/>
                    </w:rPr>
                    <w:t>layers corresponding to the PT-RS port</w:t>
                  </w:r>
                </w:p>
              </w:tc>
            </w:tr>
            <w:tr w:rsidR="00980E4E" w14:paraId="6ACB7C71" w14:textId="77777777" w:rsidTr="00A92778">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B6103" w14:textId="77777777" w:rsidR="00980E4E" w:rsidRDefault="00980E4E" w:rsidP="00980E4E">
                  <w:pPr>
                    <w:jc w:val="left"/>
                    <w:rPr>
                      <w:rFonts w:ascii="Arial" w:eastAsia="Batang" w:hAnsi="Arial" w:cs="Arial"/>
                      <w:b/>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29E5B1CB" w14:textId="77777777" w:rsidR="00980E4E" w:rsidRDefault="00980E4E" w:rsidP="00980E4E">
                  <w:pPr>
                    <w:pStyle w:val="TAH"/>
                    <w:tabs>
                      <w:tab w:val="left" w:pos="851"/>
                    </w:tabs>
                    <w:snapToGrid w:val="0"/>
                    <w:rPr>
                      <w:rFonts w:eastAsia="Batang" w:cs="Arial"/>
                      <w:szCs w:val="18"/>
                      <w:lang w:val="en-US" w:eastAsia="ko-KR"/>
                    </w:rPr>
                  </w:pPr>
                  <w:r>
                    <w:rPr>
                      <w:rFonts w:eastAsia="Batang" w:cs="Arial"/>
                      <w:szCs w:val="18"/>
                      <w:lang w:val="en-US" w:eastAsia="ko-KR"/>
                    </w:rPr>
                    <w:t>1</w:t>
                  </w:r>
                </w:p>
              </w:tc>
              <w:tc>
                <w:tcPr>
                  <w:tcW w:w="538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E27C67" w14:textId="77777777" w:rsidR="00980E4E" w:rsidRDefault="00980E4E" w:rsidP="00980E4E">
                  <w:pPr>
                    <w:pStyle w:val="TAH"/>
                    <w:tabs>
                      <w:tab w:val="left" w:pos="851"/>
                    </w:tabs>
                    <w:snapToGrid w:val="0"/>
                    <w:rPr>
                      <w:rFonts w:eastAsia="Batang" w:cs="Arial"/>
                      <w:szCs w:val="18"/>
                      <w:lang w:val="en-US" w:eastAsia="ko-KR"/>
                    </w:rPr>
                  </w:pPr>
                  <w:r>
                    <w:rPr>
                      <w:rFonts w:eastAsia="Batang" w:cs="Arial"/>
                      <w:szCs w:val="18"/>
                      <w:lang w:val="en-US" w:eastAsia="ko-KR"/>
                    </w:rPr>
                    <w:t>2</w:t>
                  </w:r>
                </w:p>
              </w:tc>
            </w:tr>
            <w:tr w:rsidR="00980E4E" w14:paraId="3C90C9DB" w14:textId="77777777" w:rsidTr="00A92778">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1F32A" w14:textId="77777777" w:rsidR="00980E4E" w:rsidRDefault="00980E4E" w:rsidP="00980E4E">
                  <w:pPr>
                    <w:jc w:val="left"/>
                    <w:rPr>
                      <w:rFonts w:ascii="Arial" w:eastAsia="Batang" w:hAnsi="Arial" w:cs="Arial"/>
                      <w:b/>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D8A4C53" w14:textId="77777777" w:rsidR="00980E4E" w:rsidRDefault="00980E4E" w:rsidP="00980E4E">
                  <w:pPr>
                    <w:pStyle w:val="TAH"/>
                    <w:tabs>
                      <w:tab w:val="left" w:pos="851"/>
                    </w:tabs>
                    <w:snapToGrid w:val="0"/>
                    <w:rPr>
                      <w:rFonts w:eastAsia="Batang" w:cs="Arial"/>
                      <w:b w:val="0"/>
                      <w:szCs w:val="18"/>
                      <w:lang w:val="en-US" w:eastAsia="ko-KR"/>
                    </w:rPr>
                  </w:pPr>
                  <w:r>
                    <w:rPr>
                      <w:rFonts w:eastAsia="Batang" w:cs="Arial"/>
                      <w:b w:val="0"/>
                      <w:szCs w:val="18"/>
                      <w:lang w:val="en-US" w:eastAsia="ko-KR"/>
                    </w:rPr>
                    <w:t>All cases</w:t>
                  </w:r>
                </w:p>
              </w:tc>
              <w:tc>
                <w:tcPr>
                  <w:tcW w:w="2654" w:type="dxa"/>
                  <w:tcBorders>
                    <w:top w:val="single" w:sz="4" w:space="0" w:color="auto"/>
                    <w:left w:val="single" w:sz="4" w:space="0" w:color="auto"/>
                    <w:bottom w:val="single" w:sz="4" w:space="0" w:color="auto"/>
                    <w:right w:val="single" w:sz="4" w:space="0" w:color="auto"/>
                  </w:tcBorders>
                  <w:shd w:val="clear" w:color="auto" w:fill="E7E6E6"/>
                  <w:hideMark/>
                </w:tcPr>
                <w:p w14:paraId="3D9F0397" w14:textId="77777777" w:rsidR="00980E4E" w:rsidRDefault="00980E4E" w:rsidP="00980E4E">
                  <w:pPr>
                    <w:pStyle w:val="TAH"/>
                    <w:tabs>
                      <w:tab w:val="left" w:pos="851"/>
                    </w:tabs>
                    <w:snapToGrid w:val="0"/>
                    <w:rPr>
                      <w:rFonts w:eastAsia="Batang" w:cs="Arial"/>
                      <w:b w:val="0"/>
                      <w:szCs w:val="18"/>
                      <w:lang w:val="en-US" w:eastAsia="ko-KR"/>
                    </w:rPr>
                  </w:pPr>
                  <w:r>
                    <w:rPr>
                      <w:rFonts w:eastAsia="Batang" w:cs="Arial"/>
                      <w:b w:val="0"/>
                      <w:szCs w:val="18"/>
                      <w:lang w:val="en-US" w:eastAsia="ko-KR"/>
                    </w:rPr>
                    <w:t>Full coherent</w:t>
                  </w:r>
                </w:p>
              </w:tc>
              <w:tc>
                <w:tcPr>
                  <w:tcW w:w="2734" w:type="dxa"/>
                  <w:tcBorders>
                    <w:top w:val="single" w:sz="4" w:space="0" w:color="auto"/>
                    <w:left w:val="single" w:sz="4" w:space="0" w:color="auto"/>
                    <w:bottom w:val="single" w:sz="4" w:space="0" w:color="auto"/>
                    <w:right w:val="single" w:sz="4" w:space="0" w:color="auto"/>
                  </w:tcBorders>
                  <w:shd w:val="clear" w:color="auto" w:fill="E7E6E6"/>
                  <w:hideMark/>
                </w:tcPr>
                <w:p w14:paraId="18598004" w14:textId="77777777" w:rsidR="00980E4E" w:rsidRDefault="00980E4E" w:rsidP="00980E4E">
                  <w:pPr>
                    <w:pStyle w:val="TAH"/>
                    <w:tabs>
                      <w:tab w:val="left" w:pos="851"/>
                    </w:tabs>
                    <w:snapToGrid w:val="0"/>
                    <w:rPr>
                      <w:rFonts w:eastAsia="Batang" w:cs="Arial"/>
                      <w:szCs w:val="18"/>
                      <w:lang w:val="en-US" w:eastAsia="ko-KR"/>
                    </w:rPr>
                  </w:pPr>
                  <w:r>
                    <w:rPr>
                      <w:rFonts w:eastAsia="Batang" w:cs="Arial"/>
                      <w:b w:val="0"/>
                      <w:szCs w:val="18"/>
                      <w:lang w:val="en-US" w:eastAsia="ko-KR"/>
                    </w:rPr>
                    <w:t>Partial and non- coherent and non-codebook based</w:t>
                  </w:r>
                </w:p>
              </w:tc>
            </w:tr>
            <w:tr w:rsidR="00980E4E" w14:paraId="654BBE2D" w14:textId="77777777" w:rsidTr="00A9277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9CBD70" w14:textId="77777777" w:rsidR="00980E4E" w:rsidRDefault="00980E4E" w:rsidP="00980E4E">
                  <w:pPr>
                    <w:pStyle w:val="TAH"/>
                    <w:snapToGrid w:val="0"/>
                    <w:rPr>
                      <w:rFonts w:eastAsia="Batang" w:cs="Arial"/>
                      <w:b w:val="0"/>
                      <w:szCs w:val="18"/>
                      <w:lang w:val="en-US" w:eastAsia="ko-KR"/>
                    </w:rPr>
                  </w:pPr>
                  <w:r>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2D1C343A" w14:textId="77777777" w:rsidR="00980E4E" w:rsidRDefault="00980E4E" w:rsidP="00980E4E">
                  <w:pPr>
                    <w:pStyle w:val="TAH"/>
                    <w:snapToGrid w:val="0"/>
                    <w:rPr>
                      <w:rFonts w:eastAsia="Batang" w:cs="Arial"/>
                      <w:b w:val="0"/>
                      <w:szCs w:val="18"/>
                      <w:lang w:val="en-US" w:eastAsia="ko-KR"/>
                    </w:rPr>
                  </w:pPr>
                  <w:r>
                    <w:rPr>
                      <w:rFonts w:eastAsia="Batang" w:cs="Arial"/>
                      <w:b w:val="0"/>
                      <w:szCs w:val="18"/>
                      <w:lang w:val="en-US" w:eastAsia="ko-KR"/>
                    </w:rPr>
                    <w:t>0</w:t>
                  </w:r>
                </w:p>
              </w:tc>
              <w:tc>
                <w:tcPr>
                  <w:tcW w:w="2654" w:type="dxa"/>
                  <w:tcBorders>
                    <w:top w:val="single" w:sz="4" w:space="0" w:color="auto"/>
                    <w:left w:val="single" w:sz="4" w:space="0" w:color="auto"/>
                    <w:bottom w:val="single" w:sz="4" w:space="0" w:color="auto"/>
                    <w:right w:val="single" w:sz="4" w:space="0" w:color="auto"/>
                  </w:tcBorders>
                  <w:hideMark/>
                </w:tcPr>
                <w:p w14:paraId="2E0C53F0" w14:textId="77777777" w:rsidR="00980E4E" w:rsidRDefault="00980E4E" w:rsidP="00980E4E">
                  <w:pPr>
                    <w:pStyle w:val="TAH"/>
                    <w:snapToGrid w:val="0"/>
                    <w:rPr>
                      <w:rFonts w:eastAsia="Batang" w:cs="Arial"/>
                      <w:b w:val="0"/>
                      <w:szCs w:val="18"/>
                      <w:lang w:val="en-US" w:eastAsia="ko-KR"/>
                    </w:rPr>
                  </w:pPr>
                  <w:r>
                    <w:rPr>
                      <w:rFonts w:eastAsia="Batang" w:cs="Arial"/>
                      <w:b w:val="0"/>
                      <w:szCs w:val="18"/>
                      <w:lang w:val="en-US" w:eastAsia="ko-KR"/>
                    </w:rPr>
                    <w:t>3</w:t>
                  </w:r>
                </w:p>
              </w:tc>
              <w:tc>
                <w:tcPr>
                  <w:tcW w:w="2734" w:type="dxa"/>
                  <w:tcBorders>
                    <w:top w:val="single" w:sz="4" w:space="0" w:color="auto"/>
                    <w:left w:val="single" w:sz="4" w:space="0" w:color="auto"/>
                    <w:bottom w:val="single" w:sz="4" w:space="0" w:color="auto"/>
                    <w:right w:val="single" w:sz="4" w:space="0" w:color="auto"/>
                  </w:tcBorders>
                  <w:hideMark/>
                </w:tcPr>
                <w:p w14:paraId="29FCE0E0" w14:textId="77777777" w:rsidR="00980E4E" w:rsidRDefault="00980E4E" w:rsidP="00980E4E">
                  <w:pPr>
                    <w:pStyle w:val="TAH"/>
                    <w:snapToGrid w:val="0"/>
                    <w:rPr>
                      <w:rFonts w:eastAsia="Batang" w:cs="Arial"/>
                      <w:b w:val="0"/>
                      <w:szCs w:val="18"/>
                      <w:lang w:val="en-US" w:eastAsia="ko-KR"/>
                    </w:rPr>
                  </w:pPr>
                  <w:r>
                    <w:rPr>
                      <w:rFonts w:eastAsia="Batang" w:cs="Arial"/>
                      <w:b w:val="0"/>
                      <w:szCs w:val="18"/>
                      <w:lang w:val="en-US" w:eastAsia="ko-KR"/>
                    </w:rPr>
                    <w:t>0</w:t>
                  </w:r>
                </w:p>
              </w:tc>
            </w:tr>
            <w:tr w:rsidR="00980E4E" w14:paraId="2EA40134" w14:textId="77777777" w:rsidTr="00A9277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CBA528" w14:textId="77777777" w:rsidR="00980E4E" w:rsidRDefault="00980E4E" w:rsidP="00980E4E">
                  <w:pPr>
                    <w:pStyle w:val="TAH"/>
                    <w:snapToGrid w:val="0"/>
                    <w:rPr>
                      <w:rFonts w:eastAsia="Batang" w:cs="Arial"/>
                      <w:b w:val="0"/>
                      <w:szCs w:val="18"/>
                      <w:lang w:val="en-US" w:eastAsia="ko-KR"/>
                    </w:rPr>
                  </w:pPr>
                  <w:r>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hideMark/>
                </w:tcPr>
                <w:p w14:paraId="108BBD16" w14:textId="77777777" w:rsidR="00980E4E" w:rsidRDefault="00980E4E" w:rsidP="00980E4E">
                  <w:pPr>
                    <w:pStyle w:val="TAH"/>
                    <w:snapToGrid w:val="0"/>
                    <w:rPr>
                      <w:rFonts w:eastAsia="Batang" w:cs="Arial"/>
                      <w:b w:val="0"/>
                      <w:szCs w:val="18"/>
                      <w:lang w:val="en-US" w:eastAsia="ko-KR"/>
                    </w:rPr>
                  </w:pPr>
                  <w:r>
                    <w:rPr>
                      <w:rFonts w:eastAsia="Batang" w:cs="Arial"/>
                      <w:b w:val="0"/>
                      <w:szCs w:val="18"/>
                      <w:lang w:val="en-US" w:eastAsia="ko-KR"/>
                    </w:rPr>
                    <w:t>0</w:t>
                  </w:r>
                </w:p>
              </w:tc>
              <w:tc>
                <w:tcPr>
                  <w:tcW w:w="2654" w:type="dxa"/>
                  <w:tcBorders>
                    <w:top w:val="single" w:sz="4" w:space="0" w:color="auto"/>
                    <w:left w:val="single" w:sz="4" w:space="0" w:color="auto"/>
                    <w:bottom w:val="single" w:sz="4" w:space="0" w:color="auto"/>
                    <w:right w:val="single" w:sz="4" w:space="0" w:color="auto"/>
                  </w:tcBorders>
                  <w:hideMark/>
                </w:tcPr>
                <w:p w14:paraId="5BE1A864" w14:textId="77777777" w:rsidR="00980E4E" w:rsidRDefault="00980E4E" w:rsidP="00980E4E">
                  <w:pPr>
                    <w:pStyle w:val="TAH"/>
                    <w:snapToGrid w:val="0"/>
                    <w:rPr>
                      <w:rFonts w:eastAsia="Batang" w:cs="Arial"/>
                      <w:b w:val="0"/>
                      <w:szCs w:val="18"/>
                      <w:lang w:val="en-US" w:eastAsia="ko-KR"/>
                    </w:rPr>
                  </w:pPr>
                  <w:r>
                    <w:rPr>
                      <w:rFonts w:eastAsia="Batang" w:cs="Arial"/>
                      <w:b w:val="0"/>
                      <w:szCs w:val="18"/>
                      <w:lang w:val="en-US" w:eastAsia="ko-KR"/>
                    </w:rPr>
                    <w:t>3</w:t>
                  </w:r>
                </w:p>
              </w:tc>
              <w:tc>
                <w:tcPr>
                  <w:tcW w:w="2734" w:type="dxa"/>
                  <w:tcBorders>
                    <w:top w:val="single" w:sz="4" w:space="0" w:color="auto"/>
                    <w:left w:val="single" w:sz="4" w:space="0" w:color="auto"/>
                    <w:bottom w:val="single" w:sz="4" w:space="0" w:color="auto"/>
                    <w:right w:val="single" w:sz="4" w:space="0" w:color="auto"/>
                  </w:tcBorders>
                  <w:hideMark/>
                </w:tcPr>
                <w:p w14:paraId="7B05F564" w14:textId="77777777" w:rsidR="00980E4E" w:rsidRDefault="00980E4E" w:rsidP="00980E4E">
                  <w:pPr>
                    <w:pStyle w:val="TAH"/>
                    <w:snapToGrid w:val="0"/>
                    <w:rPr>
                      <w:rFonts w:eastAsia="Batang" w:cs="Arial"/>
                      <w:b w:val="0"/>
                      <w:szCs w:val="18"/>
                      <w:lang w:val="en-US" w:eastAsia="ko-KR"/>
                    </w:rPr>
                  </w:pPr>
                  <w:r>
                    <w:rPr>
                      <w:rFonts w:eastAsia="Batang" w:cs="Arial"/>
                      <w:b w:val="0"/>
                      <w:szCs w:val="18"/>
                      <w:lang w:val="en-US" w:eastAsia="ko-KR"/>
                    </w:rPr>
                    <w:t>3</w:t>
                  </w:r>
                </w:p>
              </w:tc>
            </w:tr>
            <w:tr w:rsidR="00980E4E" w14:paraId="5626C931" w14:textId="77777777" w:rsidTr="00A9277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CEF5BD" w14:textId="77777777" w:rsidR="00980E4E" w:rsidRDefault="00980E4E" w:rsidP="00980E4E">
                  <w:pPr>
                    <w:pStyle w:val="TAH"/>
                    <w:snapToGrid w:val="0"/>
                    <w:rPr>
                      <w:rFonts w:eastAsia="Batang" w:cs="Arial"/>
                      <w:b w:val="0"/>
                      <w:szCs w:val="18"/>
                      <w:lang w:val="en-US" w:eastAsia="ko-KR"/>
                    </w:rPr>
                  </w:pPr>
                  <w:r>
                    <w:rPr>
                      <w:rFonts w:eastAsia="Batang" w:cs="Arial"/>
                      <w:b w:val="0"/>
                      <w:szCs w:val="18"/>
                      <w:lang w:val="en-US" w:eastAsia="ko-KR"/>
                    </w:rPr>
                    <w:t>10</w:t>
                  </w:r>
                </w:p>
              </w:tc>
              <w:tc>
                <w:tcPr>
                  <w:tcW w:w="6325" w:type="dxa"/>
                  <w:gridSpan w:val="3"/>
                  <w:tcBorders>
                    <w:top w:val="single" w:sz="4" w:space="0" w:color="auto"/>
                    <w:left w:val="single" w:sz="4" w:space="0" w:color="auto"/>
                    <w:bottom w:val="single" w:sz="4" w:space="0" w:color="auto"/>
                    <w:right w:val="single" w:sz="4" w:space="0" w:color="auto"/>
                  </w:tcBorders>
                  <w:hideMark/>
                </w:tcPr>
                <w:p w14:paraId="72B6494B" w14:textId="77777777" w:rsidR="00980E4E" w:rsidRDefault="00980E4E" w:rsidP="00980E4E">
                  <w:pPr>
                    <w:pStyle w:val="TAH"/>
                    <w:snapToGrid w:val="0"/>
                    <w:rPr>
                      <w:rFonts w:eastAsia="Batang" w:cs="Arial"/>
                      <w:b w:val="0"/>
                      <w:szCs w:val="18"/>
                      <w:lang w:val="en-US" w:eastAsia="ko-KR"/>
                    </w:rPr>
                  </w:pPr>
                  <w:r>
                    <w:rPr>
                      <w:rFonts w:eastAsia="Batang" w:cs="Arial"/>
                      <w:b w:val="0"/>
                      <w:szCs w:val="18"/>
                      <w:lang w:val="en-US" w:eastAsia="ko-KR"/>
                    </w:rPr>
                    <w:t>reserved</w:t>
                  </w:r>
                </w:p>
              </w:tc>
            </w:tr>
            <w:tr w:rsidR="00980E4E" w14:paraId="0CBC7BFD" w14:textId="77777777" w:rsidTr="00A9277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13BE3" w14:textId="77777777" w:rsidR="00980E4E" w:rsidRDefault="00980E4E" w:rsidP="00980E4E">
                  <w:pPr>
                    <w:pStyle w:val="TAH"/>
                    <w:snapToGrid w:val="0"/>
                    <w:rPr>
                      <w:rFonts w:eastAsia="Batang" w:cs="Arial"/>
                      <w:b w:val="0"/>
                      <w:szCs w:val="18"/>
                      <w:lang w:val="en-US" w:eastAsia="ko-KR"/>
                    </w:rPr>
                  </w:pPr>
                  <w:r>
                    <w:rPr>
                      <w:rFonts w:eastAsia="Batang" w:cs="Arial"/>
                      <w:b w:val="0"/>
                      <w:szCs w:val="18"/>
                      <w:lang w:val="en-US" w:eastAsia="ko-KR"/>
                    </w:rPr>
                    <w:t>11</w:t>
                  </w:r>
                </w:p>
              </w:tc>
              <w:tc>
                <w:tcPr>
                  <w:tcW w:w="6325" w:type="dxa"/>
                  <w:gridSpan w:val="3"/>
                  <w:tcBorders>
                    <w:top w:val="single" w:sz="4" w:space="0" w:color="auto"/>
                    <w:left w:val="single" w:sz="4" w:space="0" w:color="auto"/>
                    <w:bottom w:val="single" w:sz="4" w:space="0" w:color="auto"/>
                    <w:right w:val="single" w:sz="4" w:space="0" w:color="auto"/>
                  </w:tcBorders>
                  <w:hideMark/>
                </w:tcPr>
                <w:p w14:paraId="2F633A33" w14:textId="77777777" w:rsidR="00980E4E" w:rsidRDefault="00980E4E" w:rsidP="00980E4E">
                  <w:pPr>
                    <w:pStyle w:val="TAH"/>
                    <w:snapToGrid w:val="0"/>
                    <w:rPr>
                      <w:rFonts w:eastAsia="Batang" w:cs="Arial"/>
                      <w:b w:val="0"/>
                      <w:szCs w:val="18"/>
                      <w:lang w:val="en-US" w:eastAsia="ko-KR"/>
                    </w:rPr>
                  </w:pPr>
                  <w:r>
                    <w:rPr>
                      <w:rFonts w:eastAsia="Batang" w:cs="Arial"/>
                      <w:b w:val="0"/>
                      <w:szCs w:val="18"/>
                      <w:lang w:val="en-US" w:eastAsia="ko-KR"/>
                    </w:rPr>
                    <w:t>reserved</w:t>
                  </w:r>
                </w:p>
              </w:tc>
              <w:bookmarkEnd w:id="0"/>
            </w:tr>
          </w:tbl>
          <w:p w14:paraId="49B3243E" w14:textId="77777777" w:rsidR="00980E4E" w:rsidRDefault="00980E4E" w:rsidP="00980E4E">
            <w:pPr>
              <w:rPr>
                <w:rFonts w:eastAsiaTheme="minorEastAsia"/>
              </w:rPr>
            </w:pPr>
          </w:p>
        </w:tc>
      </w:tr>
    </w:tbl>
    <w:p w14:paraId="55EB6D54" w14:textId="77777777" w:rsidR="00980E4E" w:rsidRDefault="00980E4E" w:rsidP="00980E4E">
      <w:pPr>
        <w:rPr>
          <w:rFonts w:eastAsiaTheme="minorEastAsia"/>
        </w:rPr>
      </w:pPr>
    </w:p>
    <w:p w14:paraId="25667074" w14:textId="1EEE88F5" w:rsidR="003D5B3B" w:rsidRDefault="00671E59" w:rsidP="00CD52E7">
      <w:pPr>
        <w:rPr>
          <w:rFonts w:eastAsiaTheme="minorEastAsia"/>
          <w:b/>
        </w:rPr>
      </w:pPr>
      <w:r>
        <w:rPr>
          <w:rFonts w:eastAsiaTheme="minorEastAsia"/>
        </w:rPr>
        <w:t xml:space="preserve">In the following, we investigate whether or not the above proposal is acceptable. First, let us overview some </w:t>
      </w:r>
      <w:r w:rsidR="000F35CD">
        <w:rPr>
          <w:rFonts w:eastAsiaTheme="minorEastAsia"/>
        </w:rPr>
        <w:t>background</w:t>
      </w:r>
      <w:r>
        <w:rPr>
          <w:rFonts w:eastAsiaTheme="minorEastAsia"/>
        </w:rPr>
        <w:t xml:space="preserve"> </w:t>
      </w:r>
      <w:r w:rsidR="001F447D">
        <w:rPr>
          <w:rFonts w:eastAsiaTheme="minorEastAsia"/>
        </w:rPr>
        <w:t>relevant to</w:t>
      </w:r>
      <w:r>
        <w:rPr>
          <w:rFonts w:eastAsiaTheme="minorEastAsia"/>
        </w:rPr>
        <w:t xml:space="preserve"> PTRS power boosting. </w:t>
      </w:r>
      <w:r w:rsidR="00FD1A3A">
        <w:rPr>
          <w:rFonts w:eastAsiaTheme="minorEastAsia"/>
        </w:rPr>
        <w:t xml:space="preserve">For a PTRS port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l</m:t>
            </m:r>
          </m:sub>
        </m:sSub>
        <m:r>
          <w:rPr>
            <w:rFonts w:ascii="Cambria Math" w:eastAsiaTheme="minorEastAsia" w:hAnsi="Cambria Math"/>
          </w:rPr>
          <m:t xml:space="preserve"> </m:t>
        </m:r>
      </m:oMath>
      <w:r w:rsidR="00FD1A3A">
        <w:rPr>
          <w:rFonts w:eastAsiaTheme="minorEastAsia"/>
        </w:rPr>
        <w:t xml:space="preserve">associated with the PUSCH layer </w:t>
      </w:r>
      <m:oMath>
        <m:r>
          <w:rPr>
            <w:rFonts w:ascii="Cambria Math" w:eastAsiaTheme="minorEastAsia" w:hAnsi="Cambria Math"/>
          </w:rPr>
          <m:t>l</m:t>
        </m:r>
      </m:oMath>
      <w:r w:rsidR="00FD1A3A">
        <w:rPr>
          <w:rFonts w:eastAsiaTheme="minorEastAsia"/>
        </w:rPr>
        <w:t xml:space="preserve">, the PTRS tones are occupied by a single layer PTRS transmission and there is no other PUSCH layers or PTRS associated with PUSCH layer </w:t>
      </w:r>
      <m:oMath>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m:t>
            </m:r>
          </m:sup>
        </m:sSup>
        <m:r>
          <w:rPr>
            <w:rFonts w:ascii="Cambria Math" w:eastAsiaTheme="minorEastAsia" w:hAnsi="Cambria Math"/>
          </w:rPr>
          <m:t xml:space="preserve"> ≠ l</m:t>
        </m:r>
      </m:oMath>
      <w:r w:rsidR="00FD1A3A">
        <w:rPr>
          <w:rFonts w:eastAsiaTheme="minorEastAsia"/>
        </w:rPr>
        <w:t xml:space="preserve"> on these tones. Therefore</w:t>
      </w:r>
      <w:r>
        <w:rPr>
          <w:rFonts w:eastAsiaTheme="minorEastAsia"/>
        </w:rPr>
        <w:t xml:space="preserve">, the borrowed power for </w:t>
      </w:r>
      <w:r w:rsidR="00DE62DF">
        <w:rPr>
          <w:rFonts w:eastAsiaTheme="minorEastAsia"/>
        </w:rPr>
        <w:t xml:space="preserve">PTRS </w:t>
      </w:r>
      <w:r>
        <w:rPr>
          <w:rFonts w:eastAsiaTheme="minorEastAsia"/>
        </w:rPr>
        <w:t xml:space="preserve">power boosting </w:t>
      </w:r>
      <w:r w:rsidR="003D5B3B">
        <w:rPr>
          <w:rFonts w:eastAsiaTheme="minorEastAsia"/>
        </w:rPr>
        <w:t xml:space="preserve">corresponding to port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l</m:t>
            </m:r>
          </m:sub>
        </m:sSub>
        <m:r>
          <w:rPr>
            <w:rFonts w:ascii="Cambria Math" w:eastAsiaTheme="minorEastAsia" w:hAnsi="Cambria Math"/>
          </w:rPr>
          <m:t xml:space="preserve"> </m:t>
        </m:r>
      </m:oMath>
      <w:r>
        <w:rPr>
          <w:rFonts w:eastAsiaTheme="minorEastAsia"/>
        </w:rPr>
        <w:t>can be potentially from the following two sources:</w:t>
      </w:r>
    </w:p>
    <w:p w14:paraId="2E7C3E15" w14:textId="77777777" w:rsidR="001F447D" w:rsidRPr="00CD52E7" w:rsidRDefault="001F447D" w:rsidP="00FD1A3A">
      <w:pPr>
        <w:rPr>
          <w:rFonts w:eastAsiaTheme="minorEastAsia"/>
          <w:b/>
        </w:rPr>
      </w:pPr>
    </w:p>
    <w:p w14:paraId="4AB0A90A" w14:textId="3BA01782" w:rsidR="00671E59" w:rsidRDefault="003D5B3B" w:rsidP="00980E4E">
      <w:pPr>
        <w:rPr>
          <w:rFonts w:eastAsiaTheme="minorEastAsia"/>
        </w:rPr>
      </w:pPr>
      <w:r w:rsidRPr="00CD52E7">
        <w:rPr>
          <w:rFonts w:eastAsiaTheme="minorEastAsia"/>
          <w:b/>
        </w:rPr>
        <w:t>S</w:t>
      </w:r>
      <w:r w:rsidR="0087044D" w:rsidRPr="00CD52E7">
        <w:rPr>
          <w:rFonts w:eastAsiaTheme="minorEastAsia"/>
          <w:b/>
        </w:rPr>
        <w:t>1)</w:t>
      </w:r>
      <w:r w:rsidR="00671E59">
        <w:rPr>
          <w:rFonts w:eastAsiaTheme="minorEastAsia"/>
        </w:rPr>
        <w:t xml:space="preserve"> </w:t>
      </w:r>
      <w:r>
        <w:rPr>
          <w:rFonts w:eastAsiaTheme="minorEastAsia"/>
        </w:rPr>
        <w:t>F</w:t>
      </w:r>
      <w:r w:rsidR="0087044D">
        <w:rPr>
          <w:rFonts w:eastAsiaTheme="minorEastAsia"/>
        </w:rPr>
        <w:t xml:space="preserve">rom the muted PUSCH layers on the PTRS tones corresponding to PTRS port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l</m:t>
            </m:r>
          </m:sub>
        </m:sSub>
        <m:r>
          <w:rPr>
            <w:rFonts w:ascii="Cambria Math" w:eastAsiaTheme="minorEastAsia" w:hAnsi="Cambria Math"/>
          </w:rPr>
          <m:t>.</m:t>
        </m:r>
      </m:oMath>
      <w:r w:rsidR="00671E59">
        <w:rPr>
          <w:rFonts w:eastAsiaTheme="minorEastAsia"/>
        </w:rPr>
        <w:t xml:space="preserve"> </w:t>
      </w:r>
    </w:p>
    <w:p w14:paraId="1ABC341E" w14:textId="1B1A4BF5" w:rsidR="0087044D" w:rsidRDefault="0087044D" w:rsidP="0087044D">
      <w:pPr>
        <w:rPr>
          <w:rFonts w:eastAsiaTheme="minorEastAsia"/>
        </w:rPr>
      </w:pPr>
      <w:r w:rsidRPr="00CD52E7">
        <w:rPr>
          <w:rFonts w:eastAsiaTheme="minorEastAsia"/>
          <w:b/>
        </w:rPr>
        <w:t>S2)</w:t>
      </w:r>
      <w:r w:rsidR="003D5B3B">
        <w:rPr>
          <w:rFonts w:eastAsiaTheme="minorEastAsia"/>
        </w:rPr>
        <w:t xml:space="preserve"> </w:t>
      </w:r>
      <w:r>
        <w:rPr>
          <w:rFonts w:eastAsiaTheme="minorEastAsia"/>
        </w:rPr>
        <w:t xml:space="preserve">If </w:t>
      </w:r>
      <w:r w:rsidRPr="00A437F3">
        <w:rPr>
          <w:rFonts w:eastAsiaTheme="minorEastAsia"/>
        </w:rPr>
        <w:t>scheduled PTRS port</w:t>
      </w:r>
      <w:r>
        <w:rPr>
          <w:rFonts w:eastAsiaTheme="minorEastAsia"/>
        </w:rPr>
        <w:t xml:space="preserve">s </w:t>
      </w:r>
      <m:oMath>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p</m:t>
            </m:r>
          </m:sub>
        </m:sSub>
      </m:oMath>
      <w:r>
        <w:rPr>
          <w:rFonts w:eastAsiaTheme="minorEastAsia"/>
        </w:rPr>
        <w:t xml:space="preserve">=2, from the muted PUSCH layers on the PTRS tones corresponding to PTRS port </w:t>
      </w:r>
      <m:oMath>
        <m:sSub>
          <m:sSubPr>
            <m:ctrlPr>
              <w:rPr>
                <w:rFonts w:ascii="Cambria Math" w:eastAsiaTheme="minorEastAsia" w:hAnsi="Cambria Math"/>
                <w:i/>
              </w:rPr>
            </m:ctrlPr>
          </m:sSubPr>
          <m:e>
            <m:r>
              <w:rPr>
                <w:rFonts w:ascii="Cambria Math" w:eastAsiaTheme="minorEastAsia" w:hAnsi="Cambria Math"/>
              </w:rPr>
              <m:t>v</m:t>
            </m:r>
          </m:e>
          <m:sub>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m:t>
                </m:r>
              </m:sup>
            </m:sSup>
          </m:sub>
        </m:sSub>
      </m:oMath>
      <w:r w:rsidR="003D5B3B">
        <w:rPr>
          <w:rFonts w:eastAsiaTheme="minorEastAsia"/>
        </w:rPr>
        <w:t xml:space="preserve"> that is associated with the PUSCH layer </w:t>
      </w:r>
      <m:oMath>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m:t>
            </m:r>
          </m:sup>
        </m:sSup>
        <m:r>
          <w:rPr>
            <w:rFonts w:ascii="Cambria Math" w:eastAsiaTheme="minorEastAsia" w:hAnsi="Cambria Math"/>
          </w:rPr>
          <m:t xml:space="preserve"> ≠ l.</m:t>
        </m:r>
      </m:oMath>
      <w:r w:rsidR="003D5B3B">
        <w:rPr>
          <w:rFonts w:eastAsiaTheme="minorEastAsia"/>
        </w:rPr>
        <w:t xml:space="preserve"> </w:t>
      </w:r>
    </w:p>
    <w:p w14:paraId="6D5CC346" w14:textId="77777777" w:rsidR="0087044D" w:rsidRDefault="0087044D" w:rsidP="00980E4E">
      <w:pPr>
        <w:rPr>
          <w:rFonts w:eastAsiaTheme="minorEastAsia"/>
        </w:rPr>
      </w:pPr>
    </w:p>
    <w:p w14:paraId="77CAE0A7" w14:textId="76647152" w:rsidR="00671E59" w:rsidRDefault="003D5B3B" w:rsidP="00980E4E">
      <w:pPr>
        <w:rPr>
          <w:rFonts w:eastAsiaTheme="minorEastAsia"/>
        </w:rPr>
      </w:pPr>
      <w:r>
        <w:rPr>
          <w:rFonts w:eastAsiaTheme="minorEastAsia"/>
        </w:rPr>
        <w:t xml:space="preserve">However, there are also some restrictions to </w:t>
      </w:r>
      <w:r w:rsidR="001F447D">
        <w:rPr>
          <w:rFonts w:eastAsiaTheme="minorEastAsia"/>
        </w:rPr>
        <w:t>borrow</w:t>
      </w:r>
      <w:r>
        <w:rPr>
          <w:rFonts w:eastAsiaTheme="minorEastAsia"/>
        </w:rPr>
        <w:t xml:space="preserve"> power from the above sources as follows:</w:t>
      </w:r>
    </w:p>
    <w:p w14:paraId="0D216853" w14:textId="55ABFEA9" w:rsidR="00A05C41" w:rsidRDefault="00A05C41" w:rsidP="00980E4E">
      <w:pPr>
        <w:rPr>
          <w:rFonts w:eastAsiaTheme="minorEastAsia"/>
          <w:b/>
        </w:rPr>
      </w:pPr>
    </w:p>
    <w:p w14:paraId="455858ED" w14:textId="173B1094" w:rsidR="001F447D" w:rsidRDefault="003D5B3B" w:rsidP="00980E4E">
      <w:pPr>
        <w:rPr>
          <w:rFonts w:eastAsiaTheme="minorEastAsia"/>
        </w:rPr>
      </w:pPr>
      <w:r w:rsidRPr="00CD52E7">
        <w:rPr>
          <w:rFonts w:eastAsiaTheme="minorEastAsia"/>
          <w:b/>
        </w:rPr>
        <w:t>R1)</w:t>
      </w:r>
      <w:r>
        <w:rPr>
          <w:rFonts w:eastAsiaTheme="minorEastAsia"/>
        </w:rPr>
        <w:t xml:space="preserve"> Power amplifier capability of each Tx </w:t>
      </w:r>
      <w:r w:rsidR="001F447D">
        <w:rPr>
          <w:rFonts w:eastAsiaTheme="minorEastAsia"/>
        </w:rPr>
        <w:t>antenna:</w:t>
      </w:r>
    </w:p>
    <w:p w14:paraId="14965904" w14:textId="69584BE5" w:rsidR="00EE6F10" w:rsidRDefault="003D5B3B" w:rsidP="00980E4E">
      <w:pPr>
        <w:rPr>
          <w:rFonts w:eastAsiaTheme="minorEastAsia"/>
        </w:rPr>
      </w:pPr>
      <w:r>
        <w:rPr>
          <w:rFonts w:eastAsiaTheme="minorEastAsia"/>
        </w:rPr>
        <w:t xml:space="preserve">In the context of power boosting for PTRS, two different PA capabilities are considered in 38.214: </w:t>
      </w:r>
    </w:p>
    <w:p w14:paraId="6CE8B4DC" w14:textId="23434FD9" w:rsidR="00A05C41" w:rsidRPr="00A437F3" w:rsidRDefault="00A05C41" w:rsidP="00A05C41">
      <w:pPr>
        <w:pStyle w:val="a3"/>
        <w:numPr>
          <w:ilvl w:val="0"/>
          <w:numId w:val="47"/>
        </w:numPr>
        <w:ind w:firstLineChars="0"/>
        <w:rPr>
          <w:rFonts w:eastAsiaTheme="minorEastAsia"/>
        </w:rPr>
      </w:pPr>
      <w:r>
        <w:rPr>
          <w:rFonts w:eastAsiaTheme="minorEastAsia"/>
        </w:rPr>
        <w:lastRenderedPageBreak/>
        <w:t xml:space="preserve">Partial-range PA where each PA can transmit with the </w:t>
      </w:r>
      <w:r w:rsidRPr="00A437F3">
        <w:rPr>
          <w:rFonts w:eastAsiaTheme="minorEastAsia"/>
        </w:rPr>
        <w:t xml:space="preserve">power </w:t>
      </w:r>
      <w:r w:rsidR="001F447D">
        <w:rPr>
          <w:rFonts w:eastAsiaTheme="minorEastAsia"/>
        </w:rPr>
        <w:t>dictated by</w:t>
      </w:r>
      <w:r w:rsidRPr="00A437F3">
        <w:rPr>
          <w:rFonts w:eastAsiaTheme="minorEastAsia"/>
        </w:rPr>
        <w:t xml:space="preserve"> the UE power class</w:t>
      </w:r>
      <w:r>
        <w:rPr>
          <w:rFonts w:eastAsiaTheme="minorEastAsia"/>
        </w:rPr>
        <w:t xml:space="preserve"> divided by the number of Tx antennas. This corresponds to </w:t>
      </w:r>
      <m:oMath>
        <m:sSubSup>
          <m:sSubSupPr>
            <m:ctrlPr>
              <w:rPr>
                <w:rFonts w:ascii="Cambria Math" w:eastAsiaTheme="minorEastAsia" w:hAnsi="Cambria Math"/>
                <w:i/>
              </w:rPr>
            </m:ctrlPr>
          </m:sSubSupPr>
          <m:e>
            <m:r>
              <w:rPr>
                <w:rFonts w:ascii="Cambria Math" w:eastAsiaTheme="minorEastAsia" w:hAnsi="Cambria Math"/>
              </w:rPr>
              <m:t>α</m:t>
            </m:r>
          </m:e>
          <m:sub>
            <m:r>
              <w:rPr>
                <w:rFonts w:ascii="Cambria Math" w:eastAsiaTheme="minorEastAsia" w:hAnsi="Cambria Math"/>
              </w:rPr>
              <m:t>PTRS</m:t>
            </m:r>
          </m:sub>
          <m:sup>
            <m:r>
              <w:rPr>
                <w:rFonts w:ascii="Cambria Math" w:eastAsiaTheme="minorEastAsia" w:hAnsi="Cambria Math"/>
              </w:rPr>
              <m:t>PUSCH</m:t>
            </m:r>
          </m:sup>
        </m:sSubSup>
        <m:r>
          <w:rPr>
            <w:rFonts w:ascii="Cambria Math" w:eastAsiaTheme="minorEastAsia" w:hAnsi="Cambria Math"/>
          </w:rPr>
          <m:t>=00</m:t>
        </m:r>
      </m:oMath>
      <w:r>
        <w:rPr>
          <w:rFonts w:eastAsiaTheme="minorEastAsia"/>
        </w:rPr>
        <w:t xml:space="preserve"> in the above FL proposal and Table </w:t>
      </w:r>
      <w:r w:rsidRPr="001B1B4C">
        <w:t>6.2.3</w:t>
      </w:r>
      <w:r>
        <w:t>.1</w:t>
      </w:r>
      <w:r w:rsidRPr="001B1B4C">
        <w:t>-</w:t>
      </w:r>
      <w:r>
        <w:t>3 in 38.214.</w:t>
      </w:r>
    </w:p>
    <w:p w14:paraId="137AB227" w14:textId="383119D2" w:rsidR="003D5B3B" w:rsidRPr="00CD52E7" w:rsidRDefault="00A05C41" w:rsidP="00CD52E7">
      <w:pPr>
        <w:pStyle w:val="a3"/>
        <w:numPr>
          <w:ilvl w:val="0"/>
          <w:numId w:val="47"/>
        </w:numPr>
        <w:ind w:firstLineChars="0"/>
        <w:rPr>
          <w:rFonts w:eastAsiaTheme="minorEastAsia"/>
        </w:rPr>
      </w:pPr>
      <w:r>
        <w:rPr>
          <w:rFonts w:eastAsiaTheme="minorEastAsia"/>
        </w:rPr>
        <w:t>Full</w:t>
      </w:r>
      <w:r w:rsidR="003D5B3B" w:rsidRPr="00CD52E7">
        <w:rPr>
          <w:rFonts w:eastAsiaTheme="minorEastAsia"/>
        </w:rPr>
        <w:t>-</w:t>
      </w:r>
      <w:r w:rsidR="00EE6F10" w:rsidRPr="00CD52E7">
        <w:rPr>
          <w:rFonts w:eastAsiaTheme="minorEastAsia"/>
        </w:rPr>
        <w:t xml:space="preserve">range PA where each PA can transmit with the full power </w:t>
      </w:r>
      <w:r w:rsidR="001F447D">
        <w:rPr>
          <w:rFonts w:eastAsiaTheme="minorEastAsia"/>
        </w:rPr>
        <w:t>dictated by</w:t>
      </w:r>
      <w:r w:rsidR="00EE6F10" w:rsidRPr="00CD52E7">
        <w:rPr>
          <w:rFonts w:eastAsiaTheme="minorEastAsia"/>
        </w:rPr>
        <w:t xml:space="preserve"> the UE power class. </w:t>
      </w:r>
      <w:r w:rsidR="00EE6F10">
        <w:rPr>
          <w:rFonts w:eastAsiaTheme="minorEastAsia"/>
        </w:rPr>
        <w:t>This corresponds to</w:t>
      </w:r>
      <w:r w:rsidR="00A66A3C">
        <w:rPr>
          <w:rFonts w:eastAsiaTheme="minorEastAsia"/>
        </w:rPr>
        <w:t xml:space="preserve"> </w:t>
      </w:r>
      <m:oMath>
        <m:sSubSup>
          <m:sSubSupPr>
            <m:ctrlPr>
              <w:rPr>
                <w:rFonts w:ascii="Cambria Math" w:eastAsiaTheme="minorEastAsia" w:hAnsi="Cambria Math"/>
                <w:i/>
              </w:rPr>
            </m:ctrlPr>
          </m:sSubSupPr>
          <m:e>
            <m:r>
              <w:rPr>
                <w:rFonts w:ascii="Cambria Math" w:eastAsiaTheme="minorEastAsia" w:hAnsi="Cambria Math"/>
              </w:rPr>
              <m:t>α</m:t>
            </m:r>
          </m:e>
          <m:sub>
            <m:r>
              <w:rPr>
                <w:rFonts w:ascii="Cambria Math" w:eastAsiaTheme="minorEastAsia" w:hAnsi="Cambria Math"/>
              </w:rPr>
              <m:t>PTRS</m:t>
            </m:r>
          </m:sub>
          <m:sup>
            <m:r>
              <w:rPr>
                <w:rFonts w:ascii="Cambria Math" w:eastAsiaTheme="minorEastAsia" w:hAnsi="Cambria Math"/>
              </w:rPr>
              <m:t>PUSCH</m:t>
            </m:r>
          </m:sup>
        </m:sSubSup>
        <m:r>
          <w:rPr>
            <w:rFonts w:ascii="Cambria Math" w:eastAsiaTheme="minorEastAsia" w:hAnsi="Cambria Math"/>
          </w:rPr>
          <m:t>=01</m:t>
        </m:r>
      </m:oMath>
      <w:r w:rsidR="00EE6F10">
        <w:rPr>
          <w:rFonts w:eastAsiaTheme="minorEastAsia"/>
        </w:rPr>
        <w:t xml:space="preserve"> </w:t>
      </w:r>
      <w:r w:rsidR="00A66A3C">
        <w:rPr>
          <w:rFonts w:eastAsiaTheme="minorEastAsia"/>
        </w:rPr>
        <w:t xml:space="preserve">in the above FL proposal and Table </w:t>
      </w:r>
      <w:r w:rsidR="00A66A3C" w:rsidRPr="001B1B4C">
        <w:t>6.2.3</w:t>
      </w:r>
      <w:r w:rsidR="00A66A3C">
        <w:t>.1</w:t>
      </w:r>
      <w:r w:rsidR="00A66A3C" w:rsidRPr="001B1B4C">
        <w:t>-</w:t>
      </w:r>
      <w:r w:rsidR="00A66A3C">
        <w:t>3 in 38.214.</w:t>
      </w:r>
    </w:p>
    <w:p w14:paraId="69D82C0F" w14:textId="0D5B9F1E" w:rsidR="001F447D" w:rsidRDefault="00B948E6" w:rsidP="00980E4E">
      <w:pPr>
        <w:rPr>
          <w:rFonts w:eastAsiaTheme="minorEastAsia"/>
        </w:rPr>
      </w:pPr>
      <w:r w:rsidRPr="00CD52E7">
        <w:rPr>
          <w:rFonts w:eastAsiaTheme="minorEastAsia"/>
          <w:b/>
        </w:rPr>
        <w:t>R2)</w:t>
      </w:r>
      <w:r>
        <w:rPr>
          <w:rFonts w:eastAsiaTheme="minorEastAsia"/>
        </w:rPr>
        <w:t xml:space="preserve"> </w:t>
      </w:r>
      <w:r w:rsidR="001670C7">
        <w:rPr>
          <w:rFonts w:eastAsiaTheme="minorEastAsia"/>
        </w:rPr>
        <w:t>C</w:t>
      </w:r>
      <w:r w:rsidR="00A05C41">
        <w:rPr>
          <w:rFonts w:eastAsiaTheme="minorEastAsia"/>
        </w:rPr>
        <w:t>oheren</w:t>
      </w:r>
      <w:r w:rsidR="001670C7">
        <w:rPr>
          <w:rFonts w:eastAsiaTheme="minorEastAsia"/>
        </w:rPr>
        <w:t>c</w:t>
      </w:r>
      <w:r w:rsidR="00761AC3">
        <w:rPr>
          <w:rFonts w:eastAsiaTheme="minorEastAsia"/>
        </w:rPr>
        <w:t>y</w:t>
      </w:r>
      <w:r w:rsidR="001670C7">
        <w:rPr>
          <w:rFonts w:eastAsiaTheme="minorEastAsia"/>
        </w:rPr>
        <w:t xml:space="preserve"> of the PUSCH precoder for a UE that is equipped with </w:t>
      </w:r>
      <w:r w:rsidR="00DE62DF">
        <w:rPr>
          <w:rFonts w:eastAsiaTheme="minorEastAsia"/>
        </w:rPr>
        <w:t xml:space="preserve">the </w:t>
      </w:r>
      <w:r w:rsidR="002007F5">
        <w:rPr>
          <w:rFonts w:eastAsiaTheme="minorEastAsia"/>
        </w:rPr>
        <w:t>partial</w:t>
      </w:r>
      <w:r w:rsidR="001670C7">
        <w:rPr>
          <w:rFonts w:eastAsiaTheme="minorEastAsia"/>
        </w:rPr>
        <w:t xml:space="preserve">-rage PA: </w:t>
      </w:r>
    </w:p>
    <w:p w14:paraId="0B51D984" w14:textId="234CB688" w:rsidR="00A05C41" w:rsidRDefault="001670C7" w:rsidP="00980E4E">
      <w:pPr>
        <w:rPr>
          <w:rFonts w:eastAsiaTheme="minorEastAsia"/>
        </w:rPr>
      </w:pPr>
      <w:r>
        <w:rPr>
          <w:rFonts w:eastAsiaTheme="minorEastAsia"/>
        </w:rPr>
        <w:t xml:space="preserve">If the UE is equipped with a full-range PA, power of the antennas that transmit PTRS port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l</m:t>
            </m:r>
          </m:sub>
        </m:sSub>
      </m:oMath>
      <w:r>
        <w:rPr>
          <w:rFonts w:eastAsiaTheme="minorEastAsia"/>
        </w:rPr>
        <w:t xml:space="preserve"> may be boosted without the need to </w:t>
      </w:r>
      <w:r w:rsidR="001F447D">
        <w:rPr>
          <w:rFonts w:eastAsiaTheme="minorEastAsia"/>
        </w:rPr>
        <w:t>borrow</w:t>
      </w:r>
      <w:r>
        <w:rPr>
          <w:rFonts w:eastAsiaTheme="minorEastAsia"/>
        </w:rPr>
        <w:t xml:space="preserve"> the power from the antennas that transmit PUSCH layers </w:t>
      </w:r>
      <m:oMath>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m:t>
            </m:r>
          </m:sup>
        </m:sSup>
        <m:r>
          <w:rPr>
            <w:rFonts w:ascii="Cambria Math" w:eastAsiaTheme="minorEastAsia" w:hAnsi="Cambria Math"/>
          </w:rPr>
          <m:t xml:space="preserve"> ≠ l.</m:t>
        </m:r>
      </m:oMath>
      <w:r>
        <w:rPr>
          <w:rFonts w:eastAsiaTheme="minorEastAsia"/>
        </w:rPr>
        <w:t xml:space="preserve"> However, if the UE is equipped with partial-range PA, power may need to be borrowed from the antennas that transmit PUSCH layers </w:t>
      </w:r>
      <m:oMath>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m:t>
            </m:r>
          </m:sup>
        </m:sSup>
        <m:r>
          <w:rPr>
            <w:rFonts w:ascii="Cambria Math" w:eastAsiaTheme="minorEastAsia" w:hAnsi="Cambria Math"/>
          </w:rPr>
          <m:t xml:space="preserve"> ≠ l.</m:t>
        </m:r>
      </m:oMath>
      <w:r>
        <w:rPr>
          <w:rFonts w:eastAsiaTheme="minorEastAsia"/>
        </w:rPr>
        <w:t xml:space="preserve"> However, </w:t>
      </w:r>
      <w:r w:rsidR="001F447D">
        <w:rPr>
          <w:rFonts w:eastAsiaTheme="minorEastAsia"/>
        </w:rPr>
        <w:t>th</w:t>
      </w:r>
      <w:r w:rsidR="00DE62DF">
        <w:rPr>
          <w:rFonts w:eastAsiaTheme="minorEastAsia"/>
        </w:rPr>
        <w:t>is</w:t>
      </w:r>
      <w:r w:rsidR="001F447D">
        <w:rPr>
          <w:rFonts w:eastAsiaTheme="minorEastAsia"/>
        </w:rPr>
        <w:t xml:space="preserve"> power can only be borrowed from the layers that </w:t>
      </w:r>
      <w:r w:rsidR="00DE62DF">
        <w:rPr>
          <w:rFonts w:eastAsiaTheme="minorEastAsia"/>
        </w:rPr>
        <w:t xml:space="preserve">are </w:t>
      </w:r>
      <w:r w:rsidR="001F447D">
        <w:rPr>
          <w:rFonts w:eastAsiaTheme="minorEastAsia"/>
        </w:rPr>
        <w:t xml:space="preserve">coherently precoded with the PUSCH layer </w:t>
      </w:r>
      <m:oMath>
        <m:r>
          <w:rPr>
            <w:rFonts w:ascii="Cambria Math" w:eastAsiaTheme="minorEastAsia" w:hAnsi="Cambria Math"/>
          </w:rPr>
          <m:t>l</m:t>
        </m:r>
      </m:oMath>
      <w:r w:rsidR="001F447D">
        <w:rPr>
          <w:rFonts w:eastAsiaTheme="minorEastAsia"/>
        </w:rPr>
        <w:t xml:space="preserve">, i.e., </w:t>
      </w:r>
      <m:oMath>
        <m:r>
          <w:rPr>
            <w:rFonts w:ascii="Cambria Math" w:eastAsiaTheme="minorEastAsia" w:hAnsi="Cambria Math"/>
          </w:rPr>
          <m:t>l</m:t>
        </m:r>
      </m:oMath>
      <w:r w:rsidR="001F447D">
        <w:rPr>
          <w:rFonts w:eastAsiaTheme="minorEastAsia"/>
        </w:rPr>
        <w:t xml:space="preserve"> and </w:t>
      </w:r>
      <m:oMath>
        <m:sSup>
          <m:sSupPr>
            <m:ctrlPr>
              <w:rPr>
                <w:rFonts w:ascii="Cambria Math" w:eastAsiaTheme="minorEastAsia" w:hAnsi="Cambria Math"/>
                <w:i/>
              </w:rPr>
            </m:ctrlPr>
          </m:sSupPr>
          <m:e>
            <m:r>
              <w:rPr>
                <w:rFonts w:ascii="Cambria Math" w:eastAsiaTheme="minorEastAsia" w:hAnsi="Cambria Math"/>
              </w:rPr>
              <m:t>l</m:t>
            </m:r>
          </m:e>
          <m:sup>
            <m:r>
              <w:rPr>
                <w:rFonts w:ascii="Cambria Math" w:eastAsiaTheme="minorEastAsia" w:hAnsi="Cambria Math"/>
              </w:rPr>
              <m:t>'</m:t>
            </m:r>
          </m:sup>
        </m:sSup>
      </m:oMath>
      <w:r w:rsidR="001F447D">
        <w:rPr>
          <w:rFonts w:eastAsiaTheme="minorEastAsia"/>
        </w:rPr>
        <w:t xml:space="preserve"> should belong to the same coherent group. </w:t>
      </w:r>
    </w:p>
    <w:p w14:paraId="37662830" w14:textId="2CBD9319" w:rsidR="001F447D" w:rsidRDefault="001F447D" w:rsidP="00980E4E">
      <w:pPr>
        <w:rPr>
          <w:rFonts w:eastAsiaTheme="minorEastAsia"/>
        </w:rPr>
      </w:pPr>
      <w:r w:rsidRPr="00CD52E7">
        <w:rPr>
          <w:rFonts w:eastAsiaTheme="minorEastAsia"/>
          <w:b/>
        </w:rPr>
        <w:t xml:space="preserve">R3) </w:t>
      </w:r>
      <w:r w:rsidRPr="00CD52E7">
        <w:rPr>
          <w:rFonts w:eastAsiaTheme="minorEastAsia"/>
        </w:rPr>
        <w:t xml:space="preserve">Maximum transmit power </w:t>
      </w:r>
      <w:r>
        <w:rPr>
          <w:rFonts w:eastAsiaTheme="minorEastAsia"/>
        </w:rPr>
        <w:t>on</w:t>
      </w:r>
      <w:r w:rsidRPr="00CD52E7">
        <w:rPr>
          <w:rFonts w:eastAsiaTheme="minorEastAsia"/>
        </w:rPr>
        <w:t xml:space="preserve"> PTRS tones:</w:t>
      </w:r>
    </w:p>
    <w:p w14:paraId="55731A21" w14:textId="7AA01154" w:rsidR="001F447D" w:rsidRDefault="003A0D6E" w:rsidP="00980E4E">
      <w:pPr>
        <w:rPr>
          <w:rFonts w:eastAsiaTheme="minorEastAsia"/>
        </w:rPr>
      </w:pPr>
      <w:r>
        <w:rPr>
          <w:rFonts w:eastAsiaTheme="minorEastAsia"/>
        </w:rPr>
        <w:t>For each panel, t</w:t>
      </w:r>
      <w:r w:rsidR="001F447D">
        <w:rPr>
          <w:rFonts w:eastAsiaTheme="minorEastAsia"/>
        </w:rPr>
        <w:t xml:space="preserve">ransmit power on PTRS tones should be capped by the total transmit power on the PUSCH </w:t>
      </w:r>
      <w:r>
        <w:rPr>
          <w:rFonts w:eastAsiaTheme="minorEastAsia"/>
        </w:rPr>
        <w:t>tones</w:t>
      </w:r>
      <w:r w:rsidR="00761AC3">
        <w:rPr>
          <w:rFonts w:eastAsiaTheme="minorEastAsia"/>
        </w:rPr>
        <w:t xml:space="preserve"> from that panel</w:t>
      </w:r>
      <w:r>
        <w:rPr>
          <w:rFonts w:eastAsiaTheme="minorEastAsia"/>
        </w:rPr>
        <w:t xml:space="preserve">. </w:t>
      </w:r>
      <w:r w:rsidR="000A12D4">
        <w:rPr>
          <w:rFonts w:eastAsiaTheme="minorEastAsia"/>
        </w:rPr>
        <w:t xml:space="preserve">In other words, </w:t>
      </w:r>
      <w:r w:rsidR="005F65D5">
        <w:rPr>
          <w:rFonts w:eastAsiaTheme="minorEastAsia"/>
        </w:rPr>
        <w:t xml:space="preserve">for each panel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r>
          <w:rPr>
            <w:rFonts w:ascii="Cambria Math" w:eastAsiaTheme="minorEastAsia" w:hAnsi="Cambria Math"/>
          </w:rPr>
          <m:t xml:space="preserve"> , </m:t>
        </m:r>
      </m:oMath>
      <w:r w:rsidR="000A12D4">
        <w:rPr>
          <w:rFonts w:eastAsiaTheme="minorEastAsia"/>
        </w:rPr>
        <w:t xml:space="preserve">the PTRS power boost value in dB should not exceed </w:t>
      </w:r>
      <m:oMath>
        <m:r>
          <w:rPr>
            <w:rFonts w:ascii="Cambria Math" w:eastAsiaTheme="minorEastAsia" w:hAnsi="Cambria Math"/>
          </w:rPr>
          <m:t>10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10</m:t>
                </m:r>
              </m:sub>
            </m:sSub>
          </m:fName>
          <m:e>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layer</m:t>
                </m:r>
              </m:sub>
              <m:sup>
                <m:r>
                  <w:rPr>
                    <w:rFonts w:ascii="Cambria Math" w:eastAsiaTheme="minorEastAsia" w:hAnsi="Cambria Math"/>
                  </w:rPr>
                  <m:t>PUSC</m:t>
                </m:r>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sub>
                </m:sSub>
              </m:sup>
            </m:sSubSup>
          </m:e>
        </m:func>
      </m:oMath>
      <w:r w:rsidR="005F65D5">
        <w:rPr>
          <w:rFonts w:eastAsiaTheme="minorEastAsia"/>
        </w:rPr>
        <w:t xml:space="preserve"> where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layer</m:t>
            </m:r>
          </m:sub>
          <m:sup>
            <m:r>
              <w:rPr>
                <w:rFonts w:ascii="Cambria Math" w:eastAsiaTheme="minorEastAsia" w:hAnsi="Cambria Math"/>
              </w:rPr>
              <m:t>PUSC</m:t>
            </m:r>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sub>
            </m:sSub>
          </m:sup>
        </m:sSubSup>
      </m:oMath>
      <w:r w:rsidR="005F65D5">
        <w:rPr>
          <w:rFonts w:eastAsiaTheme="minorEastAsia"/>
        </w:rPr>
        <w:t>is the total number of PUSCH layers transmitted from panel</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oMath>
      <w:r w:rsidR="005F65D5">
        <w:rPr>
          <w:rFonts w:eastAsiaTheme="minorEastAsia"/>
        </w:rPr>
        <w:t xml:space="preserve">. This restriction is aligned with the PTRS power boost values in legacy Table 6.2.3.1-3 of 38.214, where, for a single panel transmission, the PTRS power boost value in dB is upper bounded by </w:t>
      </w:r>
      <m:oMath>
        <m:r>
          <w:rPr>
            <w:rFonts w:ascii="Cambria Math" w:eastAsiaTheme="minorEastAsia" w:hAnsi="Cambria Math"/>
          </w:rPr>
          <m:t>10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10</m:t>
                </m:r>
                <m:ctrlPr>
                  <w:rPr>
                    <w:rFonts w:ascii="Cambria Math" w:eastAsiaTheme="minorEastAsia" w:hAnsi="Cambria Math"/>
                  </w:rPr>
                </m:ctrlPr>
              </m:sub>
            </m:sSub>
          </m:fName>
          <m:e>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layer</m:t>
                </m:r>
              </m:sub>
              <m:sup>
                <m:r>
                  <w:rPr>
                    <w:rFonts w:ascii="Cambria Math" w:eastAsiaTheme="minorEastAsia" w:hAnsi="Cambria Math"/>
                  </w:rPr>
                  <m:t>PUSCH</m:t>
                </m:r>
              </m:sup>
            </m:sSubSup>
          </m:e>
        </m:func>
        <m:r>
          <w:rPr>
            <w:rFonts w:ascii="Cambria Math" w:eastAsiaTheme="minorEastAsia" w:hAnsi="Cambria Math"/>
          </w:rPr>
          <m:t>.</m:t>
        </m:r>
      </m:oMath>
    </w:p>
    <w:p w14:paraId="4BAAD7CD" w14:textId="77777777" w:rsidR="001F447D" w:rsidRDefault="001F447D" w:rsidP="00980E4E">
      <w:pPr>
        <w:rPr>
          <w:rFonts w:eastAsiaTheme="minorEastAsia"/>
          <w:b/>
        </w:rPr>
      </w:pPr>
    </w:p>
    <w:p w14:paraId="6E8CF156" w14:textId="4714AC9A" w:rsidR="00DE62DF" w:rsidRDefault="00DE62DF" w:rsidP="00980E4E">
      <w:pPr>
        <w:rPr>
          <w:rFonts w:eastAsiaTheme="minorEastAsia"/>
        </w:rPr>
      </w:pPr>
      <w:r w:rsidRPr="00CD52E7">
        <w:rPr>
          <w:rFonts w:eastAsiaTheme="minorEastAsia"/>
        </w:rPr>
        <w:t>Now, let us have a look at the</w:t>
      </w:r>
      <w:r>
        <w:rPr>
          <w:rFonts w:eastAsiaTheme="minorEastAsia"/>
        </w:rPr>
        <w:t xml:space="preserve"> PTRS power boosting issue for the SDM transmission scheme. For SDM, one or two PUSCH layers are associated with each SRS resource set (i.e., panel) and, if </w:t>
      </w:r>
      <m:oMath>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p</m:t>
            </m:r>
          </m:sub>
        </m:sSub>
      </m:oMath>
      <w:r>
        <w:rPr>
          <w:rFonts w:eastAsiaTheme="minorEastAsia"/>
        </w:rPr>
        <w:t xml:space="preserve">=2, one PTRS port is associated with the first SRS resource set and the other PTRS port is associated with the second SRS resource set. </w:t>
      </w:r>
    </w:p>
    <w:p w14:paraId="71697E37" w14:textId="209F477E" w:rsidR="00DE62DF" w:rsidRDefault="00DE62DF" w:rsidP="00980E4E">
      <w:pPr>
        <w:rPr>
          <w:rFonts w:eastAsiaTheme="minorEastAsia"/>
        </w:rPr>
      </w:pPr>
    </w:p>
    <w:p w14:paraId="19867049" w14:textId="7BFF40C3" w:rsidR="00AD31EE" w:rsidRDefault="004F531F" w:rsidP="00980E4E">
      <w:r>
        <w:t>W</w:t>
      </w:r>
      <w:r w:rsidR="003A0D6E">
        <w:t xml:space="preserve">hen the number of PUSCH layers associated with the SRS resource set is one, </w:t>
      </w:r>
      <w:r>
        <w:t xml:space="preserve">since at most one PTRS port per SRS resource set can be scheduled, </w:t>
      </w:r>
      <w:r w:rsidR="003A0D6E">
        <w:t xml:space="preserve">the PTRS port is transmitted with the same power as the associated PUSCH layer and, due to </w:t>
      </w:r>
      <w:r w:rsidR="003A0D6E" w:rsidRPr="00CD52E7">
        <w:rPr>
          <w:b/>
        </w:rPr>
        <w:t>R3</w:t>
      </w:r>
      <w:r w:rsidR="003A0D6E">
        <w:t xml:space="preserve">, no power boosting is required. </w:t>
      </w:r>
    </w:p>
    <w:p w14:paraId="270EA958" w14:textId="78836DE8" w:rsidR="003A0D6E" w:rsidRDefault="003A0D6E" w:rsidP="00980E4E">
      <w:pPr>
        <w:rPr>
          <w:rFonts w:eastAsiaTheme="minorEastAsia"/>
        </w:rPr>
      </w:pPr>
    </w:p>
    <w:p w14:paraId="5CE4FA32" w14:textId="2BAD6AB9" w:rsidR="004F531F" w:rsidRDefault="003A0D6E" w:rsidP="004F531F">
      <w:pPr>
        <w:rPr>
          <w:rFonts w:eastAsiaTheme="minorEastAsia"/>
        </w:rPr>
      </w:pPr>
      <w:r>
        <w:t xml:space="preserve">When the number of PUSCH layers associated with the SRS resource set is two, </w:t>
      </w:r>
      <w:r w:rsidR="004F531F">
        <w:t xml:space="preserve">due to </w:t>
      </w:r>
      <w:r w:rsidR="004F531F" w:rsidRPr="00CD52E7">
        <w:rPr>
          <w:b/>
        </w:rPr>
        <w:t>R3</w:t>
      </w:r>
      <w:r w:rsidR="004F531F">
        <w:t xml:space="preserve">, at most 3dB PTRS power boosting may be </w:t>
      </w:r>
      <w:r w:rsidR="00761AC3">
        <w:t>supported</w:t>
      </w:r>
      <w:r w:rsidR="004F531F">
        <w:t>.</w:t>
      </w:r>
      <w:r w:rsidR="00883B8B">
        <w:t xml:space="preserve"> </w:t>
      </w:r>
      <w:r w:rsidR="00FB27E9">
        <w:t xml:space="preserve">Conditioned </w:t>
      </w:r>
      <w:r w:rsidR="00DC723C">
        <w:t xml:space="preserve">on </w:t>
      </w:r>
      <w:r w:rsidR="00FB27E9">
        <w:t xml:space="preserve">the restrictions imposed by </w:t>
      </w:r>
      <w:r w:rsidR="00FB27E9" w:rsidRPr="00CD52E7">
        <w:rPr>
          <w:b/>
        </w:rPr>
        <w:t>R1</w:t>
      </w:r>
      <w:r w:rsidR="00FB27E9">
        <w:t xml:space="preserve"> and </w:t>
      </w:r>
      <w:r w:rsidR="00FB27E9" w:rsidRPr="00CD52E7">
        <w:rPr>
          <w:b/>
        </w:rPr>
        <w:t>R2</w:t>
      </w:r>
      <w:r w:rsidR="00FB27E9">
        <w:t>, t</w:t>
      </w:r>
      <w:r w:rsidR="00883B8B">
        <w:t xml:space="preserve">o accommodate such power boosting, if </w:t>
      </w:r>
      <m:oMath>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p</m:t>
            </m:r>
          </m:sub>
        </m:sSub>
      </m:oMath>
      <w:r w:rsidR="00883B8B">
        <w:rPr>
          <w:rFonts w:eastAsiaTheme="minorEastAsia"/>
        </w:rPr>
        <w:t xml:space="preserve">=1, i.e., only one of the two SRS resource sets is associated with a PTRS port, </w:t>
      </w:r>
      <w:r w:rsidR="00883B8B" w:rsidRPr="00CD52E7">
        <w:rPr>
          <w:rFonts w:eastAsiaTheme="minorEastAsia"/>
          <w:b/>
        </w:rPr>
        <w:t>S1</w:t>
      </w:r>
      <w:r w:rsidR="00883B8B">
        <w:rPr>
          <w:rFonts w:eastAsiaTheme="minorEastAsia"/>
        </w:rPr>
        <w:t xml:space="preserve"> </w:t>
      </w:r>
      <w:r w:rsidR="00FB27E9">
        <w:rPr>
          <w:rFonts w:eastAsiaTheme="minorEastAsia"/>
        </w:rPr>
        <w:t>may be</w:t>
      </w:r>
      <w:r w:rsidR="00883B8B">
        <w:rPr>
          <w:rFonts w:eastAsiaTheme="minorEastAsia"/>
        </w:rPr>
        <w:t xml:space="preserve"> available to boost the PTRS port power and, if </w:t>
      </w:r>
      <m:oMath>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p</m:t>
            </m:r>
          </m:sub>
        </m:sSub>
      </m:oMath>
      <w:r w:rsidR="00883B8B">
        <w:rPr>
          <w:rFonts w:eastAsiaTheme="minorEastAsia"/>
        </w:rPr>
        <w:t xml:space="preserve">=2, </w:t>
      </w:r>
      <w:r w:rsidR="00883B8B">
        <w:t xml:space="preserve">i.e., </w:t>
      </w:r>
      <w:r w:rsidR="00883B8B">
        <w:rPr>
          <w:rFonts w:eastAsiaTheme="minorEastAsia"/>
        </w:rPr>
        <w:t xml:space="preserve">each one of the two SRS resource sets is associated with a PTRS port, </w:t>
      </w:r>
      <w:r w:rsidR="00883B8B" w:rsidRPr="00CD52E7">
        <w:rPr>
          <w:rFonts w:eastAsiaTheme="minorEastAsia"/>
          <w:b/>
        </w:rPr>
        <w:t>S1</w:t>
      </w:r>
      <w:r w:rsidR="00883B8B">
        <w:rPr>
          <w:rFonts w:eastAsiaTheme="minorEastAsia"/>
        </w:rPr>
        <w:t xml:space="preserve"> and/or </w:t>
      </w:r>
      <w:r w:rsidR="00883B8B" w:rsidRPr="00CD52E7">
        <w:rPr>
          <w:rFonts w:eastAsiaTheme="minorEastAsia"/>
          <w:b/>
        </w:rPr>
        <w:t>S2</w:t>
      </w:r>
      <w:r w:rsidR="00883B8B">
        <w:rPr>
          <w:rFonts w:eastAsiaTheme="minorEastAsia"/>
        </w:rPr>
        <w:t xml:space="preserve"> </w:t>
      </w:r>
      <w:r w:rsidR="00FB27E9">
        <w:rPr>
          <w:rFonts w:eastAsiaTheme="minorEastAsia"/>
        </w:rPr>
        <w:t>may be</w:t>
      </w:r>
      <w:r w:rsidR="00883B8B">
        <w:rPr>
          <w:rFonts w:eastAsiaTheme="minorEastAsia"/>
        </w:rPr>
        <w:t xml:space="preserve"> available to boost the power of each of the two PTRS ports. For such scenario, the following two cases can be distinguished: </w:t>
      </w:r>
    </w:p>
    <w:p w14:paraId="65A7E585" w14:textId="77777777" w:rsidR="00883B8B" w:rsidRDefault="00883B8B" w:rsidP="004F531F"/>
    <w:p w14:paraId="6CCD889C" w14:textId="1F7D3129" w:rsidR="00FB27E9" w:rsidRPr="00CD52E7" w:rsidRDefault="004F531F" w:rsidP="00FB27E9">
      <w:pPr>
        <w:pStyle w:val="a3"/>
        <w:numPr>
          <w:ilvl w:val="0"/>
          <w:numId w:val="49"/>
        </w:numPr>
        <w:ind w:firstLineChars="0"/>
        <w:rPr>
          <w:rFonts w:eastAsiaTheme="minorEastAsia"/>
        </w:rPr>
      </w:pPr>
      <w:r>
        <w:t>UE is equipped with full-range PA</w:t>
      </w:r>
      <w:r w:rsidR="00FB27E9">
        <w:t xml:space="preserve"> </w:t>
      </w:r>
      <m:oMath>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α</m:t>
            </m:r>
          </m:e>
          <m:sub>
            <m:r>
              <w:rPr>
                <w:rFonts w:ascii="Cambria Math" w:eastAsiaTheme="minorEastAsia" w:hAnsi="Cambria Math"/>
              </w:rPr>
              <m:t>PTRS</m:t>
            </m:r>
          </m:sub>
          <m:sup>
            <m:r>
              <w:rPr>
                <w:rFonts w:ascii="Cambria Math" w:eastAsiaTheme="minorEastAsia" w:hAnsi="Cambria Math"/>
              </w:rPr>
              <m:t>PUSCH</m:t>
            </m:r>
          </m:sup>
        </m:sSubSup>
        <m:r>
          <w:rPr>
            <w:rFonts w:ascii="Cambria Math" w:eastAsiaTheme="minorEastAsia" w:hAnsi="Cambria Math"/>
          </w:rPr>
          <m:t>=01)</m:t>
        </m:r>
      </m:oMath>
      <w:r>
        <w:t xml:space="preserve">: Regardless of the precoder coherency type, the 3dB power boosting is attainable by </w:t>
      </w:r>
      <w:r w:rsidR="00883B8B">
        <w:t>increasing the Tx power of the antenna(s) that transmit the PUSCH layer associated with</w:t>
      </w:r>
      <w:r w:rsidRPr="00CD52E7">
        <w:t xml:space="preserve"> </w:t>
      </w:r>
      <w:r w:rsidR="00FB27E9" w:rsidRPr="00CD52E7">
        <w:t>the PTRS port.</w:t>
      </w:r>
    </w:p>
    <w:p w14:paraId="5309A01E" w14:textId="36E40131" w:rsidR="00D95879" w:rsidRDefault="00FB27E9" w:rsidP="00FB27E9">
      <w:pPr>
        <w:pStyle w:val="a3"/>
        <w:numPr>
          <w:ilvl w:val="0"/>
          <w:numId w:val="49"/>
        </w:numPr>
        <w:ind w:firstLineChars="0"/>
        <w:rPr>
          <w:rFonts w:eastAsiaTheme="minorEastAsia"/>
        </w:rPr>
      </w:pPr>
      <w:r>
        <w:rPr>
          <w:rFonts w:eastAsiaTheme="minorEastAsia"/>
        </w:rPr>
        <w:t>UE is equipped with partial-range PA (</w:t>
      </w:r>
      <m:oMath>
        <m:sSubSup>
          <m:sSubSupPr>
            <m:ctrlPr>
              <w:rPr>
                <w:rFonts w:ascii="Cambria Math" w:eastAsiaTheme="minorEastAsia" w:hAnsi="Cambria Math"/>
                <w:i/>
              </w:rPr>
            </m:ctrlPr>
          </m:sSubSupPr>
          <m:e>
            <m:r>
              <w:rPr>
                <w:rFonts w:ascii="Cambria Math" w:eastAsiaTheme="minorEastAsia" w:hAnsi="Cambria Math"/>
              </w:rPr>
              <m:t>α</m:t>
            </m:r>
          </m:e>
          <m:sub>
            <m:r>
              <w:rPr>
                <w:rFonts w:ascii="Cambria Math" w:eastAsiaTheme="minorEastAsia" w:hAnsi="Cambria Math"/>
              </w:rPr>
              <m:t>PTRS</m:t>
            </m:r>
          </m:sub>
          <m:sup>
            <m:r>
              <w:rPr>
                <w:rFonts w:ascii="Cambria Math" w:eastAsiaTheme="minorEastAsia" w:hAnsi="Cambria Math"/>
              </w:rPr>
              <m:t>PUSCH</m:t>
            </m:r>
          </m:sup>
        </m:sSubSup>
        <m:r>
          <w:rPr>
            <w:rFonts w:ascii="Cambria Math" w:eastAsiaTheme="minorEastAsia" w:hAnsi="Cambria Math"/>
          </w:rPr>
          <m:t>=00)</m:t>
        </m:r>
      </m:oMath>
      <w:r>
        <w:rPr>
          <w:rFonts w:eastAsiaTheme="minorEastAsia"/>
        </w:rPr>
        <w:t xml:space="preserve">: </w:t>
      </w:r>
      <w:r w:rsidR="00922557">
        <w:rPr>
          <w:rFonts w:eastAsiaTheme="minorEastAsia"/>
        </w:rPr>
        <w:t xml:space="preserve">The following two sub-cases </w:t>
      </w:r>
      <w:r w:rsidR="00D95879">
        <w:rPr>
          <w:rFonts w:eastAsiaTheme="minorEastAsia"/>
        </w:rPr>
        <w:t xml:space="preserve">can be </w:t>
      </w:r>
      <w:r w:rsidR="00051546">
        <w:rPr>
          <w:rFonts w:eastAsiaTheme="minorEastAsia"/>
        </w:rPr>
        <w:t>identified</w:t>
      </w:r>
      <w:r w:rsidR="00D95879">
        <w:rPr>
          <w:rFonts w:eastAsiaTheme="minorEastAsia"/>
        </w:rPr>
        <w:t>:</w:t>
      </w:r>
    </w:p>
    <w:p w14:paraId="3173F97D" w14:textId="77777777" w:rsidR="00D95879" w:rsidRDefault="002007F5" w:rsidP="00D95879">
      <w:pPr>
        <w:pStyle w:val="a3"/>
        <w:numPr>
          <w:ilvl w:val="1"/>
          <w:numId w:val="49"/>
        </w:numPr>
        <w:ind w:firstLineChars="0"/>
        <w:rPr>
          <w:rFonts w:eastAsiaTheme="minorEastAsia"/>
        </w:rPr>
      </w:pPr>
      <w:r>
        <w:rPr>
          <w:rFonts w:eastAsiaTheme="minorEastAsia"/>
        </w:rPr>
        <w:t xml:space="preserve">If the precoder is fully coherent, since the second (first) PUSCH layer is not transmitted on the PTRS tones associated with the first (second) layer and antennas are capable of coherent transmission, </w:t>
      </w:r>
      <w:r w:rsidR="00360E81">
        <w:rPr>
          <w:rFonts w:eastAsiaTheme="minorEastAsia"/>
        </w:rPr>
        <w:t xml:space="preserve">regardless of the value of </w:t>
      </w:r>
      <m:oMath>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p</m:t>
            </m:r>
          </m:sub>
        </m:sSub>
      </m:oMath>
      <w:r w:rsidR="00360E81">
        <w:rPr>
          <w:rFonts w:eastAsiaTheme="minorEastAsia"/>
        </w:rPr>
        <w:t xml:space="preserve">, </w:t>
      </w:r>
      <w:r w:rsidR="00360E81" w:rsidRPr="00CD52E7">
        <w:rPr>
          <w:rFonts w:eastAsiaTheme="minorEastAsia"/>
          <w:b/>
        </w:rPr>
        <w:t>S1</w:t>
      </w:r>
      <w:r w:rsidR="00360E81">
        <w:rPr>
          <w:rFonts w:eastAsiaTheme="minorEastAsia"/>
        </w:rPr>
        <w:t xml:space="preserve"> may be utilized to power boost the PTRS by 3dB. </w:t>
      </w:r>
    </w:p>
    <w:p w14:paraId="6409D6E7" w14:textId="35D0F0AA" w:rsidR="001F447D" w:rsidRPr="00CD52E7" w:rsidRDefault="00360E81" w:rsidP="00CD52E7">
      <w:pPr>
        <w:pStyle w:val="a3"/>
        <w:numPr>
          <w:ilvl w:val="1"/>
          <w:numId w:val="49"/>
        </w:numPr>
        <w:ind w:firstLineChars="0"/>
        <w:rPr>
          <w:rFonts w:eastAsiaTheme="minorEastAsia"/>
        </w:rPr>
      </w:pPr>
      <w:r>
        <w:rPr>
          <w:rFonts w:eastAsiaTheme="minorEastAsia"/>
        </w:rPr>
        <w:t xml:space="preserve">If the precoder is </w:t>
      </w:r>
      <w:r>
        <w:rPr>
          <w:rFonts w:eastAsia="Batang" w:cs="Arial"/>
          <w:szCs w:val="18"/>
          <w:lang w:eastAsia="ko-KR"/>
        </w:rPr>
        <w:t>partially coherent or non-coherent or for the non-codebook based</w:t>
      </w:r>
      <w:r w:rsidR="00FB27E9">
        <w:rPr>
          <w:rFonts w:eastAsiaTheme="minorEastAsia"/>
        </w:rPr>
        <w:t xml:space="preserve"> </w:t>
      </w:r>
      <w:r>
        <w:rPr>
          <w:rFonts w:eastAsiaTheme="minorEastAsia"/>
        </w:rPr>
        <w:t xml:space="preserve">transmission, if </w:t>
      </w:r>
      <m:oMath>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p</m:t>
            </m:r>
          </m:sub>
        </m:sSub>
        <m:r>
          <w:rPr>
            <w:rFonts w:ascii="Cambria Math" w:eastAsiaTheme="minorEastAsia" w:hAnsi="Cambria Math"/>
          </w:rPr>
          <m:t>=1</m:t>
        </m:r>
      </m:oMath>
      <w:r>
        <w:rPr>
          <w:rFonts w:eastAsiaTheme="minorEastAsia"/>
        </w:rPr>
        <w:t xml:space="preserve">, </w:t>
      </w:r>
      <w:r w:rsidRPr="00CD52E7">
        <w:rPr>
          <w:rFonts w:eastAsiaTheme="minorEastAsia"/>
          <w:b/>
        </w:rPr>
        <w:t>S2</w:t>
      </w:r>
      <w:r>
        <w:rPr>
          <w:rFonts w:eastAsiaTheme="minorEastAsia"/>
        </w:rPr>
        <w:t xml:space="preserve"> is not available and </w:t>
      </w:r>
      <w:r w:rsidR="008642C1" w:rsidRPr="00A437F3">
        <w:rPr>
          <w:rFonts w:eastAsiaTheme="minorEastAsia"/>
          <w:b/>
        </w:rPr>
        <w:t>S1</w:t>
      </w:r>
      <w:r w:rsidR="008642C1">
        <w:rPr>
          <w:rFonts w:eastAsiaTheme="minorEastAsia"/>
          <w:b/>
        </w:rPr>
        <w:t xml:space="preserve">, </w:t>
      </w:r>
      <w:r w:rsidR="008642C1" w:rsidRPr="00CD52E7">
        <w:rPr>
          <w:rFonts w:eastAsiaTheme="minorEastAsia"/>
        </w:rPr>
        <w:t xml:space="preserve">although </w:t>
      </w:r>
      <w:r w:rsidR="00922557">
        <w:rPr>
          <w:rFonts w:eastAsiaTheme="minorEastAsia"/>
        </w:rPr>
        <w:t xml:space="preserve">potentially </w:t>
      </w:r>
      <w:r w:rsidR="008642C1" w:rsidRPr="00CD52E7">
        <w:rPr>
          <w:rFonts w:eastAsiaTheme="minorEastAsia"/>
        </w:rPr>
        <w:t xml:space="preserve">available, </w:t>
      </w:r>
      <w:r w:rsidR="008642C1" w:rsidRPr="00CD52E7">
        <w:rPr>
          <w:rFonts w:eastAsiaTheme="minorEastAsia"/>
        </w:rPr>
        <w:lastRenderedPageBreak/>
        <w:t xml:space="preserve">cannot be utilized since </w:t>
      </w:r>
      <w:r w:rsidR="00922557" w:rsidRPr="00CD52E7">
        <w:rPr>
          <w:rFonts w:eastAsiaTheme="minorEastAsia"/>
        </w:rPr>
        <w:t xml:space="preserve">antennas that transmit second (first) PUSCH layer cannot be pooled together with the antennas that transmit first (second) PUSCH layer to transmit </w:t>
      </w:r>
      <w:r w:rsidR="00922557">
        <w:rPr>
          <w:rFonts w:eastAsiaTheme="minorEastAsia"/>
        </w:rPr>
        <w:t xml:space="preserve">PTRS associated with the </w:t>
      </w:r>
      <w:r w:rsidR="00922557" w:rsidRPr="00A437F3">
        <w:rPr>
          <w:rFonts w:eastAsiaTheme="minorEastAsia"/>
        </w:rPr>
        <w:t>first (second) PUSCH layer</w:t>
      </w:r>
      <w:r w:rsidR="00922557">
        <w:rPr>
          <w:rFonts w:eastAsiaTheme="minorEastAsia"/>
        </w:rPr>
        <w:t xml:space="preserve">. </w:t>
      </w:r>
      <w:r w:rsidR="00D95879">
        <w:rPr>
          <w:rFonts w:eastAsiaTheme="minorEastAsia"/>
        </w:rPr>
        <w:t xml:space="preserve">However, when </w:t>
      </w:r>
      <m:oMath>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p</m:t>
            </m:r>
          </m:sub>
        </m:sSub>
        <m:r>
          <w:rPr>
            <w:rFonts w:ascii="Cambria Math" w:eastAsiaTheme="minorEastAsia" w:hAnsi="Cambria Math"/>
          </w:rPr>
          <m:t>=2</m:t>
        </m:r>
      </m:oMath>
      <w:r w:rsidR="00D95879">
        <w:rPr>
          <w:rFonts w:eastAsiaTheme="minorEastAsia"/>
        </w:rPr>
        <w:t xml:space="preserve">, </w:t>
      </w:r>
      <w:r w:rsidR="00A92778" w:rsidRPr="00CD52E7">
        <w:rPr>
          <w:rFonts w:eastAsiaTheme="minorEastAsia"/>
          <w:b/>
        </w:rPr>
        <w:t>S2</w:t>
      </w:r>
      <w:r w:rsidR="00A92778">
        <w:rPr>
          <w:rFonts w:eastAsiaTheme="minorEastAsia"/>
        </w:rPr>
        <w:t xml:space="preserve"> is available since, </w:t>
      </w:r>
      <w:r w:rsidR="0050580A">
        <w:rPr>
          <w:rFonts w:eastAsiaTheme="minorEastAsia"/>
        </w:rPr>
        <w:t xml:space="preserve">there will be </w:t>
      </w:r>
      <w:r w:rsidR="00A92778">
        <w:rPr>
          <w:rFonts w:eastAsiaTheme="minorEastAsia"/>
          <w:u w:val="single"/>
        </w:rPr>
        <w:t>silent</w:t>
      </w:r>
      <w:r w:rsidR="0050580A">
        <w:rPr>
          <w:rFonts w:eastAsiaTheme="minorEastAsia"/>
        </w:rPr>
        <w:t xml:space="preserve"> tones </w:t>
      </w:r>
      <m:oMath>
        <m:sSub>
          <m:sSubPr>
            <m:ctrlPr>
              <w:rPr>
                <w:rFonts w:ascii="Cambria Math" w:eastAsiaTheme="minorEastAsia" w:hAnsi="Cambria Math"/>
                <w:i/>
              </w:rPr>
            </m:ctrlPr>
          </m:sSubPr>
          <m:e>
            <m:r>
              <w:rPr>
                <w:rFonts w:ascii="Cambria Math" w:eastAsiaTheme="minorEastAsia" w:hAnsi="Cambria Math"/>
              </w:rPr>
              <m:t>T</m:t>
            </m:r>
          </m:e>
          <m:sub>
            <m:sSub>
              <m:sSubPr>
                <m:ctrlPr>
                  <w:rPr>
                    <w:rFonts w:ascii="Cambria Math" w:eastAsiaTheme="minorEastAsia" w:hAnsi="Cambria Math"/>
                    <w:i/>
                  </w:rPr>
                </m:ctrlPr>
              </m:sSubPr>
              <m:e>
                <m:r>
                  <w:rPr>
                    <w:rFonts w:ascii="Cambria Math" w:eastAsiaTheme="minorEastAsia" w:hAnsi="Cambria Math"/>
                  </w:rPr>
                  <m:t>Panel</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PTRS</m:t>
                </m:r>
              </m:e>
              <m:sub>
                <m:r>
                  <w:rPr>
                    <w:rFonts w:ascii="Cambria Math" w:eastAsiaTheme="minorEastAsia" w:hAnsi="Cambria Math"/>
                  </w:rPr>
                  <m:t>Pane</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2</m:t>
                    </m:r>
                  </m:sub>
                </m:sSub>
              </m:sub>
            </m:sSub>
          </m:sub>
        </m:sSub>
        <m:r>
          <w:rPr>
            <w:rFonts w:ascii="Cambria Math" w:eastAsiaTheme="minorEastAsia" w:hAnsi="Cambria Math"/>
          </w:rPr>
          <m:t xml:space="preserve"> </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sSub>
                  <m:sSubPr>
                    <m:ctrlPr>
                      <w:rPr>
                        <w:rFonts w:ascii="Cambria Math" w:eastAsiaTheme="minorEastAsia" w:hAnsi="Cambria Math"/>
                        <w:i/>
                      </w:rPr>
                    </m:ctrlPr>
                  </m:sSubPr>
                  <m:e>
                    <m:r>
                      <w:rPr>
                        <w:rFonts w:ascii="Cambria Math" w:eastAsiaTheme="minorEastAsia" w:hAnsi="Cambria Math"/>
                      </w:rPr>
                      <m:t>Panel</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PTRS</m:t>
                    </m:r>
                  </m:e>
                  <m:sub>
                    <m:r>
                      <w:rPr>
                        <w:rFonts w:ascii="Cambria Math" w:eastAsiaTheme="minorEastAsia" w:hAnsi="Cambria Math"/>
                      </w:rPr>
                      <m:t>Pane</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1</m:t>
                        </m:r>
                      </m:sub>
                    </m:sSub>
                  </m:sub>
                </m:sSub>
              </m:sub>
            </m:sSub>
          </m:e>
        </m:d>
      </m:oMath>
      <w:r w:rsidR="0050580A">
        <w:rPr>
          <w:rFonts w:eastAsiaTheme="minorEastAsia"/>
        </w:rPr>
        <w:t>for the panel associated with the first (second) SRS resource set on which the PTRS port associated with the second (first) SRS resource set are transmitted</w:t>
      </w:r>
      <w:r w:rsidR="00D1585F">
        <w:rPr>
          <w:rFonts w:eastAsiaTheme="minorEastAsia"/>
        </w:rPr>
        <w:t xml:space="preserve"> from the other panel</w:t>
      </w:r>
      <w:r w:rsidR="00A92778">
        <w:rPr>
          <w:rFonts w:eastAsiaTheme="minorEastAsia"/>
        </w:rPr>
        <w:t>. Since, in particular, UE does not transmit the PUSCH layer</w:t>
      </w:r>
      <w:r w:rsidR="00D1585F">
        <w:rPr>
          <w:rFonts w:eastAsiaTheme="minorEastAsia"/>
        </w:rPr>
        <w:t xml:space="preserve"> </w:t>
      </w:r>
      <m:oMath>
        <m:r>
          <w:rPr>
            <w:rFonts w:ascii="Cambria Math" w:eastAsiaTheme="minorEastAsia" w:hAnsi="Cambria Math"/>
          </w:rPr>
          <m:t>l</m:t>
        </m:r>
      </m:oMath>
      <w:r w:rsidR="00A92778">
        <w:rPr>
          <w:rFonts w:eastAsiaTheme="minorEastAsia"/>
        </w:rPr>
        <w:t xml:space="preserve"> associated with the PTRS port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l</m:t>
            </m:r>
          </m:sub>
        </m:sSub>
        <m:r>
          <w:rPr>
            <w:rFonts w:ascii="Cambria Math" w:eastAsiaTheme="minorEastAsia" w:hAnsi="Cambria Math"/>
          </w:rPr>
          <m:t xml:space="preserve"> </m:t>
        </m:r>
      </m:oMath>
      <w:r w:rsidR="00A92778">
        <w:rPr>
          <w:rFonts w:eastAsiaTheme="minorEastAsia"/>
        </w:rPr>
        <w:t>on these tones, the saved power can be used to provide the 3 dB boost for the PTRS port</w:t>
      </w:r>
      <w:r w:rsidR="00051546">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l</m:t>
            </m:r>
          </m:sub>
        </m:sSub>
      </m:oMath>
      <w:r w:rsidR="00A92778">
        <w:rPr>
          <w:rFonts w:eastAsiaTheme="minorEastAsia"/>
        </w:rPr>
        <w:t xml:space="preserve">.  </w:t>
      </w:r>
    </w:p>
    <w:p w14:paraId="32CF9A44" w14:textId="6F385599" w:rsidR="00A05C41" w:rsidRDefault="00A05C41" w:rsidP="00A05C41">
      <w:pPr>
        <w:rPr>
          <w:rFonts w:eastAsiaTheme="minorEastAsia"/>
        </w:rPr>
      </w:pPr>
    </w:p>
    <w:p w14:paraId="5F38BB74" w14:textId="7C762974" w:rsidR="00D1585F" w:rsidRDefault="00D1585F" w:rsidP="00A05C41">
      <w:pPr>
        <w:rPr>
          <w:rFonts w:eastAsiaTheme="minorEastAsia"/>
        </w:rPr>
      </w:pPr>
      <w:r>
        <w:rPr>
          <w:rFonts w:eastAsiaTheme="minorEastAsia"/>
        </w:rPr>
        <w:t xml:space="preserve">Based on the above discussion, we propose the following. </w:t>
      </w:r>
    </w:p>
    <w:p w14:paraId="0414B9D9" w14:textId="77777777" w:rsidR="00A92778" w:rsidRDefault="00A92778" w:rsidP="00980E4E">
      <w:pPr>
        <w:rPr>
          <w:rFonts w:eastAsiaTheme="minorEastAsia"/>
        </w:rPr>
      </w:pPr>
    </w:p>
    <w:p w14:paraId="6F578E05" w14:textId="48C9A7C2" w:rsidR="00A92778" w:rsidRPr="00CD52E7" w:rsidRDefault="00A92778" w:rsidP="00CD52E7">
      <w:pPr>
        <w:spacing w:after="160" w:line="256" w:lineRule="auto"/>
        <w:contextualSpacing/>
        <w:jc w:val="left"/>
        <w:rPr>
          <w:b/>
        </w:rPr>
      </w:pPr>
      <w:r w:rsidRPr="00CD52E7">
        <w:rPr>
          <w:rFonts w:eastAsiaTheme="minorEastAsia"/>
          <w:b/>
        </w:rPr>
        <w:t xml:space="preserve">Proposal 1: </w:t>
      </w:r>
      <w:r w:rsidRPr="00CD52E7">
        <w:rPr>
          <w:b/>
        </w:rPr>
        <w:t xml:space="preserve">For a single-DCI based STxMP SDM PUSCH, the power scaling factor for each PTRS port is calculated according to the following table where </w:t>
      </w:r>
      <m:oMath>
        <m:sSub>
          <m:sSubPr>
            <m:ctrlPr>
              <w:rPr>
                <w:rFonts w:ascii="Cambria Math" w:eastAsiaTheme="minorEastAsia" w:hAnsi="Cambria Math"/>
                <w:b/>
                <w:i/>
              </w:rPr>
            </m:ctrlPr>
          </m:sSubPr>
          <m:e>
            <m:r>
              <m:rPr>
                <m:sty m:val="bi"/>
              </m:rPr>
              <w:rPr>
                <w:rFonts w:ascii="Cambria Math" w:eastAsiaTheme="minorEastAsia" w:hAnsi="Cambria Math"/>
              </w:rPr>
              <m:t>Q</m:t>
            </m:r>
          </m:e>
          <m:sub>
            <m:r>
              <m:rPr>
                <m:sty m:val="bi"/>
              </m:rPr>
              <w:rPr>
                <w:rFonts w:ascii="Cambria Math" w:eastAsiaTheme="minorEastAsia" w:hAnsi="Cambria Math"/>
              </w:rPr>
              <m:t>p</m:t>
            </m:r>
          </m:sub>
        </m:sSub>
      </m:oMath>
      <w:r w:rsidRPr="00CD52E7">
        <w:rPr>
          <w:b/>
        </w:rPr>
        <w:t xml:space="preserve"> is provided by </w:t>
      </w:r>
      <w:r w:rsidR="00761AC3" w:rsidRPr="00CD52E7">
        <w:rPr>
          <w:rFonts w:cs="Arial"/>
          <w:b/>
          <w:i/>
        </w:rPr>
        <w:t>maxNrofPortsforSDM</w:t>
      </w:r>
      <w:r w:rsidRPr="00CD52E7">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824"/>
        <w:gridCol w:w="3095"/>
        <w:gridCol w:w="3189"/>
      </w:tblGrid>
      <w:tr w:rsidR="00A92778" w14:paraId="528627B2" w14:textId="77777777" w:rsidTr="00A92778">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0CF04DC8" w14:textId="77777777" w:rsidR="00A92778" w:rsidRDefault="00A92778" w:rsidP="00A92778">
            <w:pPr>
              <w:pStyle w:val="TAH"/>
              <w:snapToGrid w:val="0"/>
              <w:rPr>
                <w:rFonts w:eastAsia="Batang" w:cs="Arial"/>
                <w:szCs w:val="18"/>
                <w:lang w:val="en-US"/>
              </w:rPr>
            </w:pPr>
            <w:r>
              <w:rPr>
                <w:rFonts w:cs="Arial"/>
                <w:i/>
                <w:szCs w:val="18"/>
                <w:lang w:val="en-US"/>
              </w:rPr>
              <w:t xml:space="preserve">UL-PTRS-power / </w:t>
            </w:r>
            <w:r>
              <w:rPr>
                <w:rFonts w:eastAsia="Calibri" w:cs="Arial"/>
                <w:position w:val="-12"/>
                <w:szCs w:val="18"/>
                <w:lang w:val="en-US" w:eastAsia="ja-JP"/>
              </w:rPr>
              <w:object w:dxaOrig="720" w:dyaOrig="435" w14:anchorId="719CEBAF">
                <v:shape id="_x0000_i1026" type="#_x0000_t75" style="width:36pt;height:21.5pt" o:ole="">
                  <v:imagedata r:id="rId8" o:title=""/>
                </v:shape>
                <o:OLEObject Type="Embed" ProgID="Equation.3" ShapeID="_x0000_i1026" DrawAspect="Content" ObjectID="_1760567843" r:id="rId10"/>
              </w:object>
            </w:r>
          </w:p>
        </w:tc>
        <w:tc>
          <w:tcPr>
            <w:tcW w:w="0" w:type="auto"/>
            <w:gridSpan w:val="3"/>
            <w:tcBorders>
              <w:top w:val="single" w:sz="4" w:space="0" w:color="auto"/>
              <w:left w:val="single" w:sz="4" w:space="0" w:color="auto"/>
              <w:bottom w:val="single" w:sz="4" w:space="0" w:color="auto"/>
              <w:right w:val="single" w:sz="4" w:space="0" w:color="auto"/>
            </w:tcBorders>
            <w:shd w:val="clear" w:color="auto" w:fill="E7E6E6"/>
            <w:hideMark/>
          </w:tcPr>
          <w:p w14:paraId="79E49DC9" w14:textId="570BB413" w:rsidR="00A92778" w:rsidRDefault="00A92778" w:rsidP="00A92778">
            <w:pPr>
              <w:pStyle w:val="TAH"/>
              <w:tabs>
                <w:tab w:val="left" w:pos="851"/>
              </w:tabs>
              <w:snapToGrid w:val="0"/>
              <w:rPr>
                <w:rFonts w:eastAsia="Times New Roman" w:cs="Arial"/>
                <w:szCs w:val="18"/>
                <w:lang w:val="en-US"/>
              </w:rPr>
            </w:pPr>
            <w:r>
              <w:rPr>
                <w:rFonts w:cs="Arial"/>
                <w:szCs w:val="18"/>
                <w:lang w:val="en-US"/>
              </w:rPr>
              <w:t xml:space="preserve">The number of PUSCH </w:t>
            </w:r>
            <w:r>
              <w:rPr>
                <w:rFonts w:cs="Arial"/>
                <w:sz w:val="16"/>
                <w:szCs w:val="16"/>
                <w:lang w:val="en-US"/>
              </w:rPr>
              <w:t xml:space="preserve">layers </w:t>
            </w:r>
            <w:r w:rsidR="00761AC3">
              <w:rPr>
                <w:rFonts w:cs="Arial"/>
                <w:sz w:val="16"/>
                <w:szCs w:val="16"/>
                <w:lang w:val="en-US"/>
              </w:rPr>
              <w:t>associated with the same SRS resource set as the PTRS port</w:t>
            </w:r>
          </w:p>
        </w:tc>
      </w:tr>
      <w:tr w:rsidR="00A92778" w14:paraId="4749F064" w14:textId="77777777" w:rsidTr="00A92778">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DC548" w14:textId="77777777" w:rsidR="00A92778" w:rsidRDefault="00A92778" w:rsidP="00A92778">
            <w:pPr>
              <w:jc w:val="left"/>
              <w:rPr>
                <w:rFonts w:ascii="Arial" w:eastAsia="Batang" w:hAnsi="Arial" w:cs="Arial"/>
                <w:b/>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48765165" w14:textId="77777777" w:rsidR="00A92778" w:rsidRPr="00E263A2" w:rsidRDefault="00A92778" w:rsidP="00A92778">
            <w:pPr>
              <w:pStyle w:val="TAH"/>
              <w:tabs>
                <w:tab w:val="left" w:pos="851"/>
              </w:tabs>
              <w:snapToGrid w:val="0"/>
              <w:rPr>
                <w:rFonts w:eastAsia="Batang" w:cs="Arial"/>
                <w:szCs w:val="18"/>
                <w:lang w:val="en-US" w:eastAsia="ko-KR"/>
              </w:rPr>
            </w:pPr>
            <w:r w:rsidRPr="00E263A2">
              <w:rPr>
                <w:rFonts w:eastAsia="Batang" w:cs="Arial"/>
                <w:szCs w:val="18"/>
                <w:lang w:val="en-US" w:eastAsia="ko-KR"/>
              </w:rPr>
              <w:t>1</w:t>
            </w:r>
          </w:p>
        </w:tc>
        <w:tc>
          <w:tcPr>
            <w:tcW w:w="559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1D5B71" w14:textId="77777777" w:rsidR="00A92778" w:rsidRPr="00E263A2" w:rsidRDefault="00A92778" w:rsidP="00A92778">
            <w:pPr>
              <w:pStyle w:val="TAH"/>
              <w:tabs>
                <w:tab w:val="left" w:pos="851"/>
              </w:tabs>
              <w:snapToGrid w:val="0"/>
              <w:rPr>
                <w:rFonts w:eastAsia="Batang" w:cs="Arial"/>
                <w:szCs w:val="18"/>
                <w:lang w:val="en-US" w:eastAsia="ko-KR"/>
              </w:rPr>
            </w:pPr>
            <w:r w:rsidRPr="00E263A2">
              <w:rPr>
                <w:rFonts w:eastAsia="Batang" w:cs="Arial"/>
                <w:szCs w:val="18"/>
                <w:lang w:val="en-US" w:eastAsia="ko-KR"/>
              </w:rPr>
              <w:t>2</w:t>
            </w:r>
          </w:p>
        </w:tc>
      </w:tr>
      <w:tr w:rsidR="00A92778" w14:paraId="1CAA3C03" w14:textId="77777777" w:rsidTr="00A92778">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80D5B" w14:textId="77777777" w:rsidR="00A92778" w:rsidRDefault="00A92778" w:rsidP="00A92778">
            <w:pPr>
              <w:jc w:val="left"/>
              <w:rPr>
                <w:rFonts w:ascii="Arial" w:eastAsia="Batang" w:hAnsi="Arial" w:cs="Arial"/>
                <w:b/>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364564E1" w14:textId="77777777" w:rsidR="00A92778" w:rsidRPr="00E263A2" w:rsidRDefault="00A92778" w:rsidP="00A92778">
            <w:pPr>
              <w:pStyle w:val="TAH"/>
              <w:tabs>
                <w:tab w:val="left" w:pos="851"/>
              </w:tabs>
              <w:snapToGrid w:val="0"/>
              <w:rPr>
                <w:rFonts w:eastAsia="Batang" w:cs="Arial"/>
                <w:b w:val="0"/>
                <w:szCs w:val="18"/>
                <w:lang w:val="en-US" w:eastAsia="ko-KR"/>
              </w:rPr>
            </w:pPr>
            <w:r w:rsidRPr="00E263A2">
              <w:rPr>
                <w:rFonts w:eastAsia="Batang" w:cs="Arial"/>
                <w:b w:val="0"/>
                <w:szCs w:val="18"/>
                <w:lang w:val="en-US" w:eastAsia="ko-KR"/>
              </w:rPr>
              <w:t>All cases</w:t>
            </w:r>
          </w:p>
        </w:tc>
        <w:tc>
          <w:tcPr>
            <w:tcW w:w="2757" w:type="dxa"/>
            <w:tcBorders>
              <w:top w:val="single" w:sz="4" w:space="0" w:color="auto"/>
              <w:left w:val="single" w:sz="4" w:space="0" w:color="auto"/>
              <w:bottom w:val="single" w:sz="4" w:space="0" w:color="auto"/>
              <w:right w:val="single" w:sz="4" w:space="0" w:color="auto"/>
            </w:tcBorders>
            <w:shd w:val="clear" w:color="auto" w:fill="E7E6E6"/>
            <w:hideMark/>
          </w:tcPr>
          <w:p w14:paraId="1F3BD94B" w14:textId="77777777" w:rsidR="00A92778" w:rsidRPr="00E263A2" w:rsidRDefault="00A92778" w:rsidP="00A92778">
            <w:pPr>
              <w:pStyle w:val="TAH"/>
              <w:tabs>
                <w:tab w:val="left" w:pos="851"/>
              </w:tabs>
              <w:snapToGrid w:val="0"/>
              <w:rPr>
                <w:rFonts w:eastAsia="Batang" w:cs="Arial"/>
                <w:b w:val="0"/>
                <w:szCs w:val="18"/>
                <w:lang w:val="en-US" w:eastAsia="ko-KR"/>
              </w:rPr>
            </w:pPr>
            <w:r w:rsidRPr="00E263A2">
              <w:rPr>
                <w:rFonts w:eastAsia="Batang" w:cs="Arial"/>
                <w:b w:val="0"/>
                <w:szCs w:val="18"/>
                <w:lang w:val="en-US" w:eastAsia="ko-KR"/>
              </w:rPr>
              <w:t>Full coherent</w:t>
            </w:r>
          </w:p>
        </w:tc>
        <w:tc>
          <w:tcPr>
            <w:tcW w:w="2840" w:type="dxa"/>
            <w:tcBorders>
              <w:top w:val="single" w:sz="4" w:space="0" w:color="auto"/>
              <w:left w:val="single" w:sz="4" w:space="0" w:color="auto"/>
              <w:bottom w:val="single" w:sz="4" w:space="0" w:color="auto"/>
              <w:right w:val="single" w:sz="4" w:space="0" w:color="auto"/>
            </w:tcBorders>
            <w:shd w:val="clear" w:color="auto" w:fill="E7E6E6"/>
            <w:hideMark/>
          </w:tcPr>
          <w:p w14:paraId="560BC5A5" w14:textId="77777777" w:rsidR="00A92778" w:rsidRDefault="00A92778" w:rsidP="00A92778">
            <w:pPr>
              <w:pStyle w:val="TAH"/>
              <w:tabs>
                <w:tab w:val="left" w:pos="851"/>
              </w:tabs>
              <w:snapToGrid w:val="0"/>
              <w:rPr>
                <w:rFonts w:eastAsia="Batang" w:cs="Arial"/>
                <w:szCs w:val="18"/>
                <w:lang w:val="en-US" w:eastAsia="ko-KR"/>
              </w:rPr>
            </w:pPr>
            <w:r>
              <w:rPr>
                <w:rFonts w:eastAsia="Batang" w:cs="Arial"/>
                <w:b w:val="0"/>
                <w:szCs w:val="18"/>
                <w:lang w:val="en-US" w:eastAsia="ko-KR"/>
              </w:rPr>
              <w:t>Partial and non- coherent and non-codebook based</w:t>
            </w:r>
          </w:p>
        </w:tc>
      </w:tr>
      <w:tr w:rsidR="00A92778" w14:paraId="4DA7E728" w14:textId="77777777" w:rsidTr="00A9277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CF63D" w14:textId="77777777" w:rsidR="00A92778" w:rsidRDefault="00A92778" w:rsidP="00A92778">
            <w:pPr>
              <w:pStyle w:val="TAH"/>
              <w:snapToGrid w:val="0"/>
              <w:rPr>
                <w:rFonts w:eastAsia="Batang" w:cs="Arial"/>
                <w:b w:val="0"/>
                <w:szCs w:val="18"/>
                <w:lang w:val="en-US" w:eastAsia="ko-KR"/>
              </w:rPr>
            </w:pPr>
            <w:r>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570F5002" w14:textId="77777777" w:rsidR="00A92778" w:rsidRPr="00E263A2" w:rsidRDefault="00A92778" w:rsidP="00A92778">
            <w:pPr>
              <w:pStyle w:val="TAH"/>
              <w:snapToGrid w:val="0"/>
              <w:rPr>
                <w:rFonts w:eastAsia="Batang" w:cs="Arial"/>
                <w:b w:val="0"/>
                <w:szCs w:val="18"/>
                <w:lang w:val="en-US" w:eastAsia="ko-KR"/>
              </w:rPr>
            </w:pPr>
            <w:r>
              <w:rPr>
                <w:rFonts w:eastAsia="Batang" w:cs="Arial"/>
                <w:b w:val="0"/>
                <w:szCs w:val="18"/>
                <w:lang w:val="en-US" w:eastAsia="ko-KR"/>
              </w:rPr>
              <w:t>0</w:t>
            </w:r>
          </w:p>
        </w:tc>
        <w:tc>
          <w:tcPr>
            <w:tcW w:w="2757" w:type="dxa"/>
            <w:tcBorders>
              <w:top w:val="single" w:sz="4" w:space="0" w:color="auto"/>
              <w:left w:val="single" w:sz="4" w:space="0" w:color="auto"/>
              <w:bottom w:val="single" w:sz="4" w:space="0" w:color="auto"/>
              <w:right w:val="single" w:sz="4" w:space="0" w:color="auto"/>
            </w:tcBorders>
            <w:hideMark/>
          </w:tcPr>
          <w:p w14:paraId="017D525E" w14:textId="77777777" w:rsidR="00A92778" w:rsidRPr="00E263A2" w:rsidRDefault="00A92778" w:rsidP="00A92778">
            <w:pPr>
              <w:pStyle w:val="TAH"/>
              <w:snapToGrid w:val="0"/>
              <w:rPr>
                <w:rFonts w:eastAsia="Batang" w:cs="Arial"/>
                <w:b w:val="0"/>
                <w:szCs w:val="18"/>
                <w:lang w:val="en-US" w:eastAsia="ko-KR"/>
              </w:rPr>
            </w:pPr>
            <w:r w:rsidRPr="00E263A2">
              <w:rPr>
                <w:rFonts w:eastAsia="Batang" w:cs="Arial"/>
                <w:b w:val="0"/>
                <w:szCs w:val="18"/>
                <w:lang w:val="en-US" w:eastAsia="ko-KR"/>
              </w:rPr>
              <w:t>3</w:t>
            </w:r>
          </w:p>
        </w:tc>
        <w:tc>
          <w:tcPr>
            <w:tcW w:w="2840" w:type="dxa"/>
            <w:tcBorders>
              <w:top w:val="single" w:sz="4" w:space="0" w:color="auto"/>
              <w:left w:val="single" w:sz="4" w:space="0" w:color="auto"/>
              <w:bottom w:val="single" w:sz="4" w:space="0" w:color="auto"/>
              <w:right w:val="single" w:sz="4" w:space="0" w:color="auto"/>
            </w:tcBorders>
            <w:hideMark/>
          </w:tcPr>
          <w:p w14:paraId="3FCD9A5E" w14:textId="5E577C6A" w:rsidR="00A92778" w:rsidRDefault="00A92778" w:rsidP="00A92778">
            <w:pPr>
              <w:pStyle w:val="TAH"/>
              <w:snapToGrid w:val="0"/>
              <w:rPr>
                <w:rFonts w:eastAsia="Batang" w:cs="Arial"/>
                <w:b w:val="0"/>
                <w:szCs w:val="18"/>
                <w:lang w:val="en-US" w:eastAsia="ko-KR"/>
              </w:rPr>
            </w:pPr>
            <w:r>
              <w:rPr>
                <w:rFonts w:eastAsia="Batang" w:cs="Arial"/>
                <w:b w:val="0"/>
                <w:szCs w:val="18"/>
                <w:lang w:val="en-US" w:eastAsia="ko-KR"/>
              </w:rPr>
              <w:t>3</w:t>
            </w:r>
            <m:oMath>
              <m:sSub>
                <m:sSubPr>
                  <m:ctrlPr>
                    <w:rPr>
                      <w:rFonts w:ascii="Cambria Math" w:eastAsiaTheme="minorEastAsia" w:hAnsi="Cambria Math"/>
                      <w:i/>
                    </w:rPr>
                  </m:ctrlPr>
                </m:sSubPr>
                <m:e>
                  <m:r>
                    <m:rPr>
                      <m:sty m:val="bi"/>
                    </m:rPr>
                    <w:rPr>
                      <w:rFonts w:ascii="Cambria Math" w:eastAsiaTheme="minorEastAsia" w:hAnsi="Cambria Math"/>
                    </w:rPr>
                    <m:t>Q</m:t>
                  </m:r>
                </m:e>
                <m:sub>
                  <m:r>
                    <m:rPr>
                      <m:sty m:val="bi"/>
                    </m:rPr>
                    <w:rPr>
                      <w:rFonts w:ascii="Cambria Math" w:eastAsiaTheme="minorEastAsia" w:hAnsi="Cambria Math"/>
                    </w:rPr>
                    <m:t>p</m:t>
                  </m:r>
                </m:sub>
              </m:sSub>
              <m:r>
                <m:rPr>
                  <m:sty m:val="bi"/>
                </m:rPr>
                <w:rPr>
                  <w:rFonts w:ascii="Cambria Math" w:eastAsiaTheme="minorEastAsia" w:hAnsi="Cambria Math"/>
                </w:rPr>
                <m:t>-3</m:t>
              </m:r>
            </m:oMath>
          </w:p>
        </w:tc>
      </w:tr>
      <w:tr w:rsidR="00A92778" w14:paraId="5C64B84D" w14:textId="77777777" w:rsidTr="00A9277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D5BDB1F" w14:textId="77777777" w:rsidR="00A92778" w:rsidRPr="007A18E2" w:rsidRDefault="00A92778" w:rsidP="00A92778">
            <w:pPr>
              <w:pStyle w:val="TAH"/>
              <w:snapToGrid w:val="0"/>
              <w:rPr>
                <w:rFonts w:eastAsiaTheme="minorEastAsia" w:cs="Arial"/>
                <w:b w:val="0"/>
                <w:szCs w:val="18"/>
                <w:lang w:val="en-US" w:eastAsia="zh-CN"/>
              </w:rPr>
            </w:pPr>
            <w:r>
              <w:rPr>
                <w:rFonts w:eastAsiaTheme="minorEastAsia" w:cs="Arial"/>
                <w:b w:val="0"/>
                <w:szCs w:val="18"/>
                <w:lang w:val="en-US" w:eastAsia="zh-CN"/>
              </w:rPr>
              <w:t>01</w:t>
            </w:r>
          </w:p>
        </w:tc>
        <w:tc>
          <w:tcPr>
            <w:tcW w:w="0" w:type="auto"/>
            <w:tcBorders>
              <w:top w:val="single" w:sz="4" w:space="0" w:color="auto"/>
              <w:left w:val="single" w:sz="4" w:space="0" w:color="auto"/>
              <w:bottom w:val="single" w:sz="4" w:space="0" w:color="auto"/>
              <w:right w:val="single" w:sz="4" w:space="0" w:color="auto"/>
            </w:tcBorders>
          </w:tcPr>
          <w:p w14:paraId="07F21C31" w14:textId="77777777" w:rsidR="00A92778" w:rsidRPr="00E263A2" w:rsidRDefault="00A92778" w:rsidP="00A92778">
            <w:pPr>
              <w:pStyle w:val="TAH"/>
              <w:snapToGrid w:val="0"/>
              <w:rPr>
                <w:rFonts w:eastAsia="Batang" w:cs="Arial"/>
                <w:b w:val="0"/>
                <w:szCs w:val="18"/>
                <w:lang w:val="en-US" w:eastAsia="ko-KR"/>
              </w:rPr>
            </w:pPr>
            <w:r>
              <w:rPr>
                <w:rFonts w:eastAsia="Batang" w:cs="Arial"/>
                <w:b w:val="0"/>
                <w:szCs w:val="18"/>
                <w:lang w:val="en-US" w:eastAsia="ko-KR"/>
              </w:rPr>
              <w:t>0</w:t>
            </w:r>
          </w:p>
        </w:tc>
        <w:tc>
          <w:tcPr>
            <w:tcW w:w="2757" w:type="dxa"/>
            <w:tcBorders>
              <w:top w:val="single" w:sz="4" w:space="0" w:color="auto"/>
              <w:left w:val="single" w:sz="4" w:space="0" w:color="auto"/>
              <w:bottom w:val="single" w:sz="4" w:space="0" w:color="auto"/>
              <w:right w:val="single" w:sz="4" w:space="0" w:color="auto"/>
            </w:tcBorders>
          </w:tcPr>
          <w:p w14:paraId="6E3034CD" w14:textId="77777777" w:rsidR="00A92778" w:rsidRPr="00E263A2" w:rsidRDefault="00A92778" w:rsidP="00A92778">
            <w:pPr>
              <w:pStyle w:val="TAH"/>
              <w:snapToGrid w:val="0"/>
              <w:rPr>
                <w:rFonts w:eastAsia="Batang" w:cs="Arial"/>
                <w:b w:val="0"/>
                <w:szCs w:val="18"/>
                <w:lang w:val="en-US" w:eastAsia="ko-KR"/>
              </w:rPr>
            </w:pPr>
            <w:r w:rsidRPr="00E263A2">
              <w:rPr>
                <w:rFonts w:eastAsia="Batang" w:cs="Arial"/>
                <w:b w:val="0"/>
                <w:szCs w:val="18"/>
                <w:lang w:val="en-US" w:eastAsia="ko-KR"/>
              </w:rPr>
              <w:t>3</w:t>
            </w:r>
          </w:p>
        </w:tc>
        <w:tc>
          <w:tcPr>
            <w:tcW w:w="2840" w:type="dxa"/>
            <w:tcBorders>
              <w:top w:val="single" w:sz="4" w:space="0" w:color="auto"/>
              <w:left w:val="single" w:sz="4" w:space="0" w:color="auto"/>
              <w:bottom w:val="single" w:sz="4" w:space="0" w:color="auto"/>
              <w:right w:val="single" w:sz="4" w:space="0" w:color="auto"/>
            </w:tcBorders>
          </w:tcPr>
          <w:p w14:paraId="4A6694BB" w14:textId="77777777" w:rsidR="00A92778" w:rsidRDefault="00A92778" w:rsidP="00A92778">
            <w:pPr>
              <w:pStyle w:val="TAH"/>
              <w:snapToGrid w:val="0"/>
              <w:rPr>
                <w:rFonts w:eastAsia="Batang" w:cs="Arial"/>
                <w:b w:val="0"/>
                <w:szCs w:val="18"/>
                <w:lang w:val="en-US" w:eastAsia="ko-KR"/>
              </w:rPr>
            </w:pPr>
            <w:r>
              <w:rPr>
                <w:rFonts w:eastAsia="Batang" w:cs="Arial"/>
                <w:b w:val="0"/>
                <w:szCs w:val="18"/>
                <w:lang w:val="en-US" w:eastAsia="ko-KR"/>
              </w:rPr>
              <w:t>3</w:t>
            </w:r>
          </w:p>
        </w:tc>
      </w:tr>
      <w:tr w:rsidR="00A92778" w14:paraId="0FF6F607" w14:textId="77777777" w:rsidTr="00A9277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FF512B" w14:textId="77777777" w:rsidR="00A92778" w:rsidRDefault="00A92778" w:rsidP="00A92778">
            <w:pPr>
              <w:pStyle w:val="TAH"/>
              <w:snapToGrid w:val="0"/>
              <w:rPr>
                <w:rFonts w:eastAsia="Batang" w:cs="Arial"/>
                <w:b w:val="0"/>
                <w:szCs w:val="18"/>
                <w:lang w:val="en-US" w:eastAsia="ko-KR"/>
              </w:rPr>
            </w:pPr>
            <w:r>
              <w:rPr>
                <w:rFonts w:eastAsia="Batang" w:cs="Arial"/>
                <w:b w:val="0"/>
                <w:szCs w:val="18"/>
                <w:lang w:val="en-US" w:eastAsia="ko-KR"/>
              </w:rPr>
              <w:t>10</w:t>
            </w:r>
          </w:p>
        </w:tc>
        <w:tc>
          <w:tcPr>
            <w:tcW w:w="6502" w:type="dxa"/>
            <w:gridSpan w:val="3"/>
            <w:tcBorders>
              <w:top w:val="single" w:sz="4" w:space="0" w:color="auto"/>
              <w:left w:val="single" w:sz="4" w:space="0" w:color="auto"/>
              <w:bottom w:val="single" w:sz="4" w:space="0" w:color="auto"/>
              <w:right w:val="single" w:sz="4" w:space="0" w:color="auto"/>
            </w:tcBorders>
            <w:hideMark/>
          </w:tcPr>
          <w:p w14:paraId="43D9A760" w14:textId="77777777" w:rsidR="00A92778" w:rsidRDefault="00A92778" w:rsidP="00A92778">
            <w:pPr>
              <w:pStyle w:val="TAH"/>
              <w:snapToGrid w:val="0"/>
              <w:rPr>
                <w:rFonts w:eastAsia="Batang" w:cs="Arial"/>
                <w:b w:val="0"/>
                <w:szCs w:val="18"/>
                <w:lang w:val="en-US" w:eastAsia="ko-KR"/>
              </w:rPr>
            </w:pPr>
            <w:r>
              <w:rPr>
                <w:rFonts w:eastAsia="Batang" w:cs="Arial"/>
                <w:b w:val="0"/>
                <w:szCs w:val="18"/>
                <w:lang w:val="en-US" w:eastAsia="ko-KR"/>
              </w:rPr>
              <w:t>reserved</w:t>
            </w:r>
          </w:p>
        </w:tc>
      </w:tr>
      <w:tr w:rsidR="00A92778" w14:paraId="10CB90E8" w14:textId="77777777" w:rsidTr="00A92778">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493074" w14:textId="77777777" w:rsidR="00A92778" w:rsidRDefault="00A92778" w:rsidP="00A92778">
            <w:pPr>
              <w:pStyle w:val="TAH"/>
              <w:snapToGrid w:val="0"/>
              <w:rPr>
                <w:rFonts w:eastAsia="Batang" w:cs="Arial"/>
                <w:b w:val="0"/>
                <w:szCs w:val="18"/>
                <w:lang w:val="en-US" w:eastAsia="ko-KR"/>
              </w:rPr>
            </w:pPr>
            <w:r>
              <w:rPr>
                <w:rFonts w:eastAsia="Batang" w:cs="Arial"/>
                <w:b w:val="0"/>
                <w:szCs w:val="18"/>
                <w:lang w:val="en-US" w:eastAsia="ko-KR"/>
              </w:rPr>
              <w:t>11</w:t>
            </w:r>
          </w:p>
        </w:tc>
        <w:tc>
          <w:tcPr>
            <w:tcW w:w="6502" w:type="dxa"/>
            <w:gridSpan w:val="3"/>
            <w:tcBorders>
              <w:top w:val="single" w:sz="4" w:space="0" w:color="auto"/>
              <w:left w:val="single" w:sz="4" w:space="0" w:color="auto"/>
              <w:bottom w:val="single" w:sz="4" w:space="0" w:color="auto"/>
              <w:right w:val="single" w:sz="4" w:space="0" w:color="auto"/>
            </w:tcBorders>
            <w:hideMark/>
          </w:tcPr>
          <w:p w14:paraId="62D497AC" w14:textId="77777777" w:rsidR="00A92778" w:rsidRDefault="00A92778" w:rsidP="00A92778">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35D62239" w14:textId="77777777" w:rsidR="00A92778" w:rsidRDefault="00A92778" w:rsidP="00980E4E">
      <w:pPr>
        <w:rPr>
          <w:rFonts w:eastAsiaTheme="minorEastAsia"/>
        </w:rPr>
      </w:pPr>
    </w:p>
    <w:p w14:paraId="399E6F53" w14:textId="0959BAE8" w:rsidR="007C51BF" w:rsidRPr="00223667" w:rsidRDefault="007C51BF" w:rsidP="002F7356">
      <w:pPr>
        <w:pStyle w:val="1"/>
        <w:rPr>
          <w:szCs w:val="20"/>
          <w:lang w:eastAsia="zh-CN"/>
        </w:rPr>
      </w:pPr>
      <w:r w:rsidRPr="00223667">
        <w:rPr>
          <w:szCs w:val="20"/>
          <w:lang w:eastAsia="zh-CN"/>
        </w:rPr>
        <w:t xml:space="preserve">Conclusions </w:t>
      </w:r>
    </w:p>
    <w:p w14:paraId="7F6F4CC6" w14:textId="071036BD" w:rsidR="00F84B56" w:rsidRDefault="00A36D89" w:rsidP="006F6DC7">
      <w:pPr>
        <w:rPr>
          <w:rFonts w:eastAsiaTheme="minorEastAsia" w:cs="Times New Roman"/>
          <w:bCs/>
          <w:sz w:val="24"/>
          <w:szCs w:val="28"/>
        </w:rPr>
      </w:pPr>
      <w:r w:rsidRPr="00223667">
        <w:rPr>
          <w:rFonts w:eastAsiaTheme="minorEastAsia" w:cs="Times New Roman"/>
          <w:bCs/>
          <w:sz w:val="24"/>
          <w:szCs w:val="28"/>
        </w:rPr>
        <w:t>In this cont</w:t>
      </w:r>
      <w:r w:rsidR="00A20414">
        <w:rPr>
          <w:rFonts w:eastAsiaTheme="minorEastAsia" w:cs="Times New Roman"/>
          <w:bCs/>
          <w:sz w:val="24"/>
          <w:szCs w:val="28"/>
        </w:rPr>
        <w:t>ribution, we have the following proposal</w:t>
      </w:r>
    </w:p>
    <w:p w14:paraId="70296203" w14:textId="1A092871" w:rsidR="0074448F" w:rsidRDefault="0074448F" w:rsidP="006F6DC7">
      <w:pPr>
        <w:rPr>
          <w:rFonts w:eastAsiaTheme="minorEastAsia" w:cs="Times New Roman"/>
          <w:bCs/>
          <w:sz w:val="24"/>
          <w:szCs w:val="28"/>
        </w:rPr>
      </w:pPr>
    </w:p>
    <w:p w14:paraId="7EE66593" w14:textId="77777777" w:rsidR="00D1585F" w:rsidRPr="00A437F3" w:rsidRDefault="00D1585F" w:rsidP="00D1585F">
      <w:pPr>
        <w:spacing w:after="160" w:line="256" w:lineRule="auto"/>
        <w:contextualSpacing/>
        <w:jc w:val="left"/>
        <w:rPr>
          <w:b/>
        </w:rPr>
      </w:pPr>
      <w:r w:rsidRPr="00A437F3">
        <w:rPr>
          <w:rFonts w:eastAsiaTheme="minorEastAsia"/>
          <w:b/>
        </w:rPr>
        <w:t xml:space="preserve">Proposal 1: </w:t>
      </w:r>
      <w:r w:rsidRPr="00A437F3">
        <w:rPr>
          <w:b/>
        </w:rPr>
        <w:t xml:space="preserve">For a single-DCI based STxMP SDM PUSCH, the power scaling factor for each PTRS port is calculated according to the following table where </w:t>
      </w:r>
      <m:oMath>
        <m:sSub>
          <m:sSubPr>
            <m:ctrlPr>
              <w:rPr>
                <w:rFonts w:ascii="Cambria Math" w:eastAsiaTheme="minorEastAsia" w:hAnsi="Cambria Math"/>
                <w:b/>
                <w:i/>
              </w:rPr>
            </m:ctrlPr>
          </m:sSubPr>
          <m:e>
            <m:r>
              <m:rPr>
                <m:sty m:val="bi"/>
              </m:rPr>
              <w:rPr>
                <w:rFonts w:ascii="Cambria Math" w:eastAsiaTheme="minorEastAsia" w:hAnsi="Cambria Math"/>
              </w:rPr>
              <m:t>Q</m:t>
            </m:r>
          </m:e>
          <m:sub>
            <m:r>
              <m:rPr>
                <m:sty m:val="bi"/>
              </m:rPr>
              <w:rPr>
                <w:rFonts w:ascii="Cambria Math" w:eastAsiaTheme="minorEastAsia" w:hAnsi="Cambria Math"/>
              </w:rPr>
              <m:t>p</m:t>
            </m:r>
          </m:sub>
        </m:sSub>
      </m:oMath>
      <w:r w:rsidRPr="00A437F3">
        <w:rPr>
          <w:b/>
        </w:rPr>
        <w:t xml:space="preserve"> is provided by </w:t>
      </w:r>
      <w:r w:rsidRPr="00A437F3">
        <w:rPr>
          <w:rFonts w:cs="Arial"/>
          <w:b/>
          <w:i/>
        </w:rPr>
        <w:t>maxNrofPortsforSDM</w:t>
      </w:r>
      <w:r w:rsidRPr="00A437F3">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824"/>
        <w:gridCol w:w="3095"/>
        <w:gridCol w:w="3189"/>
      </w:tblGrid>
      <w:tr w:rsidR="00D1585F" w14:paraId="42324B2F" w14:textId="77777777" w:rsidTr="00A437F3">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67D3A439" w14:textId="77777777" w:rsidR="00D1585F" w:rsidRDefault="00D1585F" w:rsidP="00A437F3">
            <w:pPr>
              <w:pStyle w:val="TAH"/>
              <w:snapToGrid w:val="0"/>
              <w:rPr>
                <w:rFonts w:eastAsia="Batang" w:cs="Arial"/>
                <w:szCs w:val="18"/>
                <w:lang w:val="en-US"/>
              </w:rPr>
            </w:pPr>
            <w:r>
              <w:rPr>
                <w:rFonts w:cs="Arial"/>
                <w:i/>
                <w:szCs w:val="18"/>
                <w:lang w:val="en-US"/>
              </w:rPr>
              <w:t xml:space="preserve">UL-PTRS-power / </w:t>
            </w:r>
            <w:r>
              <w:rPr>
                <w:rFonts w:eastAsia="Calibri" w:cs="Arial"/>
                <w:position w:val="-12"/>
                <w:szCs w:val="18"/>
                <w:lang w:val="en-US" w:eastAsia="ja-JP"/>
              </w:rPr>
              <w:object w:dxaOrig="720" w:dyaOrig="435" w14:anchorId="6E138BC8">
                <v:shape id="_x0000_i1027" type="#_x0000_t75" style="width:36pt;height:21.5pt" o:ole="">
                  <v:imagedata r:id="rId8" o:title=""/>
                </v:shape>
                <o:OLEObject Type="Embed" ProgID="Equation.3" ShapeID="_x0000_i1027" DrawAspect="Content" ObjectID="_1760567844" r:id="rId11"/>
              </w:object>
            </w:r>
          </w:p>
        </w:tc>
        <w:tc>
          <w:tcPr>
            <w:tcW w:w="0" w:type="auto"/>
            <w:gridSpan w:val="3"/>
            <w:tcBorders>
              <w:top w:val="single" w:sz="4" w:space="0" w:color="auto"/>
              <w:left w:val="single" w:sz="4" w:space="0" w:color="auto"/>
              <w:bottom w:val="single" w:sz="4" w:space="0" w:color="auto"/>
              <w:right w:val="single" w:sz="4" w:space="0" w:color="auto"/>
            </w:tcBorders>
            <w:shd w:val="clear" w:color="auto" w:fill="E7E6E6"/>
            <w:hideMark/>
          </w:tcPr>
          <w:p w14:paraId="3D50073C" w14:textId="77777777" w:rsidR="00D1585F" w:rsidRDefault="00D1585F" w:rsidP="00A437F3">
            <w:pPr>
              <w:pStyle w:val="TAH"/>
              <w:tabs>
                <w:tab w:val="left" w:pos="851"/>
              </w:tabs>
              <w:snapToGrid w:val="0"/>
              <w:rPr>
                <w:rFonts w:eastAsia="Times New Roman" w:cs="Arial"/>
                <w:szCs w:val="18"/>
                <w:lang w:val="en-US"/>
              </w:rPr>
            </w:pPr>
            <w:r>
              <w:rPr>
                <w:rFonts w:cs="Arial"/>
                <w:szCs w:val="18"/>
                <w:lang w:val="en-US"/>
              </w:rPr>
              <w:t xml:space="preserve">The number of PUSCH </w:t>
            </w:r>
            <w:r>
              <w:rPr>
                <w:rFonts w:cs="Arial"/>
                <w:sz w:val="16"/>
                <w:szCs w:val="16"/>
                <w:lang w:val="en-US"/>
              </w:rPr>
              <w:t>layers associated with the same SRS resource set as the PTRS port</w:t>
            </w:r>
          </w:p>
        </w:tc>
      </w:tr>
      <w:tr w:rsidR="00D1585F" w14:paraId="445F185A" w14:textId="77777777" w:rsidTr="00A437F3">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B215E" w14:textId="77777777" w:rsidR="00D1585F" w:rsidRDefault="00D1585F" w:rsidP="00A437F3">
            <w:pPr>
              <w:jc w:val="left"/>
              <w:rPr>
                <w:rFonts w:ascii="Arial" w:eastAsia="Batang" w:hAnsi="Arial" w:cs="Arial"/>
                <w:b/>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4BBDE13" w14:textId="77777777" w:rsidR="00D1585F" w:rsidRPr="00E263A2" w:rsidRDefault="00D1585F" w:rsidP="00A437F3">
            <w:pPr>
              <w:pStyle w:val="TAH"/>
              <w:tabs>
                <w:tab w:val="left" w:pos="851"/>
              </w:tabs>
              <w:snapToGrid w:val="0"/>
              <w:rPr>
                <w:rFonts w:eastAsia="Batang" w:cs="Arial"/>
                <w:szCs w:val="18"/>
                <w:lang w:val="en-US" w:eastAsia="ko-KR"/>
              </w:rPr>
            </w:pPr>
            <w:r w:rsidRPr="00E263A2">
              <w:rPr>
                <w:rFonts w:eastAsia="Batang" w:cs="Arial"/>
                <w:szCs w:val="18"/>
                <w:lang w:val="en-US" w:eastAsia="ko-KR"/>
              </w:rPr>
              <w:t>1</w:t>
            </w:r>
          </w:p>
        </w:tc>
        <w:tc>
          <w:tcPr>
            <w:tcW w:w="559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437151" w14:textId="77777777" w:rsidR="00D1585F" w:rsidRPr="00E263A2" w:rsidRDefault="00D1585F" w:rsidP="00A437F3">
            <w:pPr>
              <w:pStyle w:val="TAH"/>
              <w:tabs>
                <w:tab w:val="left" w:pos="851"/>
              </w:tabs>
              <w:snapToGrid w:val="0"/>
              <w:rPr>
                <w:rFonts w:eastAsia="Batang" w:cs="Arial"/>
                <w:szCs w:val="18"/>
                <w:lang w:val="en-US" w:eastAsia="ko-KR"/>
              </w:rPr>
            </w:pPr>
            <w:r w:rsidRPr="00E263A2">
              <w:rPr>
                <w:rFonts w:eastAsia="Batang" w:cs="Arial"/>
                <w:szCs w:val="18"/>
                <w:lang w:val="en-US" w:eastAsia="ko-KR"/>
              </w:rPr>
              <w:t>2</w:t>
            </w:r>
          </w:p>
        </w:tc>
      </w:tr>
      <w:tr w:rsidR="00D1585F" w14:paraId="5E338871" w14:textId="77777777" w:rsidTr="00A437F3">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60C11" w14:textId="77777777" w:rsidR="00D1585F" w:rsidRDefault="00D1585F" w:rsidP="00A437F3">
            <w:pPr>
              <w:jc w:val="left"/>
              <w:rPr>
                <w:rFonts w:ascii="Arial" w:eastAsia="Batang" w:hAnsi="Arial" w:cs="Arial"/>
                <w:b/>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277993B6" w14:textId="77777777" w:rsidR="00D1585F" w:rsidRPr="00E263A2" w:rsidRDefault="00D1585F" w:rsidP="00A437F3">
            <w:pPr>
              <w:pStyle w:val="TAH"/>
              <w:tabs>
                <w:tab w:val="left" w:pos="851"/>
              </w:tabs>
              <w:snapToGrid w:val="0"/>
              <w:rPr>
                <w:rFonts w:eastAsia="Batang" w:cs="Arial"/>
                <w:b w:val="0"/>
                <w:szCs w:val="18"/>
                <w:lang w:val="en-US" w:eastAsia="ko-KR"/>
              </w:rPr>
            </w:pPr>
            <w:r w:rsidRPr="00E263A2">
              <w:rPr>
                <w:rFonts w:eastAsia="Batang" w:cs="Arial"/>
                <w:b w:val="0"/>
                <w:szCs w:val="18"/>
                <w:lang w:val="en-US" w:eastAsia="ko-KR"/>
              </w:rPr>
              <w:t>All cases</w:t>
            </w:r>
          </w:p>
        </w:tc>
        <w:tc>
          <w:tcPr>
            <w:tcW w:w="2757" w:type="dxa"/>
            <w:tcBorders>
              <w:top w:val="single" w:sz="4" w:space="0" w:color="auto"/>
              <w:left w:val="single" w:sz="4" w:space="0" w:color="auto"/>
              <w:bottom w:val="single" w:sz="4" w:space="0" w:color="auto"/>
              <w:right w:val="single" w:sz="4" w:space="0" w:color="auto"/>
            </w:tcBorders>
            <w:shd w:val="clear" w:color="auto" w:fill="E7E6E6"/>
            <w:hideMark/>
          </w:tcPr>
          <w:p w14:paraId="7E24750B" w14:textId="77777777" w:rsidR="00D1585F" w:rsidRPr="00E263A2" w:rsidRDefault="00D1585F" w:rsidP="00A437F3">
            <w:pPr>
              <w:pStyle w:val="TAH"/>
              <w:tabs>
                <w:tab w:val="left" w:pos="851"/>
              </w:tabs>
              <w:snapToGrid w:val="0"/>
              <w:rPr>
                <w:rFonts w:eastAsia="Batang" w:cs="Arial"/>
                <w:b w:val="0"/>
                <w:szCs w:val="18"/>
                <w:lang w:val="en-US" w:eastAsia="ko-KR"/>
              </w:rPr>
            </w:pPr>
            <w:r w:rsidRPr="00E263A2">
              <w:rPr>
                <w:rFonts w:eastAsia="Batang" w:cs="Arial"/>
                <w:b w:val="0"/>
                <w:szCs w:val="18"/>
                <w:lang w:val="en-US" w:eastAsia="ko-KR"/>
              </w:rPr>
              <w:t>Full coherent</w:t>
            </w:r>
          </w:p>
        </w:tc>
        <w:tc>
          <w:tcPr>
            <w:tcW w:w="2840" w:type="dxa"/>
            <w:tcBorders>
              <w:top w:val="single" w:sz="4" w:space="0" w:color="auto"/>
              <w:left w:val="single" w:sz="4" w:space="0" w:color="auto"/>
              <w:bottom w:val="single" w:sz="4" w:space="0" w:color="auto"/>
              <w:right w:val="single" w:sz="4" w:space="0" w:color="auto"/>
            </w:tcBorders>
            <w:shd w:val="clear" w:color="auto" w:fill="E7E6E6"/>
            <w:hideMark/>
          </w:tcPr>
          <w:p w14:paraId="57AB3595" w14:textId="77777777" w:rsidR="00D1585F" w:rsidRDefault="00D1585F" w:rsidP="00A437F3">
            <w:pPr>
              <w:pStyle w:val="TAH"/>
              <w:tabs>
                <w:tab w:val="left" w:pos="851"/>
              </w:tabs>
              <w:snapToGrid w:val="0"/>
              <w:rPr>
                <w:rFonts w:eastAsia="Batang" w:cs="Arial"/>
                <w:szCs w:val="18"/>
                <w:lang w:val="en-US" w:eastAsia="ko-KR"/>
              </w:rPr>
            </w:pPr>
            <w:r>
              <w:rPr>
                <w:rFonts w:eastAsia="Batang" w:cs="Arial"/>
                <w:b w:val="0"/>
                <w:szCs w:val="18"/>
                <w:lang w:val="en-US" w:eastAsia="ko-KR"/>
              </w:rPr>
              <w:t>Partial and non- coherent and non-codebook based</w:t>
            </w:r>
          </w:p>
        </w:tc>
      </w:tr>
      <w:tr w:rsidR="00D1585F" w14:paraId="531F16AE" w14:textId="77777777" w:rsidTr="00A437F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0645CB" w14:textId="77777777" w:rsidR="00D1585F" w:rsidRDefault="00D1585F" w:rsidP="00A437F3">
            <w:pPr>
              <w:pStyle w:val="TAH"/>
              <w:snapToGrid w:val="0"/>
              <w:rPr>
                <w:rFonts w:eastAsia="Batang" w:cs="Arial"/>
                <w:b w:val="0"/>
                <w:szCs w:val="18"/>
                <w:lang w:val="en-US" w:eastAsia="ko-KR"/>
              </w:rPr>
            </w:pPr>
            <w:r>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5DB0686B" w14:textId="77777777" w:rsidR="00D1585F" w:rsidRPr="00E263A2" w:rsidRDefault="00D1585F" w:rsidP="00A437F3">
            <w:pPr>
              <w:pStyle w:val="TAH"/>
              <w:snapToGrid w:val="0"/>
              <w:rPr>
                <w:rFonts w:eastAsia="Batang" w:cs="Arial"/>
                <w:b w:val="0"/>
                <w:szCs w:val="18"/>
                <w:lang w:val="en-US" w:eastAsia="ko-KR"/>
              </w:rPr>
            </w:pPr>
            <w:r>
              <w:rPr>
                <w:rFonts w:eastAsia="Batang" w:cs="Arial"/>
                <w:b w:val="0"/>
                <w:szCs w:val="18"/>
                <w:lang w:val="en-US" w:eastAsia="ko-KR"/>
              </w:rPr>
              <w:t>0</w:t>
            </w:r>
          </w:p>
        </w:tc>
        <w:tc>
          <w:tcPr>
            <w:tcW w:w="2757" w:type="dxa"/>
            <w:tcBorders>
              <w:top w:val="single" w:sz="4" w:space="0" w:color="auto"/>
              <w:left w:val="single" w:sz="4" w:space="0" w:color="auto"/>
              <w:bottom w:val="single" w:sz="4" w:space="0" w:color="auto"/>
              <w:right w:val="single" w:sz="4" w:space="0" w:color="auto"/>
            </w:tcBorders>
            <w:hideMark/>
          </w:tcPr>
          <w:p w14:paraId="53A2AB75" w14:textId="77777777" w:rsidR="00D1585F" w:rsidRPr="00E263A2" w:rsidRDefault="00D1585F" w:rsidP="00A437F3">
            <w:pPr>
              <w:pStyle w:val="TAH"/>
              <w:snapToGrid w:val="0"/>
              <w:rPr>
                <w:rFonts w:eastAsia="Batang" w:cs="Arial"/>
                <w:b w:val="0"/>
                <w:szCs w:val="18"/>
                <w:lang w:val="en-US" w:eastAsia="ko-KR"/>
              </w:rPr>
            </w:pPr>
            <w:r w:rsidRPr="00E263A2">
              <w:rPr>
                <w:rFonts w:eastAsia="Batang" w:cs="Arial"/>
                <w:b w:val="0"/>
                <w:szCs w:val="18"/>
                <w:lang w:val="en-US" w:eastAsia="ko-KR"/>
              </w:rPr>
              <w:t>3</w:t>
            </w:r>
          </w:p>
        </w:tc>
        <w:tc>
          <w:tcPr>
            <w:tcW w:w="2840" w:type="dxa"/>
            <w:tcBorders>
              <w:top w:val="single" w:sz="4" w:space="0" w:color="auto"/>
              <w:left w:val="single" w:sz="4" w:space="0" w:color="auto"/>
              <w:bottom w:val="single" w:sz="4" w:space="0" w:color="auto"/>
              <w:right w:val="single" w:sz="4" w:space="0" w:color="auto"/>
            </w:tcBorders>
            <w:hideMark/>
          </w:tcPr>
          <w:p w14:paraId="2298987F" w14:textId="77777777" w:rsidR="00D1585F" w:rsidRDefault="00D1585F" w:rsidP="00A437F3">
            <w:pPr>
              <w:pStyle w:val="TAH"/>
              <w:snapToGrid w:val="0"/>
              <w:rPr>
                <w:rFonts w:eastAsia="Batang" w:cs="Arial"/>
                <w:b w:val="0"/>
                <w:szCs w:val="18"/>
                <w:lang w:val="en-US" w:eastAsia="ko-KR"/>
              </w:rPr>
            </w:pPr>
            <w:r>
              <w:rPr>
                <w:rFonts w:eastAsia="Batang" w:cs="Arial"/>
                <w:b w:val="0"/>
                <w:szCs w:val="18"/>
                <w:lang w:val="en-US" w:eastAsia="ko-KR"/>
              </w:rPr>
              <w:t>3</w:t>
            </w:r>
            <m:oMath>
              <m:sSub>
                <m:sSubPr>
                  <m:ctrlPr>
                    <w:rPr>
                      <w:rFonts w:ascii="Cambria Math" w:eastAsiaTheme="minorEastAsia" w:hAnsi="Cambria Math"/>
                      <w:i/>
                    </w:rPr>
                  </m:ctrlPr>
                </m:sSubPr>
                <m:e>
                  <m:r>
                    <m:rPr>
                      <m:sty m:val="bi"/>
                    </m:rPr>
                    <w:rPr>
                      <w:rFonts w:ascii="Cambria Math" w:eastAsiaTheme="minorEastAsia" w:hAnsi="Cambria Math"/>
                    </w:rPr>
                    <m:t>Q</m:t>
                  </m:r>
                </m:e>
                <m:sub>
                  <m:r>
                    <m:rPr>
                      <m:sty m:val="bi"/>
                    </m:rPr>
                    <w:rPr>
                      <w:rFonts w:ascii="Cambria Math" w:eastAsiaTheme="minorEastAsia" w:hAnsi="Cambria Math"/>
                    </w:rPr>
                    <m:t>p</m:t>
                  </m:r>
                </m:sub>
              </m:sSub>
              <m:r>
                <m:rPr>
                  <m:sty m:val="bi"/>
                </m:rPr>
                <w:rPr>
                  <w:rFonts w:ascii="Cambria Math" w:eastAsiaTheme="minorEastAsia" w:hAnsi="Cambria Math"/>
                </w:rPr>
                <m:t>-3</m:t>
              </m:r>
            </m:oMath>
          </w:p>
        </w:tc>
      </w:tr>
      <w:tr w:rsidR="00D1585F" w14:paraId="58931991" w14:textId="77777777" w:rsidTr="00A437F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AB5E32E" w14:textId="77777777" w:rsidR="00D1585F" w:rsidRPr="007A18E2" w:rsidRDefault="00D1585F" w:rsidP="00A437F3">
            <w:pPr>
              <w:pStyle w:val="TAH"/>
              <w:snapToGrid w:val="0"/>
              <w:rPr>
                <w:rFonts w:eastAsiaTheme="minorEastAsia" w:cs="Arial"/>
                <w:b w:val="0"/>
                <w:szCs w:val="18"/>
                <w:lang w:val="en-US" w:eastAsia="zh-CN"/>
              </w:rPr>
            </w:pPr>
            <w:r>
              <w:rPr>
                <w:rFonts w:eastAsiaTheme="minorEastAsia" w:cs="Arial"/>
                <w:b w:val="0"/>
                <w:szCs w:val="18"/>
                <w:lang w:val="en-US" w:eastAsia="zh-CN"/>
              </w:rPr>
              <w:t>01</w:t>
            </w:r>
          </w:p>
        </w:tc>
        <w:tc>
          <w:tcPr>
            <w:tcW w:w="0" w:type="auto"/>
            <w:tcBorders>
              <w:top w:val="single" w:sz="4" w:space="0" w:color="auto"/>
              <w:left w:val="single" w:sz="4" w:space="0" w:color="auto"/>
              <w:bottom w:val="single" w:sz="4" w:space="0" w:color="auto"/>
              <w:right w:val="single" w:sz="4" w:space="0" w:color="auto"/>
            </w:tcBorders>
          </w:tcPr>
          <w:p w14:paraId="5ED950F9" w14:textId="77777777" w:rsidR="00D1585F" w:rsidRPr="00E263A2" w:rsidRDefault="00D1585F" w:rsidP="00A437F3">
            <w:pPr>
              <w:pStyle w:val="TAH"/>
              <w:snapToGrid w:val="0"/>
              <w:rPr>
                <w:rFonts w:eastAsia="Batang" w:cs="Arial"/>
                <w:b w:val="0"/>
                <w:szCs w:val="18"/>
                <w:lang w:val="en-US" w:eastAsia="ko-KR"/>
              </w:rPr>
            </w:pPr>
            <w:r>
              <w:rPr>
                <w:rFonts w:eastAsia="Batang" w:cs="Arial"/>
                <w:b w:val="0"/>
                <w:szCs w:val="18"/>
                <w:lang w:val="en-US" w:eastAsia="ko-KR"/>
              </w:rPr>
              <w:t>0</w:t>
            </w:r>
          </w:p>
        </w:tc>
        <w:tc>
          <w:tcPr>
            <w:tcW w:w="2757" w:type="dxa"/>
            <w:tcBorders>
              <w:top w:val="single" w:sz="4" w:space="0" w:color="auto"/>
              <w:left w:val="single" w:sz="4" w:space="0" w:color="auto"/>
              <w:bottom w:val="single" w:sz="4" w:space="0" w:color="auto"/>
              <w:right w:val="single" w:sz="4" w:space="0" w:color="auto"/>
            </w:tcBorders>
          </w:tcPr>
          <w:p w14:paraId="5204448F" w14:textId="77777777" w:rsidR="00D1585F" w:rsidRPr="00E263A2" w:rsidRDefault="00D1585F" w:rsidP="00A437F3">
            <w:pPr>
              <w:pStyle w:val="TAH"/>
              <w:snapToGrid w:val="0"/>
              <w:rPr>
                <w:rFonts w:eastAsia="Batang" w:cs="Arial"/>
                <w:b w:val="0"/>
                <w:szCs w:val="18"/>
                <w:lang w:val="en-US" w:eastAsia="ko-KR"/>
              </w:rPr>
            </w:pPr>
            <w:r w:rsidRPr="00E263A2">
              <w:rPr>
                <w:rFonts w:eastAsia="Batang" w:cs="Arial"/>
                <w:b w:val="0"/>
                <w:szCs w:val="18"/>
                <w:lang w:val="en-US" w:eastAsia="ko-KR"/>
              </w:rPr>
              <w:t>3</w:t>
            </w:r>
          </w:p>
        </w:tc>
        <w:tc>
          <w:tcPr>
            <w:tcW w:w="2840" w:type="dxa"/>
            <w:tcBorders>
              <w:top w:val="single" w:sz="4" w:space="0" w:color="auto"/>
              <w:left w:val="single" w:sz="4" w:space="0" w:color="auto"/>
              <w:bottom w:val="single" w:sz="4" w:space="0" w:color="auto"/>
              <w:right w:val="single" w:sz="4" w:space="0" w:color="auto"/>
            </w:tcBorders>
          </w:tcPr>
          <w:p w14:paraId="08C71591" w14:textId="77777777" w:rsidR="00D1585F" w:rsidRDefault="00D1585F" w:rsidP="00A437F3">
            <w:pPr>
              <w:pStyle w:val="TAH"/>
              <w:snapToGrid w:val="0"/>
              <w:rPr>
                <w:rFonts w:eastAsia="Batang" w:cs="Arial"/>
                <w:b w:val="0"/>
                <w:szCs w:val="18"/>
                <w:lang w:val="en-US" w:eastAsia="ko-KR"/>
              </w:rPr>
            </w:pPr>
            <w:r>
              <w:rPr>
                <w:rFonts w:eastAsia="Batang" w:cs="Arial"/>
                <w:b w:val="0"/>
                <w:szCs w:val="18"/>
                <w:lang w:val="en-US" w:eastAsia="ko-KR"/>
              </w:rPr>
              <w:t>3</w:t>
            </w:r>
          </w:p>
        </w:tc>
      </w:tr>
      <w:tr w:rsidR="00D1585F" w14:paraId="10778B8D" w14:textId="77777777" w:rsidTr="00A437F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48AADE" w14:textId="77777777" w:rsidR="00D1585F" w:rsidRDefault="00D1585F" w:rsidP="00A437F3">
            <w:pPr>
              <w:pStyle w:val="TAH"/>
              <w:snapToGrid w:val="0"/>
              <w:rPr>
                <w:rFonts w:eastAsia="Batang" w:cs="Arial"/>
                <w:b w:val="0"/>
                <w:szCs w:val="18"/>
                <w:lang w:val="en-US" w:eastAsia="ko-KR"/>
              </w:rPr>
            </w:pPr>
            <w:r>
              <w:rPr>
                <w:rFonts w:eastAsia="Batang" w:cs="Arial"/>
                <w:b w:val="0"/>
                <w:szCs w:val="18"/>
                <w:lang w:val="en-US" w:eastAsia="ko-KR"/>
              </w:rPr>
              <w:t>10</w:t>
            </w:r>
          </w:p>
        </w:tc>
        <w:tc>
          <w:tcPr>
            <w:tcW w:w="6502" w:type="dxa"/>
            <w:gridSpan w:val="3"/>
            <w:tcBorders>
              <w:top w:val="single" w:sz="4" w:space="0" w:color="auto"/>
              <w:left w:val="single" w:sz="4" w:space="0" w:color="auto"/>
              <w:bottom w:val="single" w:sz="4" w:space="0" w:color="auto"/>
              <w:right w:val="single" w:sz="4" w:space="0" w:color="auto"/>
            </w:tcBorders>
            <w:hideMark/>
          </w:tcPr>
          <w:p w14:paraId="64CFBC4C" w14:textId="77777777" w:rsidR="00D1585F" w:rsidRDefault="00D1585F" w:rsidP="00A437F3">
            <w:pPr>
              <w:pStyle w:val="TAH"/>
              <w:snapToGrid w:val="0"/>
              <w:rPr>
                <w:rFonts w:eastAsia="Batang" w:cs="Arial"/>
                <w:b w:val="0"/>
                <w:szCs w:val="18"/>
                <w:lang w:val="en-US" w:eastAsia="ko-KR"/>
              </w:rPr>
            </w:pPr>
            <w:r>
              <w:rPr>
                <w:rFonts w:eastAsia="Batang" w:cs="Arial"/>
                <w:b w:val="0"/>
                <w:szCs w:val="18"/>
                <w:lang w:val="en-US" w:eastAsia="ko-KR"/>
              </w:rPr>
              <w:t>reserved</w:t>
            </w:r>
          </w:p>
        </w:tc>
      </w:tr>
      <w:tr w:rsidR="00D1585F" w14:paraId="16068887" w14:textId="77777777" w:rsidTr="00A437F3">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314ED4" w14:textId="77777777" w:rsidR="00D1585F" w:rsidRDefault="00D1585F" w:rsidP="00A437F3">
            <w:pPr>
              <w:pStyle w:val="TAH"/>
              <w:snapToGrid w:val="0"/>
              <w:rPr>
                <w:rFonts w:eastAsia="Batang" w:cs="Arial"/>
                <w:b w:val="0"/>
                <w:szCs w:val="18"/>
                <w:lang w:val="en-US" w:eastAsia="ko-KR"/>
              </w:rPr>
            </w:pPr>
            <w:r>
              <w:rPr>
                <w:rFonts w:eastAsia="Batang" w:cs="Arial"/>
                <w:b w:val="0"/>
                <w:szCs w:val="18"/>
                <w:lang w:val="en-US" w:eastAsia="ko-KR"/>
              </w:rPr>
              <w:t>11</w:t>
            </w:r>
          </w:p>
        </w:tc>
        <w:tc>
          <w:tcPr>
            <w:tcW w:w="6502" w:type="dxa"/>
            <w:gridSpan w:val="3"/>
            <w:tcBorders>
              <w:top w:val="single" w:sz="4" w:space="0" w:color="auto"/>
              <w:left w:val="single" w:sz="4" w:space="0" w:color="auto"/>
              <w:bottom w:val="single" w:sz="4" w:space="0" w:color="auto"/>
              <w:right w:val="single" w:sz="4" w:space="0" w:color="auto"/>
            </w:tcBorders>
            <w:hideMark/>
          </w:tcPr>
          <w:p w14:paraId="5FA9F41B" w14:textId="77777777" w:rsidR="00D1585F" w:rsidRDefault="00D1585F" w:rsidP="00A437F3">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13B058EB" w14:textId="77777777" w:rsidR="00D1585F" w:rsidRDefault="00D1585F" w:rsidP="00D1585F">
      <w:pPr>
        <w:rPr>
          <w:rFonts w:eastAsiaTheme="minorEastAsia"/>
        </w:rPr>
      </w:pPr>
    </w:p>
    <w:p w14:paraId="6B3A1002" w14:textId="77777777" w:rsidR="004503F2" w:rsidRPr="00E918D5" w:rsidRDefault="004503F2" w:rsidP="004503F2">
      <w:pPr>
        <w:pStyle w:val="1"/>
        <w:rPr>
          <w:rFonts w:eastAsiaTheme="minorEastAsia"/>
          <w:lang w:val="en-GB" w:eastAsia="zh-CN"/>
        </w:rPr>
      </w:pPr>
      <w:r w:rsidRPr="00E918D5">
        <w:rPr>
          <w:rFonts w:eastAsiaTheme="minorEastAsia"/>
          <w:lang w:val="en-GB" w:eastAsia="zh-CN"/>
        </w:rPr>
        <w:t>References</w:t>
      </w:r>
    </w:p>
    <w:p w14:paraId="3329F21D" w14:textId="77777777" w:rsidR="004503F2" w:rsidRDefault="004503F2" w:rsidP="00D1585F">
      <w:pPr>
        <w:rPr>
          <w:rFonts w:eastAsiaTheme="minorEastAsia"/>
        </w:rPr>
      </w:pPr>
    </w:p>
    <w:p w14:paraId="155ED9C9" w14:textId="183A887F" w:rsidR="004503F2" w:rsidRDefault="004503F2" w:rsidP="004503F2">
      <w:pPr>
        <w:rPr>
          <w:kern w:val="2"/>
          <w:lang w:val="en-GB"/>
        </w:rPr>
      </w:pPr>
      <w:r w:rsidRPr="00BE19F5">
        <w:rPr>
          <w:kern w:val="2"/>
          <w:lang w:val="en-GB"/>
        </w:rPr>
        <w:t>[</w:t>
      </w:r>
      <w:r>
        <w:rPr>
          <w:kern w:val="2"/>
          <w:lang w:val="en-GB"/>
        </w:rPr>
        <w:t>1</w:t>
      </w:r>
      <w:r w:rsidRPr="00BE19F5">
        <w:rPr>
          <w:kern w:val="2"/>
          <w:lang w:val="en-GB"/>
        </w:rPr>
        <w:t xml:space="preserve">] </w:t>
      </w:r>
      <w:r w:rsidRPr="00CD52E7">
        <w:rPr>
          <w:kern w:val="2"/>
          <w:lang w:val="en-GB"/>
        </w:rPr>
        <w:t>R1-2310283</w:t>
      </w:r>
      <w:r w:rsidRPr="00BE19F5">
        <w:rPr>
          <w:kern w:val="2"/>
          <w:lang w:val="en-GB"/>
        </w:rPr>
        <w:t xml:space="preserve">, </w:t>
      </w:r>
      <w:r w:rsidRPr="00CD52E7">
        <w:rPr>
          <w:kern w:val="2"/>
          <w:lang w:val="en-GB"/>
        </w:rPr>
        <w:t>Summary #3 on Rel-18 STxMP</w:t>
      </w:r>
      <w:r w:rsidRPr="00BE19F5">
        <w:rPr>
          <w:kern w:val="2"/>
          <w:lang w:val="en-GB"/>
        </w:rPr>
        <w:t xml:space="preserve">, </w:t>
      </w:r>
      <w:r w:rsidRPr="004D7883">
        <w:rPr>
          <w:kern w:val="2"/>
          <w:lang w:val="en-GB"/>
        </w:rPr>
        <w:t>RAN1 #11</w:t>
      </w:r>
      <w:r>
        <w:rPr>
          <w:kern w:val="2"/>
          <w:lang w:val="en-GB"/>
        </w:rPr>
        <w:t>4</w:t>
      </w:r>
      <w:r w:rsidRPr="004D7883">
        <w:rPr>
          <w:kern w:val="2"/>
          <w:lang w:val="en-GB"/>
        </w:rPr>
        <w:t>bis</w:t>
      </w:r>
      <w:r>
        <w:rPr>
          <w:kern w:val="2"/>
          <w:lang w:val="en-GB"/>
        </w:rPr>
        <w:t xml:space="preserve">, </w:t>
      </w:r>
      <w:r w:rsidRPr="00CD52E7">
        <w:rPr>
          <w:kern w:val="2"/>
          <w:lang w:val="en-GB"/>
        </w:rPr>
        <w:t>October 9th – 13th, 2023</w:t>
      </w:r>
      <w:r w:rsidRPr="00BE19F5">
        <w:rPr>
          <w:kern w:val="2"/>
          <w:lang w:val="en-GB"/>
        </w:rPr>
        <w:t>.</w:t>
      </w:r>
    </w:p>
    <w:p w14:paraId="3757AB6E" w14:textId="77777777" w:rsidR="00671E59" w:rsidRDefault="00671E59" w:rsidP="006F6DC7">
      <w:pPr>
        <w:rPr>
          <w:rFonts w:eastAsiaTheme="minorEastAsia" w:cs="Times New Roman"/>
          <w:bCs/>
          <w:sz w:val="24"/>
          <w:szCs w:val="28"/>
        </w:rPr>
      </w:pPr>
    </w:p>
    <w:sectPr w:rsidR="00671E59" w:rsidSect="00E43A14">
      <w:pgSz w:w="12240" w:h="15840" w:code="1"/>
      <w:pgMar w:top="1440" w:right="180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6D1E4" w14:textId="77777777" w:rsidR="00564EB0" w:rsidRDefault="00564EB0"/>
  </w:endnote>
  <w:endnote w:type="continuationSeparator" w:id="0">
    <w:p w14:paraId="01F19519" w14:textId="77777777" w:rsidR="00564EB0" w:rsidRDefault="00564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E19E7" w14:textId="77777777" w:rsidR="00564EB0" w:rsidRDefault="00564EB0"/>
  </w:footnote>
  <w:footnote w:type="continuationSeparator" w:id="0">
    <w:p w14:paraId="7787853F" w14:textId="77777777" w:rsidR="00564EB0" w:rsidRDefault="00564E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42A22"/>
    <w:multiLevelType w:val="hybridMultilevel"/>
    <w:tmpl w:val="B63EF94C"/>
    <w:lvl w:ilvl="0" w:tplc="2916B5AA">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7908D9"/>
    <w:multiLevelType w:val="hybridMultilevel"/>
    <w:tmpl w:val="46B4B34A"/>
    <w:lvl w:ilvl="0" w:tplc="6314737C">
      <w:start w:val="1"/>
      <w:numFmt w:val="bullet"/>
      <w:lvlText w:val="•"/>
      <w:lvlJc w:val="left"/>
      <w:pPr>
        <w:ind w:left="836" w:hanging="420"/>
      </w:pPr>
      <w:rPr>
        <w:rFonts w:ascii="Arial" w:hAnsi="Arial" w:cs="Times New Roman" w:hint="default"/>
      </w:rPr>
    </w:lvl>
    <w:lvl w:ilvl="1" w:tplc="6314737C">
      <w:start w:val="1"/>
      <w:numFmt w:val="bullet"/>
      <w:lvlText w:val="•"/>
      <w:lvlJc w:val="left"/>
      <w:pPr>
        <w:ind w:left="1256" w:hanging="420"/>
      </w:pPr>
      <w:rPr>
        <w:rFonts w:ascii="Arial" w:hAnsi="Arial" w:cs="Times New Roman" w:hint="default"/>
      </w:rPr>
    </w:lvl>
    <w:lvl w:ilvl="2" w:tplc="04090005">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3" w15:restartNumberingAfterBreak="0">
    <w:nsid w:val="09EF525C"/>
    <w:multiLevelType w:val="hybridMultilevel"/>
    <w:tmpl w:val="CE504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020F5D"/>
    <w:multiLevelType w:val="hybridMultilevel"/>
    <w:tmpl w:val="7ECCF150"/>
    <w:lvl w:ilvl="0" w:tplc="C2FCB1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0BE08CB"/>
    <w:multiLevelType w:val="hybridMultilevel"/>
    <w:tmpl w:val="2154F844"/>
    <w:lvl w:ilvl="0" w:tplc="0409000B">
      <w:start w:val="1"/>
      <w:numFmt w:val="bullet"/>
      <w:lvlText w:val=""/>
      <w:lvlJc w:val="left"/>
      <w:pPr>
        <w:ind w:left="836" w:hanging="420"/>
      </w:pPr>
      <w:rPr>
        <w:rFonts w:ascii="Wingdings" w:hAnsi="Wingdings" w:hint="default"/>
      </w:rPr>
    </w:lvl>
    <w:lvl w:ilvl="1" w:tplc="04090003">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7" w15:restartNumberingAfterBreak="0">
    <w:nsid w:val="16643A7C"/>
    <w:multiLevelType w:val="hybridMultilevel"/>
    <w:tmpl w:val="C5222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24792"/>
    <w:multiLevelType w:val="hybridMultilevel"/>
    <w:tmpl w:val="011270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56DCF"/>
    <w:multiLevelType w:val="hybridMultilevel"/>
    <w:tmpl w:val="5D5623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F59E2"/>
    <w:multiLevelType w:val="hybridMultilevel"/>
    <w:tmpl w:val="058A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707C7"/>
    <w:multiLevelType w:val="hybridMultilevel"/>
    <w:tmpl w:val="FED4C0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4B3A2B"/>
    <w:multiLevelType w:val="hybridMultilevel"/>
    <w:tmpl w:val="D40C5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962CBFD0"/>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2136"/>
        </w:tabs>
        <w:ind w:left="213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CC4CE7"/>
    <w:multiLevelType w:val="hybridMultilevel"/>
    <w:tmpl w:val="EC949F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5562FA"/>
    <w:multiLevelType w:val="hybridMultilevel"/>
    <w:tmpl w:val="CEC88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E71FF9"/>
    <w:multiLevelType w:val="hybridMultilevel"/>
    <w:tmpl w:val="A442E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856599"/>
    <w:multiLevelType w:val="hybridMultilevel"/>
    <w:tmpl w:val="CD4A1E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6024C3"/>
    <w:multiLevelType w:val="hybridMultilevel"/>
    <w:tmpl w:val="23804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FB75AB"/>
    <w:multiLevelType w:val="hybridMultilevel"/>
    <w:tmpl w:val="080A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247F1"/>
    <w:multiLevelType w:val="hybridMultilevel"/>
    <w:tmpl w:val="624442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F85F23"/>
    <w:multiLevelType w:val="hybridMultilevel"/>
    <w:tmpl w:val="3A72AF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882074"/>
    <w:multiLevelType w:val="hybridMultilevel"/>
    <w:tmpl w:val="37227E74"/>
    <w:lvl w:ilvl="0" w:tplc="5DC4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EBB7ECF"/>
    <w:multiLevelType w:val="hybridMultilevel"/>
    <w:tmpl w:val="AA5E49D6"/>
    <w:lvl w:ilvl="0" w:tplc="972CE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F97FE5"/>
    <w:multiLevelType w:val="hybridMultilevel"/>
    <w:tmpl w:val="72AA87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427563"/>
    <w:multiLevelType w:val="hybridMultilevel"/>
    <w:tmpl w:val="7486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E144319"/>
    <w:multiLevelType w:val="multilevel"/>
    <w:tmpl w:val="B71AF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F62B73"/>
    <w:multiLevelType w:val="hybridMultilevel"/>
    <w:tmpl w:val="FA66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D0DA5"/>
    <w:multiLevelType w:val="hybridMultilevel"/>
    <w:tmpl w:val="6DC242A6"/>
    <w:lvl w:ilvl="0" w:tplc="6314737C">
      <w:start w:val="1"/>
      <w:numFmt w:val="bullet"/>
      <w:lvlText w:val="•"/>
      <w:lvlJc w:val="left"/>
      <w:pPr>
        <w:ind w:left="836" w:hanging="420"/>
      </w:pPr>
      <w:rPr>
        <w:rFonts w:ascii="Arial" w:hAnsi="Arial" w:cs="Times New Roman" w:hint="default"/>
      </w:rPr>
    </w:lvl>
    <w:lvl w:ilvl="1" w:tplc="6314737C">
      <w:start w:val="1"/>
      <w:numFmt w:val="bullet"/>
      <w:lvlText w:val="•"/>
      <w:lvlJc w:val="left"/>
      <w:pPr>
        <w:ind w:left="1256" w:hanging="420"/>
      </w:pPr>
      <w:rPr>
        <w:rFonts w:ascii="Arial" w:hAnsi="Arial" w:cs="Times New Roman" w:hint="default"/>
      </w:rPr>
    </w:lvl>
    <w:lvl w:ilvl="2" w:tplc="6314737C">
      <w:start w:val="1"/>
      <w:numFmt w:val="bullet"/>
      <w:lvlText w:val="•"/>
      <w:lvlJc w:val="left"/>
      <w:pPr>
        <w:ind w:left="1676" w:hanging="420"/>
      </w:pPr>
      <w:rPr>
        <w:rFonts w:ascii="Arial" w:hAnsi="Arial" w:cs="Times New Roman"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40"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EEC6524"/>
    <w:multiLevelType w:val="hybridMultilevel"/>
    <w:tmpl w:val="37A4D968"/>
    <w:lvl w:ilvl="0" w:tplc="6314737C">
      <w:start w:val="1"/>
      <w:numFmt w:val="bullet"/>
      <w:lvlText w:val="•"/>
      <w:lvlJc w:val="left"/>
      <w:pPr>
        <w:ind w:left="836" w:hanging="420"/>
      </w:pPr>
      <w:rPr>
        <w:rFonts w:ascii="Arial" w:hAnsi="Arial" w:cs="Times New Roman" w:hint="default"/>
      </w:rPr>
    </w:lvl>
    <w:lvl w:ilvl="1" w:tplc="04090003">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43" w15:restartNumberingAfterBreak="0">
    <w:nsid w:val="7F926323"/>
    <w:multiLevelType w:val="hybridMultilevel"/>
    <w:tmpl w:val="E99461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3"/>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3"/>
  </w:num>
  <w:num w:numId="8">
    <w:abstractNumId w:val="12"/>
  </w:num>
  <w:num w:numId="9">
    <w:abstractNumId w:val="28"/>
  </w:num>
  <w:num w:numId="10">
    <w:abstractNumId w:val="37"/>
  </w:num>
  <w:num w:numId="11">
    <w:abstractNumId w:val="27"/>
  </w:num>
  <w:num w:numId="12">
    <w:abstractNumId w:val="1"/>
  </w:num>
  <w:num w:numId="13">
    <w:abstractNumId w:val="14"/>
  </w:num>
  <w:num w:numId="14">
    <w:abstractNumId w:val="21"/>
  </w:num>
  <w:num w:numId="15">
    <w:abstractNumId w:val="43"/>
  </w:num>
  <w:num w:numId="16">
    <w:abstractNumId w:val="10"/>
  </w:num>
  <w:num w:numId="17">
    <w:abstractNumId w:val="17"/>
  </w:num>
  <w:num w:numId="18">
    <w:abstractNumId w:val="29"/>
  </w:num>
  <w:num w:numId="19">
    <w:abstractNumId w:val="5"/>
  </w:num>
  <w:num w:numId="20">
    <w:abstractNumId w:val="15"/>
  </w:num>
  <w:num w:numId="21">
    <w:abstractNumId w:val="32"/>
  </w:num>
  <w:num w:numId="22">
    <w:abstractNumId w:val="30"/>
  </w:num>
  <w:num w:numId="23">
    <w:abstractNumId w:val="33"/>
  </w:num>
  <w:num w:numId="24">
    <w:abstractNumId w:val="24"/>
  </w:num>
  <w:num w:numId="25">
    <w:abstractNumId w:val="38"/>
  </w:num>
  <w:num w:numId="26">
    <w:abstractNumId w:val="4"/>
  </w:num>
  <w:num w:numId="27">
    <w:abstractNumId w:val="34"/>
  </w:num>
  <w:num w:numId="28">
    <w:abstractNumId w:val="26"/>
  </w:num>
  <w:num w:numId="29">
    <w:abstractNumId w:val="20"/>
  </w:num>
  <w:num w:numId="30">
    <w:abstractNumId w:val="40"/>
  </w:num>
  <w:num w:numId="31">
    <w:abstractNumId w:val="15"/>
  </w:num>
  <w:num w:numId="32">
    <w:abstractNumId w:val="1"/>
  </w:num>
  <w:num w:numId="33">
    <w:abstractNumId w:val="35"/>
  </w:num>
  <w:num w:numId="34">
    <w:abstractNumId w:val="15"/>
  </w:num>
  <w:num w:numId="35">
    <w:abstractNumId w:val="41"/>
  </w:num>
  <w:num w:numId="36">
    <w:abstractNumId w:val="8"/>
  </w:num>
  <w:num w:numId="37">
    <w:abstractNumId w:val="7"/>
  </w:num>
  <w:num w:numId="38">
    <w:abstractNumId w:val="11"/>
  </w:num>
  <w:num w:numId="39">
    <w:abstractNumId w:val="16"/>
  </w:num>
  <w:num w:numId="40">
    <w:abstractNumId w:val="31"/>
  </w:num>
  <w:num w:numId="41">
    <w:abstractNumId w:val="23"/>
  </w:num>
  <w:num w:numId="42">
    <w:abstractNumId w:val="42"/>
  </w:num>
  <w:num w:numId="43">
    <w:abstractNumId w:val="2"/>
  </w:num>
  <w:num w:numId="44">
    <w:abstractNumId w:val="6"/>
  </w:num>
  <w:num w:numId="45">
    <w:abstractNumId w:val="22"/>
  </w:num>
  <w:num w:numId="46">
    <w:abstractNumId w:val="39"/>
  </w:num>
  <w:num w:numId="47">
    <w:abstractNumId w:val="25"/>
  </w:num>
  <w:num w:numId="48">
    <w:abstractNumId w:val="0"/>
  </w:num>
  <w:num w:numId="4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33"/>
    <w:rsid w:val="00002790"/>
    <w:rsid w:val="00003470"/>
    <w:rsid w:val="000035E1"/>
    <w:rsid w:val="00004B31"/>
    <w:rsid w:val="000059F9"/>
    <w:rsid w:val="000072F1"/>
    <w:rsid w:val="000123F7"/>
    <w:rsid w:val="00013E8D"/>
    <w:rsid w:val="00015144"/>
    <w:rsid w:val="0001518D"/>
    <w:rsid w:val="00016C15"/>
    <w:rsid w:val="000207E1"/>
    <w:rsid w:val="0002210B"/>
    <w:rsid w:val="000230D3"/>
    <w:rsid w:val="000234BB"/>
    <w:rsid w:val="00024BE9"/>
    <w:rsid w:val="00024D2B"/>
    <w:rsid w:val="000267BC"/>
    <w:rsid w:val="00027E41"/>
    <w:rsid w:val="00030D92"/>
    <w:rsid w:val="00031249"/>
    <w:rsid w:val="000312C6"/>
    <w:rsid w:val="0003188E"/>
    <w:rsid w:val="00031BBC"/>
    <w:rsid w:val="0003265F"/>
    <w:rsid w:val="000357D0"/>
    <w:rsid w:val="00035968"/>
    <w:rsid w:val="0004031A"/>
    <w:rsid w:val="00040DDB"/>
    <w:rsid w:val="00041146"/>
    <w:rsid w:val="000432BF"/>
    <w:rsid w:val="00043D1E"/>
    <w:rsid w:val="00043F30"/>
    <w:rsid w:val="00045600"/>
    <w:rsid w:val="000456E9"/>
    <w:rsid w:val="00046B6A"/>
    <w:rsid w:val="00047DEF"/>
    <w:rsid w:val="00050357"/>
    <w:rsid w:val="00050E56"/>
    <w:rsid w:val="00051546"/>
    <w:rsid w:val="000531EE"/>
    <w:rsid w:val="00053E6C"/>
    <w:rsid w:val="00054B7D"/>
    <w:rsid w:val="00055F80"/>
    <w:rsid w:val="00056522"/>
    <w:rsid w:val="00056CBB"/>
    <w:rsid w:val="000572BC"/>
    <w:rsid w:val="000600DE"/>
    <w:rsid w:val="000608C8"/>
    <w:rsid w:val="00062C6A"/>
    <w:rsid w:val="00062FA6"/>
    <w:rsid w:val="00063027"/>
    <w:rsid w:val="000631BF"/>
    <w:rsid w:val="000648C1"/>
    <w:rsid w:val="00064D72"/>
    <w:rsid w:val="00065542"/>
    <w:rsid w:val="00065752"/>
    <w:rsid w:val="00065862"/>
    <w:rsid w:val="00066A62"/>
    <w:rsid w:val="00070A1D"/>
    <w:rsid w:val="00070E2A"/>
    <w:rsid w:val="00071BB6"/>
    <w:rsid w:val="00071F40"/>
    <w:rsid w:val="000722D8"/>
    <w:rsid w:val="00073388"/>
    <w:rsid w:val="00073936"/>
    <w:rsid w:val="000747D3"/>
    <w:rsid w:val="00080BBA"/>
    <w:rsid w:val="00081386"/>
    <w:rsid w:val="000826DF"/>
    <w:rsid w:val="000836B7"/>
    <w:rsid w:val="000839FE"/>
    <w:rsid w:val="00083A78"/>
    <w:rsid w:val="00083AA4"/>
    <w:rsid w:val="000855F6"/>
    <w:rsid w:val="000856C3"/>
    <w:rsid w:val="00085B4A"/>
    <w:rsid w:val="000863B7"/>
    <w:rsid w:val="000864AF"/>
    <w:rsid w:val="000866A6"/>
    <w:rsid w:val="00087BA2"/>
    <w:rsid w:val="00090AFC"/>
    <w:rsid w:val="00094A71"/>
    <w:rsid w:val="00095016"/>
    <w:rsid w:val="0009537A"/>
    <w:rsid w:val="000958B0"/>
    <w:rsid w:val="00096009"/>
    <w:rsid w:val="0009601B"/>
    <w:rsid w:val="000A12D4"/>
    <w:rsid w:val="000A1CFB"/>
    <w:rsid w:val="000A2B02"/>
    <w:rsid w:val="000A3374"/>
    <w:rsid w:val="000A41F5"/>
    <w:rsid w:val="000A48C4"/>
    <w:rsid w:val="000A62EC"/>
    <w:rsid w:val="000A67E5"/>
    <w:rsid w:val="000A6FCD"/>
    <w:rsid w:val="000A7503"/>
    <w:rsid w:val="000B041A"/>
    <w:rsid w:val="000B2619"/>
    <w:rsid w:val="000B2BCC"/>
    <w:rsid w:val="000B2D90"/>
    <w:rsid w:val="000B3A79"/>
    <w:rsid w:val="000B4C31"/>
    <w:rsid w:val="000B5BAD"/>
    <w:rsid w:val="000B5FEE"/>
    <w:rsid w:val="000B7FDB"/>
    <w:rsid w:val="000C10E6"/>
    <w:rsid w:val="000C24E7"/>
    <w:rsid w:val="000C2B9B"/>
    <w:rsid w:val="000C3486"/>
    <w:rsid w:val="000C4B4D"/>
    <w:rsid w:val="000C4FD4"/>
    <w:rsid w:val="000C52BF"/>
    <w:rsid w:val="000C62B9"/>
    <w:rsid w:val="000C6412"/>
    <w:rsid w:val="000C64CF"/>
    <w:rsid w:val="000D17F1"/>
    <w:rsid w:val="000D2D51"/>
    <w:rsid w:val="000D446A"/>
    <w:rsid w:val="000D48E1"/>
    <w:rsid w:val="000D4930"/>
    <w:rsid w:val="000D6F0D"/>
    <w:rsid w:val="000E063A"/>
    <w:rsid w:val="000E20F5"/>
    <w:rsid w:val="000E26EA"/>
    <w:rsid w:val="000E2BF4"/>
    <w:rsid w:val="000E2EEC"/>
    <w:rsid w:val="000E406A"/>
    <w:rsid w:val="000E40D6"/>
    <w:rsid w:val="000E43E3"/>
    <w:rsid w:val="000E5B0E"/>
    <w:rsid w:val="000E6558"/>
    <w:rsid w:val="000E6F7E"/>
    <w:rsid w:val="000E7C68"/>
    <w:rsid w:val="000F02A0"/>
    <w:rsid w:val="000F28CE"/>
    <w:rsid w:val="000F2E7E"/>
    <w:rsid w:val="000F35CD"/>
    <w:rsid w:val="000F36A4"/>
    <w:rsid w:val="000F40EA"/>
    <w:rsid w:val="000F4DF9"/>
    <w:rsid w:val="000F5635"/>
    <w:rsid w:val="000F5F5C"/>
    <w:rsid w:val="000F6499"/>
    <w:rsid w:val="001012BC"/>
    <w:rsid w:val="001015D3"/>
    <w:rsid w:val="00101621"/>
    <w:rsid w:val="00101D9D"/>
    <w:rsid w:val="0010240A"/>
    <w:rsid w:val="00102460"/>
    <w:rsid w:val="00103695"/>
    <w:rsid w:val="00104B12"/>
    <w:rsid w:val="001054CF"/>
    <w:rsid w:val="00105D04"/>
    <w:rsid w:val="00106F98"/>
    <w:rsid w:val="0011077B"/>
    <w:rsid w:val="00112C8A"/>
    <w:rsid w:val="00113EE4"/>
    <w:rsid w:val="00114410"/>
    <w:rsid w:val="00114886"/>
    <w:rsid w:val="00115090"/>
    <w:rsid w:val="00115DD4"/>
    <w:rsid w:val="00116DD1"/>
    <w:rsid w:val="001208DE"/>
    <w:rsid w:val="00121298"/>
    <w:rsid w:val="001212C0"/>
    <w:rsid w:val="00124B69"/>
    <w:rsid w:val="00126CDD"/>
    <w:rsid w:val="001300D5"/>
    <w:rsid w:val="0013146C"/>
    <w:rsid w:val="001315E7"/>
    <w:rsid w:val="00132064"/>
    <w:rsid w:val="00133568"/>
    <w:rsid w:val="001350BB"/>
    <w:rsid w:val="001352B9"/>
    <w:rsid w:val="001353B7"/>
    <w:rsid w:val="001355B1"/>
    <w:rsid w:val="00135AB8"/>
    <w:rsid w:val="00135BF0"/>
    <w:rsid w:val="00136009"/>
    <w:rsid w:val="00136124"/>
    <w:rsid w:val="0013672F"/>
    <w:rsid w:val="00137E9D"/>
    <w:rsid w:val="00140AAB"/>
    <w:rsid w:val="001412D2"/>
    <w:rsid w:val="00141306"/>
    <w:rsid w:val="0014279B"/>
    <w:rsid w:val="001440D4"/>
    <w:rsid w:val="00145735"/>
    <w:rsid w:val="001524B6"/>
    <w:rsid w:val="00152A4A"/>
    <w:rsid w:val="00153431"/>
    <w:rsid w:val="0015393D"/>
    <w:rsid w:val="00153CED"/>
    <w:rsid w:val="001541B5"/>
    <w:rsid w:val="00154505"/>
    <w:rsid w:val="00155082"/>
    <w:rsid w:val="001550F8"/>
    <w:rsid w:val="00155539"/>
    <w:rsid w:val="0015589D"/>
    <w:rsid w:val="00156C43"/>
    <w:rsid w:val="00161526"/>
    <w:rsid w:val="00161F1D"/>
    <w:rsid w:val="0016338C"/>
    <w:rsid w:val="001642C9"/>
    <w:rsid w:val="00164954"/>
    <w:rsid w:val="00166CD5"/>
    <w:rsid w:val="001670C7"/>
    <w:rsid w:val="001703EF"/>
    <w:rsid w:val="00170C3B"/>
    <w:rsid w:val="00171A08"/>
    <w:rsid w:val="00172091"/>
    <w:rsid w:val="0017220D"/>
    <w:rsid w:val="00172CF6"/>
    <w:rsid w:val="00173025"/>
    <w:rsid w:val="001730CC"/>
    <w:rsid w:val="001753A3"/>
    <w:rsid w:val="00175777"/>
    <w:rsid w:val="0017761B"/>
    <w:rsid w:val="00181288"/>
    <w:rsid w:val="00181F22"/>
    <w:rsid w:val="00184F87"/>
    <w:rsid w:val="00186A0F"/>
    <w:rsid w:val="00186BA2"/>
    <w:rsid w:val="001872DA"/>
    <w:rsid w:val="00190208"/>
    <w:rsid w:val="001917C5"/>
    <w:rsid w:val="00192BDA"/>
    <w:rsid w:val="001938A7"/>
    <w:rsid w:val="00194246"/>
    <w:rsid w:val="0019555B"/>
    <w:rsid w:val="001962FC"/>
    <w:rsid w:val="001970B7"/>
    <w:rsid w:val="001A18C5"/>
    <w:rsid w:val="001A1C45"/>
    <w:rsid w:val="001A2116"/>
    <w:rsid w:val="001A2B00"/>
    <w:rsid w:val="001A3099"/>
    <w:rsid w:val="001A30E3"/>
    <w:rsid w:val="001A4FF9"/>
    <w:rsid w:val="001A528E"/>
    <w:rsid w:val="001A60F7"/>
    <w:rsid w:val="001A7C53"/>
    <w:rsid w:val="001A7EB7"/>
    <w:rsid w:val="001B00DD"/>
    <w:rsid w:val="001B1072"/>
    <w:rsid w:val="001B337D"/>
    <w:rsid w:val="001B3BB5"/>
    <w:rsid w:val="001B4691"/>
    <w:rsid w:val="001B4C77"/>
    <w:rsid w:val="001B71CD"/>
    <w:rsid w:val="001C1716"/>
    <w:rsid w:val="001C175D"/>
    <w:rsid w:val="001C1C28"/>
    <w:rsid w:val="001C1ED6"/>
    <w:rsid w:val="001C6A12"/>
    <w:rsid w:val="001C6ADE"/>
    <w:rsid w:val="001C7A6E"/>
    <w:rsid w:val="001D04DC"/>
    <w:rsid w:val="001D069A"/>
    <w:rsid w:val="001D0E22"/>
    <w:rsid w:val="001D0E26"/>
    <w:rsid w:val="001D3E0B"/>
    <w:rsid w:val="001D4CDD"/>
    <w:rsid w:val="001D5929"/>
    <w:rsid w:val="001D60F6"/>
    <w:rsid w:val="001D6865"/>
    <w:rsid w:val="001D7252"/>
    <w:rsid w:val="001D7885"/>
    <w:rsid w:val="001E04F4"/>
    <w:rsid w:val="001E0980"/>
    <w:rsid w:val="001E1D83"/>
    <w:rsid w:val="001E1E44"/>
    <w:rsid w:val="001E320F"/>
    <w:rsid w:val="001E3904"/>
    <w:rsid w:val="001E4626"/>
    <w:rsid w:val="001E4717"/>
    <w:rsid w:val="001E475E"/>
    <w:rsid w:val="001E6A68"/>
    <w:rsid w:val="001F03DA"/>
    <w:rsid w:val="001F0802"/>
    <w:rsid w:val="001F1A61"/>
    <w:rsid w:val="001F248E"/>
    <w:rsid w:val="001F2AF5"/>
    <w:rsid w:val="001F3A84"/>
    <w:rsid w:val="001F447D"/>
    <w:rsid w:val="001F46A5"/>
    <w:rsid w:val="001F4B75"/>
    <w:rsid w:val="001F5193"/>
    <w:rsid w:val="001F60BC"/>
    <w:rsid w:val="001F6B2B"/>
    <w:rsid w:val="001F7E3D"/>
    <w:rsid w:val="002007F5"/>
    <w:rsid w:val="00204589"/>
    <w:rsid w:val="0020532B"/>
    <w:rsid w:val="00210253"/>
    <w:rsid w:val="00211305"/>
    <w:rsid w:val="002116E4"/>
    <w:rsid w:val="00211E59"/>
    <w:rsid w:val="00213E09"/>
    <w:rsid w:val="00214C27"/>
    <w:rsid w:val="002158B9"/>
    <w:rsid w:val="002159F5"/>
    <w:rsid w:val="00216FE9"/>
    <w:rsid w:val="00220DE7"/>
    <w:rsid w:val="00221B74"/>
    <w:rsid w:val="0022251E"/>
    <w:rsid w:val="00222765"/>
    <w:rsid w:val="00222BE8"/>
    <w:rsid w:val="00223293"/>
    <w:rsid w:val="00223667"/>
    <w:rsid w:val="002239D6"/>
    <w:rsid w:val="00223B74"/>
    <w:rsid w:val="00224D00"/>
    <w:rsid w:val="00224FB9"/>
    <w:rsid w:val="0022535E"/>
    <w:rsid w:val="002259BE"/>
    <w:rsid w:val="00226CA8"/>
    <w:rsid w:val="0022708D"/>
    <w:rsid w:val="00227768"/>
    <w:rsid w:val="0022798F"/>
    <w:rsid w:val="00230367"/>
    <w:rsid w:val="0023136A"/>
    <w:rsid w:val="00231D49"/>
    <w:rsid w:val="00232120"/>
    <w:rsid w:val="00233F06"/>
    <w:rsid w:val="0023418F"/>
    <w:rsid w:val="00234492"/>
    <w:rsid w:val="0023547B"/>
    <w:rsid w:val="00235A6E"/>
    <w:rsid w:val="00235D43"/>
    <w:rsid w:val="0023756F"/>
    <w:rsid w:val="002376AD"/>
    <w:rsid w:val="002413AB"/>
    <w:rsid w:val="00241553"/>
    <w:rsid w:val="00242481"/>
    <w:rsid w:val="00243136"/>
    <w:rsid w:val="00243497"/>
    <w:rsid w:val="0024432C"/>
    <w:rsid w:val="002456D2"/>
    <w:rsid w:val="00246D76"/>
    <w:rsid w:val="002502BE"/>
    <w:rsid w:val="00250741"/>
    <w:rsid w:val="00251F8F"/>
    <w:rsid w:val="002525B8"/>
    <w:rsid w:val="002526D5"/>
    <w:rsid w:val="002527F4"/>
    <w:rsid w:val="0025457B"/>
    <w:rsid w:val="002547DC"/>
    <w:rsid w:val="00257B0E"/>
    <w:rsid w:val="00257DDD"/>
    <w:rsid w:val="00260DE8"/>
    <w:rsid w:val="0026102B"/>
    <w:rsid w:val="0026394C"/>
    <w:rsid w:val="00264188"/>
    <w:rsid w:val="00264245"/>
    <w:rsid w:val="00264655"/>
    <w:rsid w:val="0026484D"/>
    <w:rsid w:val="00265A1C"/>
    <w:rsid w:val="0026600A"/>
    <w:rsid w:val="00267473"/>
    <w:rsid w:val="00270911"/>
    <w:rsid w:val="0027125A"/>
    <w:rsid w:val="002728A3"/>
    <w:rsid w:val="0027296D"/>
    <w:rsid w:val="00272B1F"/>
    <w:rsid w:val="00272C91"/>
    <w:rsid w:val="002738B8"/>
    <w:rsid w:val="00273EEB"/>
    <w:rsid w:val="00274557"/>
    <w:rsid w:val="002749EE"/>
    <w:rsid w:val="00274C78"/>
    <w:rsid w:val="002756F1"/>
    <w:rsid w:val="002760EB"/>
    <w:rsid w:val="00280469"/>
    <w:rsid w:val="002806FD"/>
    <w:rsid w:val="00280C4D"/>
    <w:rsid w:val="00280D91"/>
    <w:rsid w:val="002810E6"/>
    <w:rsid w:val="00282318"/>
    <w:rsid w:val="00283F2E"/>
    <w:rsid w:val="00284C0A"/>
    <w:rsid w:val="0028736A"/>
    <w:rsid w:val="002873CD"/>
    <w:rsid w:val="002873ED"/>
    <w:rsid w:val="00290018"/>
    <w:rsid w:val="00290A83"/>
    <w:rsid w:val="00292ED9"/>
    <w:rsid w:val="00293A13"/>
    <w:rsid w:val="00293CD6"/>
    <w:rsid w:val="00294FCE"/>
    <w:rsid w:val="002958F4"/>
    <w:rsid w:val="00295DEB"/>
    <w:rsid w:val="00295ECE"/>
    <w:rsid w:val="00296D85"/>
    <w:rsid w:val="00297326"/>
    <w:rsid w:val="002A1B63"/>
    <w:rsid w:val="002A2E17"/>
    <w:rsid w:val="002A449F"/>
    <w:rsid w:val="002A458D"/>
    <w:rsid w:val="002A5B1C"/>
    <w:rsid w:val="002A5C4D"/>
    <w:rsid w:val="002A61A1"/>
    <w:rsid w:val="002A6413"/>
    <w:rsid w:val="002B176F"/>
    <w:rsid w:val="002B2E1B"/>
    <w:rsid w:val="002B3EBC"/>
    <w:rsid w:val="002B4CA5"/>
    <w:rsid w:val="002B5A6A"/>
    <w:rsid w:val="002B5F39"/>
    <w:rsid w:val="002B632D"/>
    <w:rsid w:val="002B6364"/>
    <w:rsid w:val="002B66BA"/>
    <w:rsid w:val="002B6828"/>
    <w:rsid w:val="002B6E66"/>
    <w:rsid w:val="002B6FF9"/>
    <w:rsid w:val="002C0B8D"/>
    <w:rsid w:val="002C1AEE"/>
    <w:rsid w:val="002C2176"/>
    <w:rsid w:val="002C2438"/>
    <w:rsid w:val="002C2FA3"/>
    <w:rsid w:val="002C3D80"/>
    <w:rsid w:val="002C41A1"/>
    <w:rsid w:val="002C4442"/>
    <w:rsid w:val="002C57D8"/>
    <w:rsid w:val="002C6035"/>
    <w:rsid w:val="002C799F"/>
    <w:rsid w:val="002D0132"/>
    <w:rsid w:val="002D055A"/>
    <w:rsid w:val="002D0636"/>
    <w:rsid w:val="002D1AB6"/>
    <w:rsid w:val="002D1F86"/>
    <w:rsid w:val="002D362C"/>
    <w:rsid w:val="002D38BB"/>
    <w:rsid w:val="002D476C"/>
    <w:rsid w:val="002D487B"/>
    <w:rsid w:val="002D571E"/>
    <w:rsid w:val="002D71E7"/>
    <w:rsid w:val="002D74BA"/>
    <w:rsid w:val="002D771D"/>
    <w:rsid w:val="002E066F"/>
    <w:rsid w:val="002E0722"/>
    <w:rsid w:val="002E160A"/>
    <w:rsid w:val="002E1D9F"/>
    <w:rsid w:val="002E2C4B"/>
    <w:rsid w:val="002E5A40"/>
    <w:rsid w:val="002E7499"/>
    <w:rsid w:val="002E7A6C"/>
    <w:rsid w:val="002F0E2C"/>
    <w:rsid w:val="002F262F"/>
    <w:rsid w:val="002F5778"/>
    <w:rsid w:val="002F57F3"/>
    <w:rsid w:val="002F58AE"/>
    <w:rsid w:val="002F6D21"/>
    <w:rsid w:val="002F7356"/>
    <w:rsid w:val="0030042B"/>
    <w:rsid w:val="003026E6"/>
    <w:rsid w:val="00302F4C"/>
    <w:rsid w:val="00304728"/>
    <w:rsid w:val="00305BDB"/>
    <w:rsid w:val="0030606C"/>
    <w:rsid w:val="0030719E"/>
    <w:rsid w:val="00310708"/>
    <w:rsid w:val="00312591"/>
    <w:rsid w:val="003125CD"/>
    <w:rsid w:val="00315767"/>
    <w:rsid w:val="00316010"/>
    <w:rsid w:val="0031612D"/>
    <w:rsid w:val="003168ED"/>
    <w:rsid w:val="00316DB8"/>
    <w:rsid w:val="003173F5"/>
    <w:rsid w:val="00320428"/>
    <w:rsid w:val="00320D39"/>
    <w:rsid w:val="00321AFE"/>
    <w:rsid w:val="00322E48"/>
    <w:rsid w:val="003269AC"/>
    <w:rsid w:val="00326DF8"/>
    <w:rsid w:val="00327376"/>
    <w:rsid w:val="003274AA"/>
    <w:rsid w:val="0032760E"/>
    <w:rsid w:val="00327842"/>
    <w:rsid w:val="003301BF"/>
    <w:rsid w:val="0033227C"/>
    <w:rsid w:val="0033313A"/>
    <w:rsid w:val="003353DF"/>
    <w:rsid w:val="003360AE"/>
    <w:rsid w:val="00337D50"/>
    <w:rsid w:val="003403F3"/>
    <w:rsid w:val="003418EC"/>
    <w:rsid w:val="00341B1E"/>
    <w:rsid w:val="003453B6"/>
    <w:rsid w:val="003457A6"/>
    <w:rsid w:val="00345F6B"/>
    <w:rsid w:val="00350DCC"/>
    <w:rsid w:val="003526DE"/>
    <w:rsid w:val="00352946"/>
    <w:rsid w:val="00353224"/>
    <w:rsid w:val="00355C33"/>
    <w:rsid w:val="00355D85"/>
    <w:rsid w:val="003562A2"/>
    <w:rsid w:val="0035716E"/>
    <w:rsid w:val="00360E81"/>
    <w:rsid w:val="003645F8"/>
    <w:rsid w:val="00365288"/>
    <w:rsid w:val="00365631"/>
    <w:rsid w:val="0036568A"/>
    <w:rsid w:val="003658A3"/>
    <w:rsid w:val="00365972"/>
    <w:rsid w:val="003660C3"/>
    <w:rsid w:val="0036669E"/>
    <w:rsid w:val="00366738"/>
    <w:rsid w:val="0036720A"/>
    <w:rsid w:val="00370D4E"/>
    <w:rsid w:val="00371347"/>
    <w:rsid w:val="00371B1B"/>
    <w:rsid w:val="00373032"/>
    <w:rsid w:val="003735D1"/>
    <w:rsid w:val="003738CD"/>
    <w:rsid w:val="003739D5"/>
    <w:rsid w:val="00374D4C"/>
    <w:rsid w:val="00375A4E"/>
    <w:rsid w:val="00375D21"/>
    <w:rsid w:val="00376C29"/>
    <w:rsid w:val="00383871"/>
    <w:rsid w:val="003840F6"/>
    <w:rsid w:val="00384E83"/>
    <w:rsid w:val="00386284"/>
    <w:rsid w:val="003905C8"/>
    <w:rsid w:val="00391674"/>
    <w:rsid w:val="00391BBD"/>
    <w:rsid w:val="00392342"/>
    <w:rsid w:val="003936CF"/>
    <w:rsid w:val="003939B1"/>
    <w:rsid w:val="00394553"/>
    <w:rsid w:val="00395512"/>
    <w:rsid w:val="003956AA"/>
    <w:rsid w:val="00396454"/>
    <w:rsid w:val="003A0D6E"/>
    <w:rsid w:val="003A1049"/>
    <w:rsid w:val="003A2310"/>
    <w:rsid w:val="003A2D30"/>
    <w:rsid w:val="003A48B2"/>
    <w:rsid w:val="003A55FE"/>
    <w:rsid w:val="003A5938"/>
    <w:rsid w:val="003A5D46"/>
    <w:rsid w:val="003A7EDF"/>
    <w:rsid w:val="003B0823"/>
    <w:rsid w:val="003B11EC"/>
    <w:rsid w:val="003B2752"/>
    <w:rsid w:val="003B2E19"/>
    <w:rsid w:val="003B4195"/>
    <w:rsid w:val="003B5886"/>
    <w:rsid w:val="003B6111"/>
    <w:rsid w:val="003B6888"/>
    <w:rsid w:val="003B6DD7"/>
    <w:rsid w:val="003B741D"/>
    <w:rsid w:val="003C15C1"/>
    <w:rsid w:val="003C27A5"/>
    <w:rsid w:val="003C2EE9"/>
    <w:rsid w:val="003C3041"/>
    <w:rsid w:val="003C45DA"/>
    <w:rsid w:val="003C50F9"/>
    <w:rsid w:val="003C5930"/>
    <w:rsid w:val="003C5A60"/>
    <w:rsid w:val="003C72C0"/>
    <w:rsid w:val="003D029C"/>
    <w:rsid w:val="003D05F5"/>
    <w:rsid w:val="003D09F3"/>
    <w:rsid w:val="003D13BC"/>
    <w:rsid w:val="003D2109"/>
    <w:rsid w:val="003D35A0"/>
    <w:rsid w:val="003D474D"/>
    <w:rsid w:val="003D5B3B"/>
    <w:rsid w:val="003D5F72"/>
    <w:rsid w:val="003D5FF4"/>
    <w:rsid w:val="003D6800"/>
    <w:rsid w:val="003D75B0"/>
    <w:rsid w:val="003D7C0F"/>
    <w:rsid w:val="003E25FE"/>
    <w:rsid w:val="003E28DE"/>
    <w:rsid w:val="003E2DE4"/>
    <w:rsid w:val="003E75E5"/>
    <w:rsid w:val="003E7AFA"/>
    <w:rsid w:val="003E7C68"/>
    <w:rsid w:val="003F1333"/>
    <w:rsid w:val="003F1FB6"/>
    <w:rsid w:val="003F4092"/>
    <w:rsid w:val="003F4BA4"/>
    <w:rsid w:val="003F6BD0"/>
    <w:rsid w:val="003F7806"/>
    <w:rsid w:val="0040040E"/>
    <w:rsid w:val="004005CF"/>
    <w:rsid w:val="00401AB1"/>
    <w:rsid w:val="004027A1"/>
    <w:rsid w:val="00404B1F"/>
    <w:rsid w:val="00404C9F"/>
    <w:rsid w:val="004051FF"/>
    <w:rsid w:val="004060A7"/>
    <w:rsid w:val="0041060E"/>
    <w:rsid w:val="0041123B"/>
    <w:rsid w:val="00411898"/>
    <w:rsid w:val="00411E2E"/>
    <w:rsid w:val="004124AD"/>
    <w:rsid w:val="0041352E"/>
    <w:rsid w:val="00413EC4"/>
    <w:rsid w:val="00417048"/>
    <w:rsid w:val="00417320"/>
    <w:rsid w:val="00417E4B"/>
    <w:rsid w:val="00421C39"/>
    <w:rsid w:val="0042315C"/>
    <w:rsid w:val="00423A74"/>
    <w:rsid w:val="00425BC1"/>
    <w:rsid w:val="0042613B"/>
    <w:rsid w:val="00426C51"/>
    <w:rsid w:val="004274B7"/>
    <w:rsid w:val="00427773"/>
    <w:rsid w:val="00427956"/>
    <w:rsid w:val="004301C7"/>
    <w:rsid w:val="00430DA1"/>
    <w:rsid w:val="004326BD"/>
    <w:rsid w:val="00433681"/>
    <w:rsid w:val="004337F6"/>
    <w:rsid w:val="0043435D"/>
    <w:rsid w:val="004346BE"/>
    <w:rsid w:val="00434DA8"/>
    <w:rsid w:val="00435430"/>
    <w:rsid w:val="00437849"/>
    <w:rsid w:val="00437ECE"/>
    <w:rsid w:val="00440934"/>
    <w:rsid w:val="00443D39"/>
    <w:rsid w:val="00444BD2"/>
    <w:rsid w:val="0044545C"/>
    <w:rsid w:val="00445964"/>
    <w:rsid w:val="0044604C"/>
    <w:rsid w:val="00446426"/>
    <w:rsid w:val="004466B6"/>
    <w:rsid w:val="00446A1C"/>
    <w:rsid w:val="00446D7D"/>
    <w:rsid w:val="004503F2"/>
    <w:rsid w:val="00450CE9"/>
    <w:rsid w:val="00451409"/>
    <w:rsid w:val="00451B51"/>
    <w:rsid w:val="00452157"/>
    <w:rsid w:val="004528C9"/>
    <w:rsid w:val="00452BCF"/>
    <w:rsid w:val="0045393F"/>
    <w:rsid w:val="004539D2"/>
    <w:rsid w:val="0045545B"/>
    <w:rsid w:val="00455810"/>
    <w:rsid w:val="00456C30"/>
    <w:rsid w:val="00456E69"/>
    <w:rsid w:val="004570A5"/>
    <w:rsid w:val="0046025D"/>
    <w:rsid w:val="00461F81"/>
    <w:rsid w:val="00462988"/>
    <w:rsid w:val="00471700"/>
    <w:rsid w:val="00471C1F"/>
    <w:rsid w:val="00471F68"/>
    <w:rsid w:val="00472363"/>
    <w:rsid w:val="004740CF"/>
    <w:rsid w:val="00475CE3"/>
    <w:rsid w:val="00476F05"/>
    <w:rsid w:val="00477445"/>
    <w:rsid w:val="00480A77"/>
    <w:rsid w:val="00481794"/>
    <w:rsid w:val="00481BE9"/>
    <w:rsid w:val="004853BC"/>
    <w:rsid w:val="0048566F"/>
    <w:rsid w:val="0048604D"/>
    <w:rsid w:val="004872FB"/>
    <w:rsid w:val="00487752"/>
    <w:rsid w:val="00487A9D"/>
    <w:rsid w:val="0049038E"/>
    <w:rsid w:val="0049072E"/>
    <w:rsid w:val="00490909"/>
    <w:rsid w:val="00490A73"/>
    <w:rsid w:val="00490BCD"/>
    <w:rsid w:val="00493873"/>
    <w:rsid w:val="00493E92"/>
    <w:rsid w:val="0049604D"/>
    <w:rsid w:val="00496703"/>
    <w:rsid w:val="00496C89"/>
    <w:rsid w:val="00497305"/>
    <w:rsid w:val="004973A8"/>
    <w:rsid w:val="004A0932"/>
    <w:rsid w:val="004A13DB"/>
    <w:rsid w:val="004A2062"/>
    <w:rsid w:val="004A210D"/>
    <w:rsid w:val="004A2208"/>
    <w:rsid w:val="004A2666"/>
    <w:rsid w:val="004A2D98"/>
    <w:rsid w:val="004A32C3"/>
    <w:rsid w:val="004A3C14"/>
    <w:rsid w:val="004A52C4"/>
    <w:rsid w:val="004A6AF5"/>
    <w:rsid w:val="004A6BCF"/>
    <w:rsid w:val="004A7963"/>
    <w:rsid w:val="004B0522"/>
    <w:rsid w:val="004B11FA"/>
    <w:rsid w:val="004B14BB"/>
    <w:rsid w:val="004B171A"/>
    <w:rsid w:val="004B3AFC"/>
    <w:rsid w:val="004B4EF1"/>
    <w:rsid w:val="004B4F19"/>
    <w:rsid w:val="004B4FCB"/>
    <w:rsid w:val="004C0431"/>
    <w:rsid w:val="004C176C"/>
    <w:rsid w:val="004C1FA5"/>
    <w:rsid w:val="004C2670"/>
    <w:rsid w:val="004C2D92"/>
    <w:rsid w:val="004C31CD"/>
    <w:rsid w:val="004C3DB9"/>
    <w:rsid w:val="004C628E"/>
    <w:rsid w:val="004C69A6"/>
    <w:rsid w:val="004C6A26"/>
    <w:rsid w:val="004D0BAA"/>
    <w:rsid w:val="004D0C3E"/>
    <w:rsid w:val="004D185C"/>
    <w:rsid w:val="004D1FE2"/>
    <w:rsid w:val="004D388E"/>
    <w:rsid w:val="004D3CB5"/>
    <w:rsid w:val="004D4AAA"/>
    <w:rsid w:val="004D5549"/>
    <w:rsid w:val="004D5D31"/>
    <w:rsid w:val="004D6682"/>
    <w:rsid w:val="004E09A5"/>
    <w:rsid w:val="004E126F"/>
    <w:rsid w:val="004E1BF1"/>
    <w:rsid w:val="004E3D65"/>
    <w:rsid w:val="004E3E66"/>
    <w:rsid w:val="004E41DC"/>
    <w:rsid w:val="004E448B"/>
    <w:rsid w:val="004E6090"/>
    <w:rsid w:val="004F14AB"/>
    <w:rsid w:val="004F1ADC"/>
    <w:rsid w:val="004F1E4E"/>
    <w:rsid w:val="004F28B7"/>
    <w:rsid w:val="004F4FEA"/>
    <w:rsid w:val="004F531F"/>
    <w:rsid w:val="004F5BC5"/>
    <w:rsid w:val="004F5CC3"/>
    <w:rsid w:val="004F5D31"/>
    <w:rsid w:val="004F7846"/>
    <w:rsid w:val="00500412"/>
    <w:rsid w:val="00502056"/>
    <w:rsid w:val="005034C3"/>
    <w:rsid w:val="00503822"/>
    <w:rsid w:val="00503D69"/>
    <w:rsid w:val="00504A3B"/>
    <w:rsid w:val="005050BF"/>
    <w:rsid w:val="00505131"/>
    <w:rsid w:val="0050565A"/>
    <w:rsid w:val="0050580A"/>
    <w:rsid w:val="00507252"/>
    <w:rsid w:val="0050799C"/>
    <w:rsid w:val="00507FF6"/>
    <w:rsid w:val="005110E2"/>
    <w:rsid w:val="005111BA"/>
    <w:rsid w:val="0051172F"/>
    <w:rsid w:val="005128DE"/>
    <w:rsid w:val="00512B4A"/>
    <w:rsid w:val="005140C7"/>
    <w:rsid w:val="005145B2"/>
    <w:rsid w:val="005151C4"/>
    <w:rsid w:val="00515E4E"/>
    <w:rsid w:val="005163B0"/>
    <w:rsid w:val="00516D1A"/>
    <w:rsid w:val="005208B6"/>
    <w:rsid w:val="005211CB"/>
    <w:rsid w:val="00521411"/>
    <w:rsid w:val="0052178B"/>
    <w:rsid w:val="005226FC"/>
    <w:rsid w:val="00522DE6"/>
    <w:rsid w:val="00523215"/>
    <w:rsid w:val="00523A68"/>
    <w:rsid w:val="00524EF9"/>
    <w:rsid w:val="005264D5"/>
    <w:rsid w:val="00527C8F"/>
    <w:rsid w:val="00527CE0"/>
    <w:rsid w:val="00531BD7"/>
    <w:rsid w:val="00532827"/>
    <w:rsid w:val="00536A1A"/>
    <w:rsid w:val="005379EE"/>
    <w:rsid w:val="00537C3A"/>
    <w:rsid w:val="00537DFF"/>
    <w:rsid w:val="005405E9"/>
    <w:rsid w:val="00540BC9"/>
    <w:rsid w:val="0054113C"/>
    <w:rsid w:val="0054147F"/>
    <w:rsid w:val="00541DCC"/>
    <w:rsid w:val="005457E9"/>
    <w:rsid w:val="00545987"/>
    <w:rsid w:val="005462C4"/>
    <w:rsid w:val="00546839"/>
    <w:rsid w:val="00546DDC"/>
    <w:rsid w:val="00546F67"/>
    <w:rsid w:val="005475EA"/>
    <w:rsid w:val="0054774B"/>
    <w:rsid w:val="00547973"/>
    <w:rsid w:val="00550011"/>
    <w:rsid w:val="00551185"/>
    <w:rsid w:val="00551D2C"/>
    <w:rsid w:val="00553EB2"/>
    <w:rsid w:val="00556274"/>
    <w:rsid w:val="0055671B"/>
    <w:rsid w:val="00556957"/>
    <w:rsid w:val="00557418"/>
    <w:rsid w:val="00557ACC"/>
    <w:rsid w:val="00557E0E"/>
    <w:rsid w:val="00561861"/>
    <w:rsid w:val="00562226"/>
    <w:rsid w:val="0056292A"/>
    <w:rsid w:val="005634A6"/>
    <w:rsid w:val="0056493B"/>
    <w:rsid w:val="00564B25"/>
    <w:rsid w:val="00564E25"/>
    <w:rsid w:val="00564E46"/>
    <w:rsid w:val="00564EB0"/>
    <w:rsid w:val="0056518C"/>
    <w:rsid w:val="00566A5F"/>
    <w:rsid w:val="00566BCD"/>
    <w:rsid w:val="005670EE"/>
    <w:rsid w:val="00571E54"/>
    <w:rsid w:val="00572888"/>
    <w:rsid w:val="00573FD5"/>
    <w:rsid w:val="00574215"/>
    <w:rsid w:val="005745F5"/>
    <w:rsid w:val="00574B3A"/>
    <w:rsid w:val="00574F83"/>
    <w:rsid w:val="0057557B"/>
    <w:rsid w:val="00575FE6"/>
    <w:rsid w:val="00576613"/>
    <w:rsid w:val="00576BC3"/>
    <w:rsid w:val="0057723C"/>
    <w:rsid w:val="005800C3"/>
    <w:rsid w:val="005805B9"/>
    <w:rsid w:val="00580B65"/>
    <w:rsid w:val="00582589"/>
    <w:rsid w:val="00584D2C"/>
    <w:rsid w:val="00584E0F"/>
    <w:rsid w:val="005854F3"/>
    <w:rsid w:val="005855D6"/>
    <w:rsid w:val="00585FDD"/>
    <w:rsid w:val="00586A67"/>
    <w:rsid w:val="00586BBC"/>
    <w:rsid w:val="00586FC7"/>
    <w:rsid w:val="00590A39"/>
    <w:rsid w:val="00590F3C"/>
    <w:rsid w:val="00591337"/>
    <w:rsid w:val="005920B7"/>
    <w:rsid w:val="005934BB"/>
    <w:rsid w:val="005937BA"/>
    <w:rsid w:val="005937DC"/>
    <w:rsid w:val="00593E64"/>
    <w:rsid w:val="00595A87"/>
    <w:rsid w:val="00595CAC"/>
    <w:rsid w:val="0059716C"/>
    <w:rsid w:val="0059754D"/>
    <w:rsid w:val="00597B84"/>
    <w:rsid w:val="00597DF0"/>
    <w:rsid w:val="005A0C9E"/>
    <w:rsid w:val="005A382F"/>
    <w:rsid w:val="005A3853"/>
    <w:rsid w:val="005A3AA2"/>
    <w:rsid w:val="005A44AC"/>
    <w:rsid w:val="005A5602"/>
    <w:rsid w:val="005A6816"/>
    <w:rsid w:val="005B0B4B"/>
    <w:rsid w:val="005B0F9D"/>
    <w:rsid w:val="005B11B4"/>
    <w:rsid w:val="005B3F1E"/>
    <w:rsid w:val="005B5B3F"/>
    <w:rsid w:val="005B676E"/>
    <w:rsid w:val="005B683D"/>
    <w:rsid w:val="005B6DB7"/>
    <w:rsid w:val="005B7240"/>
    <w:rsid w:val="005C23D2"/>
    <w:rsid w:val="005C38A4"/>
    <w:rsid w:val="005C39D0"/>
    <w:rsid w:val="005C4198"/>
    <w:rsid w:val="005C59A6"/>
    <w:rsid w:val="005C692F"/>
    <w:rsid w:val="005C77CD"/>
    <w:rsid w:val="005C7803"/>
    <w:rsid w:val="005C7985"/>
    <w:rsid w:val="005D34E4"/>
    <w:rsid w:val="005D36A7"/>
    <w:rsid w:val="005D3928"/>
    <w:rsid w:val="005D4429"/>
    <w:rsid w:val="005D4CFA"/>
    <w:rsid w:val="005D5AD0"/>
    <w:rsid w:val="005D7E27"/>
    <w:rsid w:val="005E0CED"/>
    <w:rsid w:val="005E1165"/>
    <w:rsid w:val="005E1829"/>
    <w:rsid w:val="005E2398"/>
    <w:rsid w:val="005E35EF"/>
    <w:rsid w:val="005E3871"/>
    <w:rsid w:val="005E3A50"/>
    <w:rsid w:val="005E42B8"/>
    <w:rsid w:val="005E60E3"/>
    <w:rsid w:val="005E6C33"/>
    <w:rsid w:val="005F06BA"/>
    <w:rsid w:val="005F1903"/>
    <w:rsid w:val="005F197C"/>
    <w:rsid w:val="005F244B"/>
    <w:rsid w:val="005F24CC"/>
    <w:rsid w:val="005F4349"/>
    <w:rsid w:val="005F49F2"/>
    <w:rsid w:val="005F54D4"/>
    <w:rsid w:val="005F65D5"/>
    <w:rsid w:val="005F7781"/>
    <w:rsid w:val="0060020A"/>
    <w:rsid w:val="00601117"/>
    <w:rsid w:val="00602892"/>
    <w:rsid w:val="00602E25"/>
    <w:rsid w:val="006061C4"/>
    <w:rsid w:val="00606FC9"/>
    <w:rsid w:val="00607388"/>
    <w:rsid w:val="00607396"/>
    <w:rsid w:val="006106C3"/>
    <w:rsid w:val="006137B9"/>
    <w:rsid w:val="0061384C"/>
    <w:rsid w:val="00614515"/>
    <w:rsid w:val="00615D68"/>
    <w:rsid w:val="00617394"/>
    <w:rsid w:val="00617B8F"/>
    <w:rsid w:val="00620612"/>
    <w:rsid w:val="00622A4C"/>
    <w:rsid w:val="006240B1"/>
    <w:rsid w:val="006250F2"/>
    <w:rsid w:val="00626769"/>
    <w:rsid w:val="00626D6A"/>
    <w:rsid w:val="006279F6"/>
    <w:rsid w:val="00627C6E"/>
    <w:rsid w:val="00630741"/>
    <w:rsid w:val="006308DF"/>
    <w:rsid w:val="00630EBA"/>
    <w:rsid w:val="00631155"/>
    <w:rsid w:val="0063225B"/>
    <w:rsid w:val="00634478"/>
    <w:rsid w:val="00634DFF"/>
    <w:rsid w:val="00635DC2"/>
    <w:rsid w:val="00635EBF"/>
    <w:rsid w:val="006368A5"/>
    <w:rsid w:val="00640244"/>
    <w:rsid w:val="00640AC3"/>
    <w:rsid w:val="0064160B"/>
    <w:rsid w:val="00642376"/>
    <w:rsid w:val="00642533"/>
    <w:rsid w:val="006426CD"/>
    <w:rsid w:val="00642714"/>
    <w:rsid w:val="00644AA8"/>
    <w:rsid w:val="00645810"/>
    <w:rsid w:val="00645B03"/>
    <w:rsid w:val="00645BFD"/>
    <w:rsid w:val="006463BA"/>
    <w:rsid w:val="00646B68"/>
    <w:rsid w:val="0064749B"/>
    <w:rsid w:val="006477EA"/>
    <w:rsid w:val="006527B0"/>
    <w:rsid w:val="00652852"/>
    <w:rsid w:val="00652ECC"/>
    <w:rsid w:val="006530C0"/>
    <w:rsid w:val="0065319B"/>
    <w:rsid w:val="0065331F"/>
    <w:rsid w:val="006545D2"/>
    <w:rsid w:val="0065477F"/>
    <w:rsid w:val="00654B57"/>
    <w:rsid w:val="00654D32"/>
    <w:rsid w:val="006556BA"/>
    <w:rsid w:val="00657F91"/>
    <w:rsid w:val="00660304"/>
    <w:rsid w:val="0066098C"/>
    <w:rsid w:val="00660E5D"/>
    <w:rsid w:val="00661F97"/>
    <w:rsid w:val="00662D5E"/>
    <w:rsid w:val="006636B8"/>
    <w:rsid w:val="00664BBC"/>
    <w:rsid w:val="006650F5"/>
    <w:rsid w:val="00666DCE"/>
    <w:rsid w:val="00667E10"/>
    <w:rsid w:val="00670283"/>
    <w:rsid w:val="006712B9"/>
    <w:rsid w:val="00671B59"/>
    <w:rsid w:val="00671E59"/>
    <w:rsid w:val="00672B97"/>
    <w:rsid w:val="00673789"/>
    <w:rsid w:val="006737CA"/>
    <w:rsid w:val="00673ED3"/>
    <w:rsid w:val="00675B33"/>
    <w:rsid w:val="00675ECE"/>
    <w:rsid w:val="00676365"/>
    <w:rsid w:val="00676827"/>
    <w:rsid w:val="00677B7F"/>
    <w:rsid w:val="006816AA"/>
    <w:rsid w:val="00681FC9"/>
    <w:rsid w:val="006822AF"/>
    <w:rsid w:val="00683D68"/>
    <w:rsid w:val="00685F48"/>
    <w:rsid w:val="00686668"/>
    <w:rsid w:val="00690AF7"/>
    <w:rsid w:val="006916F2"/>
    <w:rsid w:val="006929A9"/>
    <w:rsid w:val="006936DA"/>
    <w:rsid w:val="00694759"/>
    <w:rsid w:val="006947B7"/>
    <w:rsid w:val="00695443"/>
    <w:rsid w:val="00695471"/>
    <w:rsid w:val="006958B3"/>
    <w:rsid w:val="00695B4A"/>
    <w:rsid w:val="00695FE9"/>
    <w:rsid w:val="00696850"/>
    <w:rsid w:val="0069787F"/>
    <w:rsid w:val="00697B0C"/>
    <w:rsid w:val="006A1B4F"/>
    <w:rsid w:val="006A22FF"/>
    <w:rsid w:val="006A382B"/>
    <w:rsid w:val="006A5331"/>
    <w:rsid w:val="006B22DA"/>
    <w:rsid w:val="006B2C3A"/>
    <w:rsid w:val="006B47AE"/>
    <w:rsid w:val="006B54ED"/>
    <w:rsid w:val="006B5631"/>
    <w:rsid w:val="006B5908"/>
    <w:rsid w:val="006B6DD9"/>
    <w:rsid w:val="006B75DB"/>
    <w:rsid w:val="006C158D"/>
    <w:rsid w:val="006C2124"/>
    <w:rsid w:val="006C310A"/>
    <w:rsid w:val="006C4BC4"/>
    <w:rsid w:val="006C5285"/>
    <w:rsid w:val="006D062A"/>
    <w:rsid w:val="006D0D64"/>
    <w:rsid w:val="006D0E9B"/>
    <w:rsid w:val="006D10EA"/>
    <w:rsid w:val="006D18BB"/>
    <w:rsid w:val="006D2139"/>
    <w:rsid w:val="006D6139"/>
    <w:rsid w:val="006D71A4"/>
    <w:rsid w:val="006E009D"/>
    <w:rsid w:val="006E02AD"/>
    <w:rsid w:val="006E1187"/>
    <w:rsid w:val="006E15E4"/>
    <w:rsid w:val="006E271B"/>
    <w:rsid w:val="006E3057"/>
    <w:rsid w:val="006E4C99"/>
    <w:rsid w:val="006E6084"/>
    <w:rsid w:val="006E701F"/>
    <w:rsid w:val="006E702D"/>
    <w:rsid w:val="006E7D0A"/>
    <w:rsid w:val="006E7F6C"/>
    <w:rsid w:val="006E7FF2"/>
    <w:rsid w:val="006F1AFD"/>
    <w:rsid w:val="006F1D98"/>
    <w:rsid w:val="006F1E91"/>
    <w:rsid w:val="006F268E"/>
    <w:rsid w:val="006F4114"/>
    <w:rsid w:val="006F4675"/>
    <w:rsid w:val="006F4E99"/>
    <w:rsid w:val="006F58CF"/>
    <w:rsid w:val="006F5EFA"/>
    <w:rsid w:val="006F6636"/>
    <w:rsid w:val="006F6DC7"/>
    <w:rsid w:val="006F7262"/>
    <w:rsid w:val="006F76F9"/>
    <w:rsid w:val="00701C2A"/>
    <w:rsid w:val="0070346C"/>
    <w:rsid w:val="00703D93"/>
    <w:rsid w:val="00704096"/>
    <w:rsid w:val="007051D2"/>
    <w:rsid w:val="0070787C"/>
    <w:rsid w:val="007078E9"/>
    <w:rsid w:val="00707E9D"/>
    <w:rsid w:val="00707FD3"/>
    <w:rsid w:val="00710B5B"/>
    <w:rsid w:val="00710B7D"/>
    <w:rsid w:val="00710B98"/>
    <w:rsid w:val="0071216B"/>
    <w:rsid w:val="007122F0"/>
    <w:rsid w:val="00713143"/>
    <w:rsid w:val="00714A70"/>
    <w:rsid w:val="0071758A"/>
    <w:rsid w:val="00721706"/>
    <w:rsid w:val="00721940"/>
    <w:rsid w:val="007230E6"/>
    <w:rsid w:val="0072366D"/>
    <w:rsid w:val="00724073"/>
    <w:rsid w:val="007249CB"/>
    <w:rsid w:val="00725EBF"/>
    <w:rsid w:val="00727CDA"/>
    <w:rsid w:val="007304C8"/>
    <w:rsid w:val="00731836"/>
    <w:rsid w:val="00731F7F"/>
    <w:rsid w:val="00732D76"/>
    <w:rsid w:val="00733116"/>
    <w:rsid w:val="00734A9E"/>
    <w:rsid w:val="00734DBE"/>
    <w:rsid w:val="0073569C"/>
    <w:rsid w:val="00735D70"/>
    <w:rsid w:val="007363EC"/>
    <w:rsid w:val="00736819"/>
    <w:rsid w:val="00736B5A"/>
    <w:rsid w:val="00736F1F"/>
    <w:rsid w:val="007370B2"/>
    <w:rsid w:val="0073787D"/>
    <w:rsid w:val="007378DC"/>
    <w:rsid w:val="00740EFE"/>
    <w:rsid w:val="0074150C"/>
    <w:rsid w:val="00742008"/>
    <w:rsid w:val="00742861"/>
    <w:rsid w:val="00742A3A"/>
    <w:rsid w:val="00743B2A"/>
    <w:rsid w:val="00743E62"/>
    <w:rsid w:val="0074448F"/>
    <w:rsid w:val="00744EBC"/>
    <w:rsid w:val="00744FE9"/>
    <w:rsid w:val="00745A8D"/>
    <w:rsid w:val="00747370"/>
    <w:rsid w:val="007473FD"/>
    <w:rsid w:val="00750C03"/>
    <w:rsid w:val="00750C26"/>
    <w:rsid w:val="00752D41"/>
    <w:rsid w:val="0075464F"/>
    <w:rsid w:val="00754DEE"/>
    <w:rsid w:val="00756038"/>
    <w:rsid w:val="00756449"/>
    <w:rsid w:val="00756D73"/>
    <w:rsid w:val="00756E48"/>
    <w:rsid w:val="007613B3"/>
    <w:rsid w:val="00761AC3"/>
    <w:rsid w:val="007638BC"/>
    <w:rsid w:val="00764C70"/>
    <w:rsid w:val="00765334"/>
    <w:rsid w:val="00765C82"/>
    <w:rsid w:val="00765D63"/>
    <w:rsid w:val="00765E54"/>
    <w:rsid w:val="007709A0"/>
    <w:rsid w:val="00770D24"/>
    <w:rsid w:val="007710B5"/>
    <w:rsid w:val="00771178"/>
    <w:rsid w:val="00772252"/>
    <w:rsid w:val="007725E5"/>
    <w:rsid w:val="00772FEB"/>
    <w:rsid w:val="00773EB7"/>
    <w:rsid w:val="00774E7A"/>
    <w:rsid w:val="00775017"/>
    <w:rsid w:val="00775515"/>
    <w:rsid w:val="00775930"/>
    <w:rsid w:val="00775EED"/>
    <w:rsid w:val="0077694F"/>
    <w:rsid w:val="00776A9D"/>
    <w:rsid w:val="0077736D"/>
    <w:rsid w:val="00780FA4"/>
    <w:rsid w:val="00781DD1"/>
    <w:rsid w:val="00782155"/>
    <w:rsid w:val="00782168"/>
    <w:rsid w:val="00782BBF"/>
    <w:rsid w:val="00782C8D"/>
    <w:rsid w:val="007835CC"/>
    <w:rsid w:val="00784176"/>
    <w:rsid w:val="00785A0E"/>
    <w:rsid w:val="00785F95"/>
    <w:rsid w:val="00786AF9"/>
    <w:rsid w:val="00790142"/>
    <w:rsid w:val="0079149C"/>
    <w:rsid w:val="00792F11"/>
    <w:rsid w:val="00794275"/>
    <w:rsid w:val="0079476A"/>
    <w:rsid w:val="007947B3"/>
    <w:rsid w:val="0079491B"/>
    <w:rsid w:val="00794F93"/>
    <w:rsid w:val="00795766"/>
    <w:rsid w:val="00795F86"/>
    <w:rsid w:val="00796B66"/>
    <w:rsid w:val="00796EC9"/>
    <w:rsid w:val="007974C3"/>
    <w:rsid w:val="007976EC"/>
    <w:rsid w:val="007A18E2"/>
    <w:rsid w:val="007A3C45"/>
    <w:rsid w:val="007A3D16"/>
    <w:rsid w:val="007A4715"/>
    <w:rsid w:val="007A4815"/>
    <w:rsid w:val="007A6103"/>
    <w:rsid w:val="007A6B8C"/>
    <w:rsid w:val="007B0752"/>
    <w:rsid w:val="007B083C"/>
    <w:rsid w:val="007B1DCA"/>
    <w:rsid w:val="007B27DF"/>
    <w:rsid w:val="007B2A84"/>
    <w:rsid w:val="007B2D51"/>
    <w:rsid w:val="007B3433"/>
    <w:rsid w:val="007B3CFB"/>
    <w:rsid w:val="007B3FE9"/>
    <w:rsid w:val="007B4619"/>
    <w:rsid w:val="007B59F3"/>
    <w:rsid w:val="007B5CF3"/>
    <w:rsid w:val="007B64D3"/>
    <w:rsid w:val="007B69D3"/>
    <w:rsid w:val="007B784E"/>
    <w:rsid w:val="007C0687"/>
    <w:rsid w:val="007C09A8"/>
    <w:rsid w:val="007C09ED"/>
    <w:rsid w:val="007C226D"/>
    <w:rsid w:val="007C33C2"/>
    <w:rsid w:val="007C411E"/>
    <w:rsid w:val="007C4850"/>
    <w:rsid w:val="007C4B60"/>
    <w:rsid w:val="007C4C3C"/>
    <w:rsid w:val="007C51BF"/>
    <w:rsid w:val="007C5A35"/>
    <w:rsid w:val="007C5B4C"/>
    <w:rsid w:val="007C633C"/>
    <w:rsid w:val="007C63CF"/>
    <w:rsid w:val="007D085D"/>
    <w:rsid w:val="007D0F33"/>
    <w:rsid w:val="007D1232"/>
    <w:rsid w:val="007D3190"/>
    <w:rsid w:val="007D3413"/>
    <w:rsid w:val="007D38AC"/>
    <w:rsid w:val="007D4400"/>
    <w:rsid w:val="007D4D09"/>
    <w:rsid w:val="007D4E56"/>
    <w:rsid w:val="007D59F9"/>
    <w:rsid w:val="007D6115"/>
    <w:rsid w:val="007D6C9D"/>
    <w:rsid w:val="007D7D63"/>
    <w:rsid w:val="007E0EB9"/>
    <w:rsid w:val="007E138F"/>
    <w:rsid w:val="007E1546"/>
    <w:rsid w:val="007E2257"/>
    <w:rsid w:val="007E3FD0"/>
    <w:rsid w:val="007E4497"/>
    <w:rsid w:val="007E5C52"/>
    <w:rsid w:val="007F0A4A"/>
    <w:rsid w:val="007F34F8"/>
    <w:rsid w:val="007F5CD9"/>
    <w:rsid w:val="00800599"/>
    <w:rsid w:val="0080229A"/>
    <w:rsid w:val="00805327"/>
    <w:rsid w:val="00805926"/>
    <w:rsid w:val="00806474"/>
    <w:rsid w:val="008069E8"/>
    <w:rsid w:val="00807192"/>
    <w:rsid w:val="00807579"/>
    <w:rsid w:val="00807A68"/>
    <w:rsid w:val="00810999"/>
    <w:rsid w:val="00810BEB"/>
    <w:rsid w:val="00810E44"/>
    <w:rsid w:val="008115F9"/>
    <w:rsid w:val="0081187E"/>
    <w:rsid w:val="00813460"/>
    <w:rsid w:val="00813974"/>
    <w:rsid w:val="008153FE"/>
    <w:rsid w:val="0081563A"/>
    <w:rsid w:val="00815DE7"/>
    <w:rsid w:val="00815E21"/>
    <w:rsid w:val="00816843"/>
    <w:rsid w:val="00817022"/>
    <w:rsid w:val="0081705B"/>
    <w:rsid w:val="008178D8"/>
    <w:rsid w:val="008178DB"/>
    <w:rsid w:val="008222E1"/>
    <w:rsid w:val="008223BE"/>
    <w:rsid w:val="0082388A"/>
    <w:rsid w:val="008246DD"/>
    <w:rsid w:val="0082789A"/>
    <w:rsid w:val="008279A0"/>
    <w:rsid w:val="00830E30"/>
    <w:rsid w:val="008315FE"/>
    <w:rsid w:val="00832504"/>
    <w:rsid w:val="00832D97"/>
    <w:rsid w:val="00832DA5"/>
    <w:rsid w:val="0083438B"/>
    <w:rsid w:val="00834928"/>
    <w:rsid w:val="0083713E"/>
    <w:rsid w:val="00842376"/>
    <w:rsid w:val="0084241A"/>
    <w:rsid w:val="008424E4"/>
    <w:rsid w:val="00844867"/>
    <w:rsid w:val="00845B46"/>
    <w:rsid w:val="008461EB"/>
    <w:rsid w:val="00846220"/>
    <w:rsid w:val="00846771"/>
    <w:rsid w:val="008471D7"/>
    <w:rsid w:val="00847D1C"/>
    <w:rsid w:val="008530C1"/>
    <w:rsid w:val="00854123"/>
    <w:rsid w:val="00854A78"/>
    <w:rsid w:val="00854E5B"/>
    <w:rsid w:val="0085539A"/>
    <w:rsid w:val="00855476"/>
    <w:rsid w:val="00861F70"/>
    <w:rsid w:val="008632BB"/>
    <w:rsid w:val="00863D18"/>
    <w:rsid w:val="00863FBA"/>
    <w:rsid w:val="00863FF9"/>
    <w:rsid w:val="008642C1"/>
    <w:rsid w:val="008646EF"/>
    <w:rsid w:val="0086493D"/>
    <w:rsid w:val="008663B9"/>
    <w:rsid w:val="0086653C"/>
    <w:rsid w:val="00867569"/>
    <w:rsid w:val="00867C4E"/>
    <w:rsid w:val="0087044D"/>
    <w:rsid w:val="00870653"/>
    <w:rsid w:val="00871240"/>
    <w:rsid w:val="0087168E"/>
    <w:rsid w:val="00873DCC"/>
    <w:rsid w:val="00874034"/>
    <w:rsid w:val="00875623"/>
    <w:rsid w:val="00876387"/>
    <w:rsid w:val="0087714A"/>
    <w:rsid w:val="00881D2A"/>
    <w:rsid w:val="008828C5"/>
    <w:rsid w:val="00883B8B"/>
    <w:rsid w:val="00883D7F"/>
    <w:rsid w:val="00883FA3"/>
    <w:rsid w:val="00884444"/>
    <w:rsid w:val="00885787"/>
    <w:rsid w:val="00886F01"/>
    <w:rsid w:val="00887309"/>
    <w:rsid w:val="008878B6"/>
    <w:rsid w:val="00890695"/>
    <w:rsid w:val="00891FE9"/>
    <w:rsid w:val="008934F2"/>
    <w:rsid w:val="0089352F"/>
    <w:rsid w:val="0089367E"/>
    <w:rsid w:val="00897A83"/>
    <w:rsid w:val="008A0C77"/>
    <w:rsid w:val="008A14AA"/>
    <w:rsid w:val="008A2387"/>
    <w:rsid w:val="008A23AD"/>
    <w:rsid w:val="008A3C3E"/>
    <w:rsid w:val="008A4243"/>
    <w:rsid w:val="008A4863"/>
    <w:rsid w:val="008A5129"/>
    <w:rsid w:val="008A5C49"/>
    <w:rsid w:val="008A64C9"/>
    <w:rsid w:val="008A69AF"/>
    <w:rsid w:val="008A6AE1"/>
    <w:rsid w:val="008A7338"/>
    <w:rsid w:val="008A7589"/>
    <w:rsid w:val="008B1C86"/>
    <w:rsid w:val="008B210E"/>
    <w:rsid w:val="008B2790"/>
    <w:rsid w:val="008B2CE8"/>
    <w:rsid w:val="008B3C9A"/>
    <w:rsid w:val="008B4062"/>
    <w:rsid w:val="008B508F"/>
    <w:rsid w:val="008B6266"/>
    <w:rsid w:val="008B64B1"/>
    <w:rsid w:val="008C0F29"/>
    <w:rsid w:val="008C2B8E"/>
    <w:rsid w:val="008C328F"/>
    <w:rsid w:val="008C3CF7"/>
    <w:rsid w:val="008C4105"/>
    <w:rsid w:val="008C5184"/>
    <w:rsid w:val="008C6911"/>
    <w:rsid w:val="008C69B2"/>
    <w:rsid w:val="008C69CF"/>
    <w:rsid w:val="008D0B4A"/>
    <w:rsid w:val="008D0B52"/>
    <w:rsid w:val="008D218B"/>
    <w:rsid w:val="008D2255"/>
    <w:rsid w:val="008D2580"/>
    <w:rsid w:val="008D358C"/>
    <w:rsid w:val="008D38C6"/>
    <w:rsid w:val="008D3EBD"/>
    <w:rsid w:val="008D4147"/>
    <w:rsid w:val="008D6973"/>
    <w:rsid w:val="008E13EB"/>
    <w:rsid w:val="008E1AA8"/>
    <w:rsid w:val="008E21B5"/>
    <w:rsid w:val="008E28BA"/>
    <w:rsid w:val="008E31F0"/>
    <w:rsid w:val="008E38F5"/>
    <w:rsid w:val="008E3CE8"/>
    <w:rsid w:val="008E49B8"/>
    <w:rsid w:val="008E50A7"/>
    <w:rsid w:val="008E56F6"/>
    <w:rsid w:val="008E655E"/>
    <w:rsid w:val="008E6775"/>
    <w:rsid w:val="008E6930"/>
    <w:rsid w:val="008E6991"/>
    <w:rsid w:val="008E76DE"/>
    <w:rsid w:val="008E7F3E"/>
    <w:rsid w:val="008F04DD"/>
    <w:rsid w:val="008F0D91"/>
    <w:rsid w:val="008F27CB"/>
    <w:rsid w:val="008F3B32"/>
    <w:rsid w:val="008F44C7"/>
    <w:rsid w:val="008F4AF8"/>
    <w:rsid w:val="008F5992"/>
    <w:rsid w:val="008F756E"/>
    <w:rsid w:val="00901116"/>
    <w:rsid w:val="009013B2"/>
    <w:rsid w:val="00901C1F"/>
    <w:rsid w:val="009042E2"/>
    <w:rsid w:val="00907E3B"/>
    <w:rsid w:val="009108A4"/>
    <w:rsid w:val="00911B6C"/>
    <w:rsid w:val="009129D3"/>
    <w:rsid w:val="00913C75"/>
    <w:rsid w:val="00914048"/>
    <w:rsid w:val="00915DB3"/>
    <w:rsid w:val="00915F05"/>
    <w:rsid w:val="00917DD7"/>
    <w:rsid w:val="00920B08"/>
    <w:rsid w:val="00922557"/>
    <w:rsid w:val="009226F9"/>
    <w:rsid w:val="009227B1"/>
    <w:rsid w:val="00922EAF"/>
    <w:rsid w:val="009256FE"/>
    <w:rsid w:val="0092700D"/>
    <w:rsid w:val="00927244"/>
    <w:rsid w:val="009273EA"/>
    <w:rsid w:val="00927A0C"/>
    <w:rsid w:val="00927CAB"/>
    <w:rsid w:val="00927DE6"/>
    <w:rsid w:val="00931138"/>
    <w:rsid w:val="0093135E"/>
    <w:rsid w:val="009324AC"/>
    <w:rsid w:val="009328EB"/>
    <w:rsid w:val="00934292"/>
    <w:rsid w:val="009360AB"/>
    <w:rsid w:val="009369F8"/>
    <w:rsid w:val="00936EA1"/>
    <w:rsid w:val="009379D6"/>
    <w:rsid w:val="009406E1"/>
    <w:rsid w:val="00941E2D"/>
    <w:rsid w:val="00943025"/>
    <w:rsid w:val="009430B8"/>
    <w:rsid w:val="00943A87"/>
    <w:rsid w:val="00943A9E"/>
    <w:rsid w:val="00943D56"/>
    <w:rsid w:val="0094589A"/>
    <w:rsid w:val="00946964"/>
    <w:rsid w:val="00946FC6"/>
    <w:rsid w:val="00950F69"/>
    <w:rsid w:val="00950FDE"/>
    <w:rsid w:val="00951B86"/>
    <w:rsid w:val="009524AD"/>
    <w:rsid w:val="00954B04"/>
    <w:rsid w:val="00955233"/>
    <w:rsid w:val="0095684D"/>
    <w:rsid w:val="00957AB4"/>
    <w:rsid w:val="0096035C"/>
    <w:rsid w:val="00961915"/>
    <w:rsid w:val="00963013"/>
    <w:rsid w:val="009640D5"/>
    <w:rsid w:val="00964721"/>
    <w:rsid w:val="00964D6A"/>
    <w:rsid w:val="009668A6"/>
    <w:rsid w:val="009669F0"/>
    <w:rsid w:val="00967069"/>
    <w:rsid w:val="009675B2"/>
    <w:rsid w:val="00971177"/>
    <w:rsid w:val="00972E9E"/>
    <w:rsid w:val="00973D21"/>
    <w:rsid w:val="0097420E"/>
    <w:rsid w:val="00974430"/>
    <w:rsid w:val="0097610F"/>
    <w:rsid w:val="009763E2"/>
    <w:rsid w:val="00977EA0"/>
    <w:rsid w:val="00980E4E"/>
    <w:rsid w:val="00981817"/>
    <w:rsid w:val="00982010"/>
    <w:rsid w:val="00982E4F"/>
    <w:rsid w:val="00984393"/>
    <w:rsid w:val="009844B4"/>
    <w:rsid w:val="009848EB"/>
    <w:rsid w:val="009854AD"/>
    <w:rsid w:val="00985C64"/>
    <w:rsid w:val="00986595"/>
    <w:rsid w:val="00986686"/>
    <w:rsid w:val="00987363"/>
    <w:rsid w:val="00990C8A"/>
    <w:rsid w:val="009913AF"/>
    <w:rsid w:val="00991601"/>
    <w:rsid w:val="0099187C"/>
    <w:rsid w:val="00992D4B"/>
    <w:rsid w:val="00996C7D"/>
    <w:rsid w:val="009971DA"/>
    <w:rsid w:val="00997C46"/>
    <w:rsid w:val="009A0085"/>
    <w:rsid w:val="009A02D3"/>
    <w:rsid w:val="009A148F"/>
    <w:rsid w:val="009A28A8"/>
    <w:rsid w:val="009A2BC0"/>
    <w:rsid w:val="009A39E5"/>
    <w:rsid w:val="009A4FFD"/>
    <w:rsid w:val="009A7060"/>
    <w:rsid w:val="009B00B9"/>
    <w:rsid w:val="009B179A"/>
    <w:rsid w:val="009B1C03"/>
    <w:rsid w:val="009B1E01"/>
    <w:rsid w:val="009B1FA9"/>
    <w:rsid w:val="009B333A"/>
    <w:rsid w:val="009B3C5F"/>
    <w:rsid w:val="009B5B9B"/>
    <w:rsid w:val="009B66DA"/>
    <w:rsid w:val="009B6AEB"/>
    <w:rsid w:val="009B734F"/>
    <w:rsid w:val="009B7532"/>
    <w:rsid w:val="009B7916"/>
    <w:rsid w:val="009C11FB"/>
    <w:rsid w:val="009C29E1"/>
    <w:rsid w:val="009C2FB1"/>
    <w:rsid w:val="009C328D"/>
    <w:rsid w:val="009C33BE"/>
    <w:rsid w:val="009C3950"/>
    <w:rsid w:val="009C3993"/>
    <w:rsid w:val="009C39C7"/>
    <w:rsid w:val="009C3D36"/>
    <w:rsid w:val="009C4D22"/>
    <w:rsid w:val="009C6FAE"/>
    <w:rsid w:val="009C7A25"/>
    <w:rsid w:val="009D24CC"/>
    <w:rsid w:val="009D251C"/>
    <w:rsid w:val="009D3108"/>
    <w:rsid w:val="009D37D7"/>
    <w:rsid w:val="009D4CAA"/>
    <w:rsid w:val="009D63B2"/>
    <w:rsid w:val="009D6648"/>
    <w:rsid w:val="009E2822"/>
    <w:rsid w:val="009E3593"/>
    <w:rsid w:val="009E455A"/>
    <w:rsid w:val="009E4DE7"/>
    <w:rsid w:val="009E5809"/>
    <w:rsid w:val="009E5D8A"/>
    <w:rsid w:val="009E6488"/>
    <w:rsid w:val="009E7B52"/>
    <w:rsid w:val="009E7F7E"/>
    <w:rsid w:val="009F0960"/>
    <w:rsid w:val="009F09BD"/>
    <w:rsid w:val="009F1504"/>
    <w:rsid w:val="009F2633"/>
    <w:rsid w:val="009F3BB6"/>
    <w:rsid w:val="009F3C66"/>
    <w:rsid w:val="009F446F"/>
    <w:rsid w:val="009F4DFC"/>
    <w:rsid w:val="009F6167"/>
    <w:rsid w:val="009F64C6"/>
    <w:rsid w:val="009F7385"/>
    <w:rsid w:val="009F765A"/>
    <w:rsid w:val="009F7E4D"/>
    <w:rsid w:val="00A00092"/>
    <w:rsid w:val="00A0064D"/>
    <w:rsid w:val="00A01C5A"/>
    <w:rsid w:val="00A02248"/>
    <w:rsid w:val="00A05AA6"/>
    <w:rsid w:val="00A05C41"/>
    <w:rsid w:val="00A0687A"/>
    <w:rsid w:val="00A06A03"/>
    <w:rsid w:val="00A07843"/>
    <w:rsid w:val="00A118DC"/>
    <w:rsid w:val="00A11A83"/>
    <w:rsid w:val="00A134AC"/>
    <w:rsid w:val="00A13D4E"/>
    <w:rsid w:val="00A14350"/>
    <w:rsid w:val="00A14860"/>
    <w:rsid w:val="00A150FC"/>
    <w:rsid w:val="00A153F3"/>
    <w:rsid w:val="00A16C17"/>
    <w:rsid w:val="00A16DF5"/>
    <w:rsid w:val="00A171E7"/>
    <w:rsid w:val="00A20414"/>
    <w:rsid w:val="00A20AD5"/>
    <w:rsid w:val="00A20E19"/>
    <w:rsid w:val="00A21E61"/>
    <w:rsid w:val="00A21F8F"/>
    <w:rsid w:val="00A223B3"/>
    <w:rsid w:val="00A2272E"/>
    <w:rsid w:val="00A23048"/>
    <w:rsid w:val="00A2528E"/>
    <w:rsid w:val="00A25F1F"/>
    <w:rsid w:val="00A26FC3"/>
    <w:rsid w:val="00A27013"/>
    <w:rsid w:val="00A300F6"/>
    <w:rsid w:val="00A33C60"/>
    <w:rsid w:val="00A3483F"/>
    <w:rsid w:val="00A36592"/>
    <w:rsid w:val="00A36D89"/>
    <w:rsid w:val="00A405AC"/>
    <w:rsid w:val="00A41088"/>
    <w:rsid w:val="00A4199F"/>
    <w:rsid w:val="00A42339"/>
    <w:rsid w:val="00A42906"/>
    <w:rsid w:val="00A429CB"/>
    <w:rsid w:val="00A448D9"/>
    <w:rsid w:val="00A45573"/>
    <w:rsid w:val="00A455FB"/>
    <w:rsid w:val="00A469D3"/>
    <w:rsid w:val="00A47B6A"/>
    <w:rsid w:val="00A5045C"/>
    <w:rsid w:val="00A509E5"/>
    <w:rsid w:val="00A52538"/>
    <w:rsid w:val="00A529EB"/>
    <w:rsid w:val="00A53D7F"/>
    <w:rsid w:val="00A5418B"/>
    <w:rsid w:val="00A541C5"/>
    <w:rsid w:val="00A545CA"/>
    <w:rsid w:val="00A56D20"/>
    <w:rsid w:val="00A56F2D"/>
    <w:rsid w:val="00A5782A"/>
    <w:rsid w:val="00A6039F"/>
    <w:rsid w:val="00A60704"/>
    <w:rsid w:val="00A624BA"/>
    <w:rsid w:val="00A63AC8"/>
    <w:rsid w:val="00A63AF9"/>
    <w:rsid w:val="00A63B1F"/>
    <w:rsid w:val="00A650A9"/>
    <w:rsid w:val="00A664B2"/>
    <w:rsid w:val="00A66A3C"/>
    <w:rsid w:val="00A70161"/>
    <w:rsid w:val="00A725B4"/>
    <w:rsid w:val="00A728A5"/>
    <w:rsid w:val="00A729E6"/>
    <w:rsid w:val="00A730DC"/>
    <w:rsid w:val="00A7316C"/>
    <w:rsid w:val="00A73421"/>
    <w:rsid w:val="00A73E09"/>
    <w:rsid w:val="00A74B60"/>
    <w:rsid w:val="00A76903"/>
    <w:rsid w:val="00A77CA6"/>
    <w:rsid w:val="00A77E3E"/>
    <w:rsid w:val="00A77F20"/>
    <w:rsid w:val="00A805AE"/>
    <w:rsid w:val="00A82447"/>
    <w:rsid w:val="00A827FD"/>
    <w:rsid w:val="00A83656"/>
    <w:rsid w:val="00A8530E"/>
    <w:rsid w:val="00A85ABA"/>
    <w:rsid w:val="00A8689D"/>
    <w:rsid w:val="00A86FB4"/>
    <w:rsid w:val="00A907DE"/>
    <w:rsid w:val="00A90A12"/>
    <w:rsid w:val="00A90B5F"/>
    <w:rsid w:val="00A90F0F"/>
    <w:rsid w:val="00A9272E"/>
    <w:rsid w:val="00A92778"/>
    <w:rsid w:val="00A95027"/>
    <w:rsid w:val="00A955EE"/>
    <w:rsid w:val="00A97718"/>
    <w:rsid w:val="00AA0D6A"/>
    <w:rsid w:val="00AA15B5"/>
    <w:rsid w:val="00AA1DD2"/>
    <w:rsid w:val="00AA3BBB"/>
    <w:rsid w:val="00AA4309"/>
    <w:rsid w:val="00AA544C"/>
    <w:rsid w:val="00AB0683"/>
    <w:rsid w:val="00AB1ABB"/>
    <w:rsid w:val="00AB2E49"/>
    <w:rsid w:val="00AB38A0"/>
    <w:rsid w:val="00AB3971"/>
    <w:rsid w:val="00AB3B97"/>
    <w:rsid w:val="00AB43F6"/>
    <w:rsid w:val="00AB4A9E"/>
    <w:rsid w:val="00AB558D"/>
    <w:rsid w:val="00AB570C"/>
    <w:rsid w:val="00AB6FB0"/>
    <w:rsid w:val="00AB7C2A"/>
    <w:rsid w:val="00AC13A1"/>
    <w:rsid w:val="00AC2231"/>
    <w:rsid w:val="00AC252B"/>
    <w:rsid w:val="00AC2A46"/>
    <w:rsid w:val="00AC3D8C"/>
    <w:rsid w:val="00AC44CC"/>
    <w:rsid w:val="00AC6E0F"/>
    <w:rsid w:val="00AC6E86"/>
    <w:rsid w:val="00AC6FBA"/>
    <w:rsid w:val="00AC7CFA"/>
    <w:rsid w:val="00AD192F"/>
    <w:rsid w:val="00AD1D0C"/>
    <w:rsid w:val="00AD22EA"/>
    <w:rsid w:val="00AD30FC"/>
    <w:rsid w:val="00AD31EE"/>
    <w:rsid w:val="00AD4362"/>
    <w:rsid w:val="00AD5473"/>
    <w:rsid w:val="00AD59CE"/>
    <w:rsid w:val="00AD6110"/>
    <w:rsid w:val="00AD6CC8"/>
    <w:rsid w:val="00AD707D"/>
    <w:rsid w:val="00AD7313"/>
    <w:rsid w:val="00AE0097"/>
    <w:rsid w:val="00AE040A"/>
    <w:rsid w:val="00AE069A"/>
    <w:rsid w:val="00AE2402"/>
    <w:rsid w:val="00AE31A7"/>
    <w:rsid w:val="00AE3432"/>
    <w:rsid w:val="00AE35B5"/>
    <w:rsid w:val="00AE5B32"/>
    <w:rsid w:val="00AE6059"/>
    <w:rsid w:val="00AE67A0"/>
    <w:rsid w:val="00AE69CD"/>
    <w:rsid w:val="00AE78C5"/>
    <w:rsid w:val="00AE7F0F"/>
    <w:rsid w:val="00AE7F16"/>
    <w:rsid w:val="00AF2B10"/>
    <w:rsid w:val="00AF34E0"/>
    <w:rsid w:val="00AF46CC"/>
    <w:rsid w:val="00AF4D48"/>
    <w:rsid w:val="00AF4F24"/>
    <w:rsid w:val="00AF52DD"/>
    <w:rsid w:val="00AF55B9"/>
    <w:rsid w:val="00AF5FF7"/>
    <w:rsid w:val="00B00835"/>
    <w:rsid w:val="00B00B7A"/>
    <w:rsid w:val="00B00D3C"/>
    <w:rsid w:val="00B02DAA"/>
    <w:rsid w:val="00B03C94"/>
    <w:rsid w:val="00B03E72"/>
    <w:rsid w:val="00B05964"/>
    <w:rsid w:val="00B07E09"/>
    <w:rsid w:val="00B1045C"/>
    <w:rsid w:val="00B10A39"/>
    <w:rsid w:val="00B10C70"/>
    <w:rsid w:val="00B10D2F"/>
    <w:rsid w:val="00B11A99"/>
    <w:rsid w:val="00B124A8"/>
    <w:rsid w:val="00B1255A"/>
    <w:rsid w:val="00B134C6"/>
    <w:rsid w:val="00B13D54"/>
    <w:rsid w:val="00B14280"/>
    <w:rsid w:val="00B149FA"/>
    <w:rsid w:val="00B1503F"/>
    <w:rsid w:val="00B16C1E"/>
    <w:rsid w:val="00B17086"/>
    <w:rsid w:val="00B21A9F"/>
    <w:rsid w:val="00B21E47"/>
    <w:rsid w:val="00B22927"/>
    <w:rsid w:val="00B248DF"/>
    <w:rsid w:val="00B2558B"/>
    <w:rsid w:val="00B25597"/>
    <w:rsid w:val="00B274C5"/>
    <w:rsid w:val="00B31B29"/>
    <w:rsid w:val="00B31EB3"/>
    <w:rsid w:val="00B33174"/>
    <w:rsid w:val="00B339DE"/>
    <w:rsid w:val="00B33BED"/>
    <w:rsid w:val="00B34976"/>
    <w:rsid w:val="00B35693"/>
    <w:rsid w:val="00B3574F"/>
    <w:rsid w:val="00B35A45"/>
    <w:rsid w:val="00B403F6"/>
    <w:rsid w:val="00B40929"/>
    <w:rsid w:val="00B40B16"/>
    <w:rsid w:val="00B4219A"/>
    <w:rsid w:val="00B42434"/>
    <w:rsid w:val="00B4244A"/>
    <w:rsid w:val="00B42922"/>
    <w:rsid w:val="00B43C3A"/>
    <w:rsid w:val="00B44298"/>
    <w:rsid w:val="00B45B43"/>
    <w:rsid w:val="00B45BF7"/>
    <w:rsid w:val="00B4650F"/>
    <w:rsid w:val="00B46836"/>
    <w:rsid w:val="00B469B4"/>
    <w:rsid w:val="00B46CBE"/>
    <w:rsid w:val="00B4776C"/>
    <w:rsid w:val="00B47C58"/>
    <w:rsid w:val="00B52630"/>
    <w:rsid w:val="00B53279"/>
    <w:rsid w:val="00B53507"/>
    <w:rsid w:val="00B55874"/>
    <w:rsid w:val="00B55CBD"/>
    <w:rsid w:val="00B56274"/>
    <w:rsid w:val="00B566DE"/>
    <w:rsid w:val="00B568E2"/>
    <w:rsid w:val="00B573B5"/>
    <w:rsid w:val="00B63A6E"/>
    <w:rsid w:val="00B6585F"/>
    <w:rsid w:val="00B674A7"/>
    <w:rsid w:val="00B67F9B"/>
    <w:rsid w:val="00B70C91"/>
    <w:rsid w:val="00B71922"/>
    <w:rsid w:val="00B7225F"/>
    <w:rsid w:val="00B7382F"/>
    <w:rsid w:val="00B73E5B"/>
    <w:rsid w:val="00B74B3A"/>
    <w:rsid w:val="00B756AD"/>
    <w:rsid w:val="00B77FAB"/>
    <w:rsid w:val="00B80F35"/>
    <w:rsid w:val="00B813BD"/>
    <w:rsid w:val="00B81701"/>
    <w:rsid w:val="00B82B3A"/>
    <w:rsid w:val="00B83022"/>
    <w:rsid w:val="00B85137"/>
    <w:rsid w:val="00B85C61"/>
    <w:rsid w:val="00B91853"/>
    <w:rsid w:val="00B92388"/>
    <w:rsid w:val="00B92753"/>
    <w:rsid w:val="00B929A4"/>
    <w:rsid w:val="00B944DD"/>
    <w:rsid w:val="00B948E6"/>
    <w:rsid w:val="00B94ABE"/>
    <w:rsid w:val="00BA1149"/>
    <w:rsid w:val="00BA1E7F"/>
    <w:rsid w:val="00BA2503"/>
    <w:rsid w:val="00BA4B6A"/>
    <w:rsid w:val="00BA5649"/>
    <w:rsid w:val="00BA647A"/>
    <w:rsid w:val="00BA76E5"/>
    <w:rsid w:val="00BA7CCD"/>
    <w:rsid w:val="00BB1783"/>
    <w:rsid w:val="00BB3A5A"/>
    <w:rsid w:val="00BB4185"/>
    <w:rsid w:val="00BB4E78"/>
    <w:rsid w:val="00BB59C8"/>
    <w:rsid w:val="00BB62C2"/>
    <w:rsid w:val="00BB6919"/>
    <w:rsid w:val="00BB7569"/>
    <w:rsid w:val="00BB76A9"/>
    <w:rsid w:val="00BB7845"/>
    <w:rsid w:val="00BC08F0"/>
    <w:rsid w:val="00BC0EC4"/>
    <w:rsid w:val="00BC1965"/>
    <w:rsid w:val="00BC1E2E"/>
    <w:rsid w:val="00BC221A"/>
    <w:rsid w:val="00BC5B46"/>
    <w:rsid w:val="00BC6861"/>
    <w:rsid w:val="00BC7AB1"/>
    <w:rsid w:val="00BD12D6"/>
    <w:rsid w:val="00BD16FB"/>
    <w:rsid w:val="00BD18D2"/>
    <w:rsid w:val="00BD30E1"/>
    <w:rsid w:val="00BD3A29"/>
    <w:rsid w:val="00BD42CC"/>
    <w:rsid w:val="00BD4AEF"/>
    <w:rsid w:val="00BD55C5"/>
    <w:rsid w:val="00BD5B39"/>
    <w:rsid w:val="00BD5D78"/>
    <w:rsid w:val="00BD61A1"/>
    <w:rsid w:val="00BD689F"/>
    <w:rsid w:val="00BD6912"/>
    <w:rsid w:val="00BD71DB"/>
    <w:rsid w:val="00BD7443"/>
    <w:rsid w:val="00BD7EDB"/>
    <w:rsid w:val="00BE1D37"/>
    <w:rsid w:val="00BE2791"/>
    <w:rsid w:val="00BE2F4D"/>
    <w:rsid w:val="00BE314C"/>
    <w:rsid w:val="00BE317B"/>
    <w:rsid w:val="00BE5D1F"/>
    <w:rsid w:val="00BE63CC"/>
    <w:rsid w:val="00BE6920"/>
    <w:rsid w:val="00BE7D6E"/>
    <w:rsid w:val="00BE7E29"/>
    <w:rsid w:val="00BF06B8"/>
    <w:rsid w:val="00BF0E17"/>
    <w:rsid w:val="00BF0E22"/>
    <w:rsid w:val="00BF1916"/>
    <w:rsid w:val="00BF2568"/>
    <w:rsid w:val="00BF27FE"/>
    <w:rsid w:val="00BF2DD4"/>
    <w:rsid w:val="00BF2FDD"/>
    <w:rsid w:val="00BF3AFA"/>
    <w:rsid w:val="00BF3CBD"/>
    <w:rsid w:val="00BF58B5"/>
    <w:rsid w:val="00BF595A"/>
    <w:rsid w:val="00BF5E0D"/>
    <w:rsid w:val="00BF62E4"/>
    <w:rsid w:val="00BF7A2C"/>
    <w:rsid w:val="00C02B3F"/>
    <w:rsid w:val="00C04078"/>
    <w:rsid w:val="00C05107"/>
    <w:rsid w:val="00C051CD"/>
    <w:rsid w:val="00C05207"/>
    <w:rsid w:val="00C05AF5"/>
    <w:rsid w:val="00C07C5E"/>
    <w:rsid w:val="00C10A26"/>
    <w:rsid w:val="00C10B2E"/>
    <w:rsid w:val="00C11224"/>
    <w:rsid w:val="00C11648"/>
    <w:rsid w:val="00C126EB"/>
    <w:rsid w:val="00C127AC"/>
    <w:rsid w:val="00C14908"/>
    <w:rsid w:val="00C14DBC"/>
    <w:rsid w:val="00C15916"/>
    <w:rsid w:val="00C15BFE"/>
    <w:rsid w:val="00C16E57"/>
    <w:rsid w:val="00C173C3"/>
    <w:rsid w:val="00C179B3"/>
    <w:rsid w:val="00C17B62"/>
    <w:rsid w:val="00C17D34"/>
    <w:rsid w:val="00C17D36"/>
    <w:rsid w:val="00C20F27"/>
    <w:rsid w:val="00C223F6"/>
    <w:rsid w:val="00C22613"/>
    <w:rsid w:val="00C230A1"/>
    <w:rsid w:val="00C23F63"/>
    <w:rsid w:val="00C241F1"/>
    <w:rsid w:val="00C24B81"/>
    <w:rsid w:val="00C2546B"/>
    <w:rsid w:val="00C25549"/>
    <w:rsid w:val="00C260D0"/>
    <w:rsid w:val="00C27F0B"/>
    <w:rsid w:val="00C3013C"/>
    <w:rsid w:val="00C32A89"/>
    <w:rsid w:val="00C33EEB"/>
    <w:rsid w:val="00C35DE1"/>
    <w:rsid w:val="00C36825"/>
    <w:rsid w:val="00C40933"/>
    <w:rsid w:val="00C41E2C"/>
    <w:rsid w:val="00C4284C"/>
    <w:rsid w:val="00C45782"/>
    <w:rsid w:val="00C45A1F"/>
    <w:rsid w:val="00C45B12"/>
    <w:rsid w:val="00C45EAC"/>
    <w:rsid w:val="00C471B0"/>
    <w:rsid w:val="00C517B9"/>
    <w:rsid w:val="00C528AF"/>
    <w:rsid w:val="00C53462"/>
    <w:rsid w:val="00C54B66"/>
    <w:rsid w:val="00C54BBD"/>
    <w:rsid w:val="00C562AA"/>
    <w:rsid w:val="00C56DE7"/>
    <w:rsid w:val="00C57A3C"/>
    <w:rsid w:val="00C604B4"/>
    <w:rsid w:val="00C615E9"/>
    <w:rsid w:val="00C61A7B"/>
    <w:rsid w:val="00C621AF"/>
    <w:rsid w:val="00C6230A"/>
    <w:rsid w:val="00C634F4"/>
    <w:rsid w:val="00C647B5"/>
    <w:rsid w:val="00C64A93"/>
    <w:rsid w:val="00C65BB3"/>
    <w:rsid w:val="00C65D99"/>
    <w:rsid w:val="00C67D5E"/>
    <w:rsid w:val="00C72473"/>
    <w:rsid w:val="00C72979"/>
    <w:rsid w:val="00C72A38"/>
    <w:rsid w:val="00C73B21"/>
    <w:rsid w:val="00C75040"/>
    <w:rsid w:val="00C75E9C"/>
    <w:rsid w:val="00C76531"/>
    <w:rsid w:val="00C77218"/>
    <w:rsid w:val="00C77893"/>
    <w:rsid w:val="00C77BE4"/>
    <w:rsid w:val="00C801AD"/>
    <w:rsid w:val="00C810AC"/>
    <w:rsid w:val="00C81D6B"/>
    <w:rsid w:val="00C8248D"/>
    <w:rsid w:val="00C84306"/>
    <w:rsid w:val="00C848C3"/>
    <w:rsid w:val="00C85DE1"/>
    <w:rsid w:val="00C85E1D"/>
    <w:rsid w:val="00C86196"/>
    <w:rsid w:val="00C87CE4"/>
    <w:rsid w:val="00C908EB"/>
    <w:rsid w:val="00C90B44"/>
    <w:rsid w:val="00C91441"/>
    <w:rsid w:val="00C92709"/>
    <w:rsid w:val="00C94D0A"/>
    <w:rsid w:val="00C978AB"/>
    <w:rsid w:val="00CA09AB"/>
    <w:rsid w:val="00CA15A6"/>
    <w:rsid w:val="00CA1899"/>
    <w:rsid w:val="00CA23E1"/>
    <w:rsid w:val="00CA2753"/>
    <w:rsid w:val="00CA2841"/>
    <w:rsid w:val="00CA3EC2"/>
    <w:rsid w:val="00CA40F4"/>
    <w:rsid w:val="00CA57F8"/>
    <w:rsid w:val="00CA6AF3"/>
    <w:rsid w:val="00CA732E"/>
    <w:rsid w:val="00CA79B4"/>
    <w:rsid w:val="00CB0A18"/>
    <w:rsid w:val="00CB2E5A"/>
    <w:rsid w:val="00CB3D99"/>
    <w:rsid w:val="00CB4798"/>
    <w:rsid w:val="00CC04A6"/>
    <w:rsid w:val="00CC0819"/>
    <w:rsid w:val="00CC0868"/>
    <w:rsid w:val="00CC1796"/>
    <w:rsid w:val="00CC17E7"/>
    <w:rsid w:val="00CC1918"/>
    <w:rsid w:val="00CC2019"/>
    <w:rsid w:val="00CC259C"/>
    <w:rsid w:val="00CC3A5D"/>
    <w:rsid w:val="00CC4889"/>
    <w:rsid w:val="00CC4B29"/>
    <w:rsid w:val="00CC63BE"/>
    <w:rsid w:val="00CC719D"/>
    <w:rsid w:val="00CC7B92"/>
    <w:rsid w:val="00CD098A"/>
    <w:rsid w:val="00CD1E0D"/>
    <w:rsid w:val="00CD3859"/>
    <w:rsid w:val="00CD45ED"/>
    <w:rsid w:val="00CD52E7"/>
    <w:rsid w:val="00CE0217"/>
    <w:rsid w:val="00CE23AD"/>
    <w:rsid w:val="00CE33F8"/>
    <w:rsid w:val="00CE34F9"/>
    <w:rsid w:val="00CE3841"/>
    <w:rsid w:val="00CE3862"/>
    <w:rsid w:val="00CE4505"/>
    <w:rsid w:val="00CE5722"/>
    <w:rsid w:val="00CE59CB"/>
    <w:rsid w:val="00CE790E"/>
    <w:rsid w:val="00CF084B"/>
    <w:rsid w:val="00CF335E"/>
    <w:rsid w:val="00CF360A"/>
    <w:rsid w:val="00CF448A"/>
    <w:rsid w:val="00CF5B52"/>
    <w:rsid w:val="00CF5D8C"/>
    <w:rsid w:val="00CF66B8"/>
    <w:rsid w:val="00CF7483"/>
    <w:rsid w:val="00D02041"/>
    <w:rsid w:val="00D020AA"/>
    <w:rsid w:val="00D02329"/>
    <w:rsid w:val="00D02330"/>
    <w:rsid w:val="00D02A09"/>
    <w:rsid w:val="00D02B66"/>
    <w:rsid w:val="00D03F82"/>
    <w:rsid w:val="00D0401E"/>
    <w:rsid w:val="00D04023"/>
    <w:rsid w:val="00D0414C"/>
    <w:rsid w:val="00D04E63"/>
    <w:rsid w:val="00D05AB7"/>
    <w:rsid w:val="00D05C21"/>
    <w:rsid w:val="00D11D6E"/>
    <w:rsid w:val="00D123C7"/>
    <w:rsid w:val="00D125E1"/>
    <w:rsid w:val="00D131F9"/>
    <w:rsid w:val="00D13EA4"/>
    <w:rsid w:val="00D14085"/>
    <w:rsid w:val="00D14CA9"/>
    <w:rsid w:val="00D1585F"/>
    <w:rsid w:val="00D15C7B"/>
    <w:rsid w:val="00D15D34"/>
    <w:rsid w:val="00D166D6"/>
    <w:rsid w:val="00D16A92"/>
    <w:rsid w:val="00D17370"/>
    <w:rsid w:val="00D17469"/>
    <w:rsid w:val="00D202EC"/>
    <w:rsid w:val="00D210A2"/>
    <w:rsid w:val="00D23054"/>
    <w:rsid w:val="00D23B2F"/>
    <w:rsid w:val="00D255A5"/>
    <w:rsid w:val="00D25C77"/>
    <w:rsid w:val="00D26B57"/>
    <w:rsid w:val="00D27CD7"/>
    <w:rsid w:val="00D306FA"/>
    <w:rsid w:val="00D31217"/>
    <w:rsid w:val="00D33141"/>
    <w:rsid w:val="00D3375A"/>
    <w:rsid w:val="00D33FA2"/>
    <w:rsid w:val="00D340D2"/>
    <w:rsid w:val="00D353ED"/>
    <w:rsid w:val="00D36D17"/>
    <w:rsid w:val="00D37521"/>
    <w:rsid w:val="00D41D61"/>
    <w:rsid w:val="00D427D6"/>
    <w:rsid w:val="00D457A2"/>
    <w:rsid w:val="00D5010A"/>
    <w:rsid w:val="00D51FD7"/>
    <w:rsid w:val="00D554B1"/>
    <w:rsid w:val="00D55975"/>
    <w:rsid w:val="00D56381"/>
    <w:rsid w:val="00D57499"/>
    <w:rsid w:val="00D57A56"/>
    <w:rsid w:val="00D57A79"/>
    <w:rsid w:val="00D60396"/>
    <w:rsid w:val="00D61309"/>
    <w:rsid w:val="00D6150A"/>
    <w:rsid w:val="00D619C4"/>
    <w:rsid w:val="00D625A5"/>
    <w:rsid w:val="00D627F5"/>
    <w:rsid w:val="00D632B9"/>
    <w:rsid w:val="00D639A1"/>
    <w:rsid w:val="00D653F3"/>
    <w:rsid w:val="00D65B5C"/>
    <w:rsid w:val="00D65FBC"/>
    <w:rsid w:val="00D66CBC"/>
    <w:rsid w:val="00D676A4"/>
    <w:rsid w:val="00D678DA"/>
    <w:rsid w:val="00D67EA4"/>
    <w:rsid w:val="00D702A8"/>
    <w:rsid w:val="00D704EC"/>
    <w:rsid w:val="00D70B82"/>
    <w:rsid w:val="00D71263"/>
    <w:rsid w:val="00D7213D"/>
    <w:rsid w:val="00D7216E"/>
    <w:rsid w:val="00D730DD"/>
    <w:rsid w:val="00D7340E"/>
    <w:rsid w:val="00D7452C"/>
    <w:rsid w:val="00D74662"/>
    <w:rsid w:val="00D754C2"/>
    <w:rsid w:val="00D7573A"/>
    <w:rsid w:val="00D76795"/>
    <w:rsid w:val="00D7738B"/>
    <w:rsid w:val="00D776F8"/>
    <w:rsid w:val="00D77B6B"/>
    <w:rsid w:val="00D800E8"/>
    <w:rsid w:val="00D80EE5"/>
    <w:rsid w:val="00D82290"/>
    <w:rsid w:val="00D82DA2"/>
    <w:rsid w:val="00D841C7"/>
    <w:rsid w:val="00D84BF6"/>
    <w:rsid w:val="00D85E24"/>
    <w:rsid w:val="00D863D1"/>
    <w:rsid w:val="00D86F50"/>
    <w:rsid w:val="00D871B1"/>
    <w:rsid w:val="00D87DDD"/>
    <w:rsid w:val="00D90028"/>
    <w:rsid w:val="00D90987"/>
    <w:rsid w:val="00D90CEC"/>
    <w:rsid w:val="00D9140A"/>
    <w:rsid w:val="00D91BC6"/>
    <w:rsid w:val="00D91F7D"/>
    <w:rsid w:val="00D93AAA"/>
    <w:rsid w:val="00D943FF"/>
    <w:rsid w:val="00D9518C"/>
    <w:rsid w:val="00D95879"/>
    <w:rsid w:val="00D963A3"/>
    <w:rsid w:val="00D963C6"/>
    <w:rsid w:val="00D96910"/>
    <w:rsid w:val="00D97968"/>
    <w:rsid w:val="00DA105F"/>
    <w:rsid w:val="00DA3C60"/>
    <w:rsid w:val="00DA47CC"/>
    <w:rsid w:val="00DA4C34"/>
    <w:rsid w:val="00DA56D7"/>
    <w:rsid w:val="00DA5966"/>
    <w:rsid w:val="00DA6D1E"/>
    <w:rsid w:val="00DA7E04"/>
    <w:rsid w:val="00DA7F48"/>
    <w:rsid w:val="00DB02A2"/>
    <w:rsid w:val="00DB0319"/>
    <w:rsid w:val="00DB0D1D"/>
    <w:rsid w:val="00DB1310"/>
    <w:rsid w:val="00DB1362"/>
    <w:rsid w:val="00DB168B"/>
    <w:rsid w:val="00DB30EF"/>
    <w:rsid w:val="00DB37DB"/>
    <w:rsid w:val="00DB3A04"/>
    <w:rsid w:val="00DB4017"/>
    <w:rsid w:val="00DB4E04"/>
    <w:rsid w:val="00DB6D7C"/>
    <w:rsid w:val="00DB7F52"/>
    <w:rsid w:val="00DC0B3C"/>
    <w:rsid w:val="00DC2F92"/>
    <w:rsid w:val="00DC36FE"/>
    <w:rsid w:val="00DC439E"/>
    <w:rsid w:val="00DC548F"/>
    <w:rsid w:val="00DC67C4"/>
    <w:rsid w:val="00DC723C"/>
    <w:rsid w:val="00DC7538"/>
    <w:rsid w:val="00DC75C0"/>
    <w:rsid w:val="00DD2271"/>
    <w:rsid w:val="00DD2771"/>
    <w:rsid w:val="00DD3202"/>
    <w:rsid w:val="00DD36DA"/>
    <w:rsid w:val="00DD3DBF"/>
    <w:rsid w:val="00DD41EF"/>
    <w:rsid w:val="00DD5209"/>
    <w:rsid w:val="00DD61C3"/>
    <w:rsid w:val="00DD6C1B"/>
    <w:rsid w:val="00DD71EC"/>
    <w:rsid w:val="00DD79FE"/>
    <w:rsid w:val="00DD7C36"/>
    <w:rsid w:val="00DD7F94"/>
    <w:rsid w:val="00DE0971"/>
    <w:rsid w:val="00DE15B2"/>
    <w:rsid w:val="00DE21FC"/>
    <w:rsid w:val="00DE279D"/>
    <w:rsid w:val="00DE3367"/>
    <w:rsid w:val="00DE5F44"/>
    <w:rsid w:val="00DE62DF"/>
    <w:rsid w:val="00DE7329"/>
    <w:rsid w:val="00DE7959"/>
    <w:rsid w:val="00DF0CFF"/>
    <w:rsid w:val="00DF132C"/>
    <w:rsid w:val="00DF1449"/>
    <w:rsid w:val="00DF1916"/>
    <w:rsid w:val="00DF1F5F"/>
    <w:rsid w:val="00DF20D4"/>
    <w:rsid w:val="00DF40F2"/>
    <w:rsid w:val="00DF44F0"/>
    <w:rsid w:val="00DF568A"/>
    <w:rsid w:val="00DF587C"/>
    <w:rsid w:val="00DF74A6"/>
    <w:rsid w:val="00DF7A34"/>
    <w:rsid w:val="00E001DC"/>
    <w:rsid w:val="00E0037C"/>
    <w:rsid w:val="00E02F04"/>
    <w:rsid w:val="00E03549"/>
    <w:rsid w:val="00E0376C"/>
    <w:rsid w:val="00E04862"/>
    <w:rsid w:val="00E04EDE"/>
    <w:rsid w:val="00E052CC"/>
    <w:rsid w:val="00E0564F"/>
    <w:rsid w:val="00E05B05"/>
    <w:rsid w:val="00E05DDB"/>
    <w:rsid w:val="00E05F07"/>
    <w:rsid w:val="00E0779B"/>
    <w:rsid w:val="00E105B7"/>
    <w:rsid w:val="00E10F9B"/>
    <w:rsid w:val="00E11241"/>
    <w:rsid w:val="00E11721"/>
    <w:rsid w:val="00E119D9"/>
    <w:rsid w:val="00E11D8C"/>
    <w:rsid w:val="00E127E9"/>
    <w:rsid w:val="00E1480D"/>
    <w:rsid w:val="00E14AEA"/>
    <w:rsid w:val="00E15BFC"/>
    <w:rsid w:val="00E15FA8"/>
    <w:rsid w:val="00E16700"/>
    <w:rsid w:val="00E16B47"/>
    <w:rsid w:val="00E16D33"/>
    <w:rsid w:val="00E16E9A"/>
    <w:rsid w:val="00E17CE5"/>
    <w:rsid w:val="00E21E6E"/>
    <w:rsid w:val="00E233EA"/>
    <w:rsid w:val="00E23561"/>
    <w:rsid w:val="00E263A2"/>
    <w:rsid w:val="00E266F3"/>
    <w:rsid w:val="00E26A66"/>
    <w:rsid w:val="00E26F9A"/>
    <w:rsid w:val="00E3155E"/>
    <w:rsid w:val="00E317D7"/>
    <w:rsid w:val="00E320C9"/>
    <w:rsid w:val="00E33A96"/>
    <w:rsid w:val="00E33D9B"/>
    <w:rsid w:val="00E34863"/>
    <w:rsid w:val="00E35DAB"/>
    <w:rsid w:val="00E36E87"/>
    <w:rsid w:val="00E41171"/>
    <w:rsid w:val="00E41407"/>
    <w:rsid w:val="00E42DC5"/>
    <w:rsid w:val="00E42EBF"/>
    <w:rsid w:val="00E4325B"/>
    <w:rsid w:val="00E43A14"/>
    <w:rsid w:val="00E4404C"/>
    <w:rsid w:val="00E44849"/>
    <w:rsid w:val="00E44E5F"/>
    <w:rsid w:val="00E44F48"/>
    <w:rsid w:val="00E45196"/>
    <w:rsid w:val="00E459D2"/>
    <w:rsid w:val="00E45CFD"/>
    <w:rsid w:val="00E468DA"/>
    <w:rsid w:val="00E478AD"/>
    <w:rsid w:val="00E50359"/>
    <w:rsid w:val="00E5086E"/>
    <w:rsid w:val="00E50FCE"/>
    <w:rsid w:val="00E51C5B"/>
    <w:rsid w:val="00E527AD"/>
    <w:rsid w:val="00E52B06"/>
    <w:rsid w:val="00E57FA3"/>
    <w:rsid w:val="00E603A4"/>
    <w:rsid w:val="00E60937"/>
    <w:rsid w:val="00E60F84"/>
    <w:rsid w:val="00E61517"/>
    <w:rsid w:val="00E62B5B"/>
    <w:rsid w:val="00E6378B"/>
    <w:rsid w:val="00E63E4F"/>
    <w:rsid w:val="00E63F3D"/>
    <w:rsid w:val="00E64377"/>
    <w:rsid w:val="00E659E5"/>
    <w:rsid w:val="00E660D2"/>
    <w:rsid w:val="00E66D48"/>
    <w:rsid w:val="00E67CA9"/>
    <w:rsid w:val="00E71A2E"/>
    <w:rsid w:val="00E720F4"/>
    <w:rsid w:val="00E72BE3"/>
    <w:rsid w:val="00E734DC"/>
    <w:rsid w:val="00E755C7"/>
    <w:rsid w:val="00E76475"/>
    <w:rsid w:val="00E76E9B"/>
    <w:rsid w:val="00E802A4"/>
    <w:rsid w:val="00E8078A"/>
    <w:rsid w:val="00E81F46"/>
    <w:rsid w:val="00E82949"/>
    <w:rsid w:val="00E84D98"/>
    <w:rsid w:val="00E858BF"/>
    <w:rsid w:val="00E85969"/>
    <w:rsid w:val="00E86C9F"/>
    <w:rsid w:val="00E903C4"/>
    <w:rsid w:val="00E9164B"/>
    <w:rsid w:val="00E91A7D"/>
    <w:rsid w:val="00E929BB"/>
    <w:rsid w:val="00E93B45"/>
    <w:rsid w:val="00E93F88"/>
    <w:rsid w:val="00E950E6"/>
    <w:rsid w:val="00E9630F"/>
    <w:rsid w:val="00E96E05"/>
    <w:rsid w:val="00E9769A"/>
    <w:rsid w:val="00E97DF9"/>
    <w:rsid w:val="00E97E7F"/>
    <w:rsid w:val="00EA02C8"/>
    <w:rsid w:val="00EA02D0"/>
    <w:rsid w:val="00EA0A22"/>
    <w:rsid w:val="00EA0F34"/>
    <w:rsid w:val="00EA146A"/>
    <w:rsid w:val="00EA2977"/>
    <w:rsid w:val="00EA3B17"/>
    <w:rsid w:val="00EA4458"/>
    <w:rsid w:val="00EA4CF9"/>
    <w:rsid w:val="00EA62B5"/>
    <w:rsid w:val="00EA7EED"/>
    <w:rsid w:val="00EB0BFA"/>
    <w:rsid w:val="00EB10EB"/>
    <w:rsid w:val="00EB26D4"/>
    <w:rsid w:val="00EB29F9"/>
    <w:rsid w:val="00EB336C"/>
    <w:rsid w:val="00EB3483"/>
    <w:rsid w:val="00EB3D61"/>
    <w:rsid w:val="00EB5169"/>
    <w:rsid w:val="00EB6015"/>
    <w:rsid w:val="00EB7DCE"/>
    <w:rsid w:val="00EC11E4"/>
    <w:rsid w:val="00EC168A"/>
    <w:rsid w:val="00EC30DF"/>
    <w:rsid w:val="00EC3A7B"/>
    <w:rsid w:val="00EC402A"/>
    <w:rsid w:val="00EC436A"/>
    <w:rsid w:val="00EC5506"/>
    <w:rsid w:val="00EC5BAE"/>
    <w:rsid w:val="00EC6511"/>
    <w:rsid w:val="00EC75B4"/>
    <w:rsid w:val="00ED0326"/>
    <w:rsid w:val="00ED0FA7"/>
    <w:rsid w:val="00ED123D"/>
    <w:rsid w:val="00ED18A8"/>
    <w:rsid w:val="00ED1F38"/>
    <w:rsid w:val="00ED477B"/>
    <w:rsid w:val="00ED6A08"/>
    <w:rsid w:val="00ED6A1E"/>
    <w:rsid w:val="00ED6E95"/>
    <w:rsid w:val="00ED6FA0"/>
    <w:rsid w:val="00ED774C"/>
    <w:rsid w:val="00EE09AF"/>
    <w:rsid w:val="00EE1CB2"/>
    <w:rsid w:val="00EE20D3"/>
    <w:rsid w:val="00EE27C9"/>
    <w:rsid w:val="00EE2F84"/>
    <w:rsid w:val="00EE32DA"/>
    <w:rsid w:val="00EE4581"/>
    <w:rsid w:val="00EE4F61"/>
    <w:rsid w:val="00EE5F1E"/>
    <w:rsid w:val="00EE605A"/>
    <w:rsid w:val="00EE6F10"/>
    <w:rsid w:val="00EE7ABF"/>
    <w:rsid w:val="00EE7EEE"/>
    <w:rsid w:val="00EF021A"/>
    <w:rsid w:val="00EF1148"/>
    <w:rsid w:val="00EF1489"/>
    <w:rsid w:val="00EF14C7"/>
    <w:rsid w:val="00EF7455"/>
    <w:rsid w:val="00EF7C89"/>
    <w:rsid w:val="00F016CD"/>
    <w:rsid w:val="00F01DA4"/>
    <w:rsid w:val="00F01FB6"/>
    <w:rsid w:val="00F02788"/>
    <w:rsid w:val="00F027B4"/>
    <w:rsid w:val="00F027D7"/>
    <w:rsid w:val="00F02855"/>
    <w:rsid w:val="00F031C8"/>
    <w:rsid w:val="00F03A5B"/>
    <w:rsid w:val="00F05EE6"/>
    <w:rsid w:val="00F076FA"/>
    <w:rsid w:val="00F10AC3"/>
    <w:rsid w:val="00F127FE"/>
    <w:rsid w:val="00F12C7B"/>
    <w:rsid w:val="00F16191"/>
    <w:rsid w:val="00F164FE"/>
    <w:rsid w:val="00F16900"/>
    <w:rsid w:val="00F21C3F"/>
    <w:rsid w:val="00F23681"/>
    <w:rsid w:val="00F24E08"/>
    <w:rsid w:val="00F2699B"/>
    <w:rsid w:val="00F30E60"/>
    <w:rsid w:val="00F32E79"/>
    <w:rsid w:val="00F33835"/>
    <w:rsid w:val="00F34A06"/>
    <w:rsid w:val="00F35A6F"/>
    <w:rsid w:val="00F35ED8"/>
    <w:rsid w:val="00F3705B"/>
    <w:rsid w:val="00F37A5D"/>
    <w:rsid w:val="00F40C93"/>
    <w:rsid w:val="00F43958"/>
    <w:rsid w:val="00F4516C"/>
    <w:rsid w:val="00F46058"/>
    <w:rsid w:val="00F46E43"/>
    <w:rsid w:val="00F50AA3"/>
    <w:rsid w:val="00F521E9"/>
    <w:rsid w:val="00F55317"/>
    <w:rsid w:val="00F563F7"/>
    <w:rsid w:val="00F5666A"/>
    <w:rsid w:val="00F572BD"/>
    <w:rsid w:val="00F60221"/>
    <w:rsid w:val="00F61959"/>
    <w:rsid w:val="00F62CDC"/>
    <w:rsid w:val="00F62EEF"/>
    <w:rsid w:val="00F63024"/>
    <w:rsid w:val="00F631EB"/>
    <w:rsid w:val="00F63F24"/>
    <w:rsid w:val="00F64016"/>
    <w:rsid w:val="00F657C7"/>
    <w:rsid w:val="00F65ECA"/>
    <w:rsid w:val="00F6703D"/>
    <w:rsid w:val="00F67906"/>
    <w:rsid w:val="00F71156"/>
    <w:rsid w:val="00F720FA"/>
    <w:rsid w:val="00F72323"/>
    <w:rsid w:val="00F72B4C"/>
    <w:rsid w:val="00F74A25"/>
    <w:rsid w:val="00F74DFA"/>
    <w:rsid w:val="00F7543E"/>
    <w:rsid w:val="00F75BB1"/>
    <w:rsid w:val="00F769A6"/>
    <w:rsid w:val="00F76C07"/>
    <w:rsid w:val="00F76CD0"/>
    <w:rsid w:val="00F8031B"/>
    <w:rsid w:val="00F8081A"/>
    <w:rsid w:val="00F82D3E"/>
    <w:rsid w:val="00F83167"/>
    <w:rsid w:val="00F84034"/>
    <w:rsid w:val="00F84489"/>
    <w:rsid w:val="00F847E8"/>
    <w:rsid w:val="00F84B56"/>
    <w:rsid w:val="00F87DD6"/>
    <w:rsid w:val="00F90AFD"/>
    <w:rsid w:val="00F90E9E"/>
    <w:rsid w:val="00F9138A"/>
    <w:rsid w:val="00F91BF9"/>
    <w:rsid w:val="00F92237"/>
    <w:rsid w:val="00F92821"/>
    <w:rsid w:val="00F929D9"/>
    <w:rsid w:val="00F92B92"/>
    <w:rsid w:val="00F93027"/>
    <w:rsid w:val="00F93BCF"/>
    <w:rsid w:val="00F949C9"/>
    <w:rsid w:val="00F955FE"/>
    <w:rsid w:val="00FA1544"/>
    <w:rsid w:val="00FA18BE"/>
    <w:rsid w:val="00FA30DB"/>
    <w:rsid w:val="00FA67DD"/>
    <w:rsid w:val="00FA7FD9"/>
    <w:rsid w:val="00FB06E0"/>
    <w:rsid w:val="00FB1D40"/>
    <w:rsid w:val="00FB27E9"/>
    <w:rsid w:val="00FB2FF8"/>
    <w:rsid w:val="00FB493F"/>
    <w:rsid w:val="00FB51D9"/>
    <w:rsid w:val="00FB6357"/>
    <w:rsid w:val="00FB6C5E"/>
    <w:rsid w:val="00FB7EDC"/>
    <w:rsid w:val="00FC2962"/>
    <w:rsid w:val="00FC35C8"/>
    <w:rsid w:val="00FC3EFB"/>
    <w:rsid w:val="00FC5B31"/>
    <w:rsid w:val="00FD01EA"/>
    <w:rsid w:val="00FD04BB"/>
    <w:rsid w:val="00FD0D3E"/>
    <w:rsid w:val="00FD1A3A"/>
    <w:rsid w:val="00FD2D18"/>
    <w:rsid w:val="00FD2D31"/>
    <w:rsid w:val="00FD597A"/>
    <w:rsid w:val="00FD5C17"/>
    <w:rsid w:val="00FD7903"/>
    <w:rsid w:val="00FD7FBC"/>
    <w:rsid w:val="00FE0132"/>
    <w:rsid w:val="00FE133D"/>
    <w:rsid w:val="00FE13F4"/>
    <w:rsid w:val="00FE1759"/>
    <w:rsid w:val="00FE4B67"/>
    <w:rsid w:val="00FE5203"/>
    <w:rsid w:val="00FE52EF"/>
    <w:rsid w:val="00FE561F"/>
    <w:rsid w:val="00FE653B"/>
    <w:rsid w:val="00FF20D5"/>
    <w:rsid w:val="00FF589F"/>
    <w:rsid w:val="00FF6A96"/>
    <w:rsid w:val="00FF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585F"/>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0"/>
    <w:uiPriority w:val="99"/>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H2 Char,h2 Char"/>
    <w:basedOn w:val="a"/>
    <w:next w:val="a"/>
    <w:link w:val="20"/>
    <w:uiPriority w:val="9"/>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0"/>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0"/>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0"/>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0"/>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0"/>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9"/>
    <w:rsid w:val="003F1333"/>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Heading 2 Char 字符,插图 字符,제목 2 字符"/>
    <w:basedOn w:val="a0"/>
    <w:link w:val="2"/>
    <w:uiPriority w:val="9"/>
    <w:rsid w:val="003F1333"/>
    <w:rPr>
      <w:rFonts w:ascii="Times New Roman" w:eastAsia="Times New Roman"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1333"/>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F1333"/>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3F1333"/>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3F1333"/>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3F1333"/>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3F1333"/>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3F1333"/>
    <w:rPr>
      <w:rFonts w:ascii="Arial" w:eastAsia="Times New Roman" w:hAnsi="Arial" w:cs="Arial"/>
      <w:kern w:val="0"/>
      <w:sz w:val="22"/>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4"/>
    <w:uiPriority w:val="34"/>
    <w:qFormat/>
    <w:rsid w:val="003F1333"/>
    <w:pPr>
      <w:ind w:firstLineChars="200" w:firstLine="420"/>
    </w:pPr>
  </w:style>
  <w:style w:type="table" w:styleId="a5">
    <w:name w:val="Table Grid"/>
    <w:basedOn w:val="a1"/>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7"/>
    <w:uiPriority w:val="35"/>
    <w:qFormat/>
    <w:rsid w:val="003F1333"/>
    <w:pPr>
      <w:autoSpaceDE w:val="0"/>
      <w:autoSpaceDN w:val="0"/>
      <w:adjustRightInd w:val="0"/>
      <w:snapToGrid w:val="0"/>
      <w:spacing w:after="120"/>
      <w:jc w:val="center"/>
    </w:pPr>
    <w:rPr>
      <w:rFonts w:eastAsia="宋体" w:cs="Times New Roman"/>
      <w:b/>
      <w:bCs/>
      <w:sz w:val="20"/>
      <w:szCs w:val="20"/>
      <w:lang w:eastAsia="en-US"/>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6"/>
    <w:uiPriority w:val="35"/>
    <w:rsid w:val="003F1333"/>
    <w:rPr>
      <w:rFonts w:ascii="Times New Roman" w:eastAsia="宋体" w:hAnsi="Times New Roman" w:cs="Times New Roman"/>
      <w:b/>
      <w:bCs/>
      <w:kern w:val="0"/>
      <w:sz w:val="20"/>
      <w:szCs w:val="20"/>
      <w:lang w:eastAsia="en-US"/>
    </w:r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3F1333"/>
    <w:rPr>
      <w:rFonts w:ascii="Times New Roman" w:eastAsia="Times New Roman" w:hAnsi="Times New Roman" w:cs="Calibri"/>
      <w:kern w:val="0"/>
      <w:sz w:val="22"/>
      <w:szCs w:val="21"/>
    </w:rPr>
  </w:style>
  <w:style w:type="character" w:styleId="a8">
    <w:name w:val="Strong"/>
    <w:basedOn w:val="a0"/>
    <w:uiPriority w:val="22"/>
    <w:qFormat/>
    <w:rsid w:val="003F1333"/>
    <w:rPr>
      <w:b/>
      <w:bCs/>
    </w:rPr>
  </w:style>
  <w:style w:type="character" w:customStyle="1" w:styleId="apple-converted-space">
    <w:name w:val="apple-converted-space"/>
    <w:qFormat/>
    <w:rsid w:val="003F1333"/>
  </w:style>
  <w:style w:type="paragraph" w:styleId="a9">
    <w:name w:val="Normal (Web)"/>
    <w:basedOn w:val="a"/>
    <w:uiPriority w:val="99"/>
    <w:qFormat/>
    <w:rsid w:val="003F1333"/>
    <w:pPr>
      <w:spacing w:before="100" w:beforeAutospacing="1" w:after="100" w:afterAutospacing="1"/>
      <w:jc w:val="left"/>
    </w:pPr>
    <w:rPr>
      <w:rFonts w:ascii="Arial" w:eastAsia="宋体" w:hAnsi="Arial" w:cs="Arial"/>
      <w:color w:val="493118"/>
      <w:sz w:val="18"/>
      <w:szCs w:val="18"/>
    </w:rPr>
  </w:style>
  <w:style w:type="character" w:styleId="aa">
    <w:name w:val="annotation reference"/>
    <w:basedOn w:val="a0"/>
    <w:unhideWhenUsed/>
    <w:qFormat/>
    <w:rsid w:val="003F1333"/>
    <w:rPr>
      <w:sz w:val="21"/>
      <w:szCs w:val="21"/>
    </w:rPr>
  </w:style>
  <w:style w:type="paragraph" w:styleId="ab">
    <w:name w:val="annotation text"/>
    <w:basedOn w:val="a"/>
    <w:link w:val="ac"/>
    <w:unhideWhenUsed/>
    <w:qFormat/>
    <w:rsid w:val="003F1333"/>
    <w:pPr>
      <w:jc w:val="left"/>
    </w:pPr>
  </w:style>
  <w:style w:type="character" w:customStyle="1" w:styleId="ac">
    <w:name w:val="批注文字 字符"/>
    <w:basedOn w:val="a0"/>
    <w:link w:val="ab"/>
    <w:qFormat/>
    <w:rsid w:val="003F1333"/>
    <w:rPr>
      <w:rFonts w:ascii="Times New Roman" w:eastAsia="Times New Roman" w:hAnsi="Times New Roman" w:cs="Calibri"/>
      <w:kern w:val="0"/>
      <w:sz w:val="22"/>
      <w:szCs w:val="21"/>
    </w:rPr>
  </w:style>
  <w:style w:type="paragraph" w:styleId="ad">
    <w:name w:val="Balloon Text"/>
    <w:basedOn w:val="a"/>
    <w:link w:val="ae"/>
    <w:uiPriority w:val="99"/>
    <w:semiHidden/>
    <w:unhideWhenUsed/>
    <w:rsid w:val="003F1333"/>
    <w:rPr>
      <w:sz w:val="18"/>
      <w:szCs w:val="18"/>
    </w:rPr>
  </w:style>
  <w:style w:type="character" w:customStyle="1" w:styleId="ae">
    <w:name w:val="批注框文本 字符"/>
    <w:basedOn w:val="a0"/>
    <w:link w:val="ad"/>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a"/>
    <w:link w:val="TACChar"/>
    <w:qFormat/>
    <w:rsid w:val="00943025"/>
    <w:pPr>
      <w:keepNext/>
      <w:keepLines/>
      <w:jc w:val="center"/>
    </w:pPr>
    <w:rPr>
      <w:rFonts w:ascii="Arial" w:eastAsia="宋体" w:hAnsi="Arial" w:cs="Times New Roman"/>
      <w:sz w:val="18"/>
      <w:szCs w:val="20"/>
      <w:lang w:val="x-none" w:eastAsia="en-US"/>
    </w:rPr>
  </w:style>
  <w:style w:type="paragraph" w:customStyle="1" w:styleId="TH">
    <w:name w:val="TH"/>
    <w:basedOn w:val="a"/>
    <w:link w:val="THChar"/>
    <w:qFormat/>
    <w:rsid w:val="00943025"/>
    <w:pPr>
      <w:keepNext/>
      <w:keepLines/>
      <w:spacing w:before="60" w:after="180"/>
      <w:jc w:val="center"/>
    </w:pPr>
    <w:rPr>
      <w:rFonts w:ascii="Arial" w:eastAsia="宋体" w:hAnsi="Arial" w:cs="Times New Roman"/>
      <w:b/>
      <w:sz w:val="20"/>
      <w:szCs w:val="20"/>
      <w:lang w:val="x-none" w:eastAsia="en-US"/>
    </w:rPr>
  </w:style>
  <w:style w:type="character" w:customStyle="1" w:styleId="THChar">
    <w:name w:val="TH Char"/>
    <w:link w:val="TH"/>
    <w:qFormat/>
    <w:rsid w:val="00943025"/>
    <w:rPr>
      <w:rFonts w:ascii="Arial" w:eastAsia="宋体" w:hAnsi="Arial" w:cs="Times New Roman"/>
      <w:b/>
      <w:kern w:val="0"/>
      <w:sz w:val="20"/>
      <w:szCs w:val="20"/>
      <w:lang w:val="x-none" w:eastAsia="en-US"/>
    </w:rPr>
  </w:style>
  <w:style w:type="character" w:customStyle="1" w:styleId="TACChar">
    <w:name w:val="TAC Char"/>
    <w:link w:val="TAC"/>
    <w:qFormat/>
    <w:locked/>
    <w:rsid w:val="00943025"/>
    <w:rPr>
      <w:rFonts w:ascii="Arial" w:eastAsia="宋体" w:hAnsi="Arial" w:cs="Times New Roman"/>
      <w:kern w:val="0"/>
      <w:sz w:val="18"/>
      <w:szCs w:val="20"/>
      <w:lang w:val="x-none" w:eastAsia="en-US"/>
    </w:rPr>
  </w:style>
  <w:style w:type="character" w:customStyle="1" w:styleId="TAHCar">
    <w:name w:val="TAH Car"/>
    <w:link w:val="TAH"/>
    <w:qFormat/>
    <w:rsid w:val="00943025"/>
    <w:rPr>
      <w:rFonts w:ascii="Arial" w:eastAsia="宋体" w:hAnsi="Arial" w:cs="Times New Roman"/>
      <w:b/>
      <w:kern w:val="0"/>
      <w:sz w:val="18"/>
      <w:szCs w:val="20"/>
      <w:lang w:val="x-none" w:eastAsia="en-US"/>
    </w:rPr>
  </w:style>
  <w:style w:type="paragraph" w:styleId="af">
    <w:name w:val="annotation subject"/>
    <w:basedOn w:val="ab"/>
    <w:next w:val="ab"/>
    <w:link w:val="af0"/>
    <w:uiPriority w:val="99"/>
    <w:semiHidden/>
    <w:unhideWhenUsed/>
    <w:rsid w:val="00D639A1"/>
    <w:rPr>
      <w:b/>
      <w:bCs/>
    </w:rPr>
  </w:style>
  <w:style w:type="character" w:customStyle="1" w:styleId="af0">
    <w:name w:val="批注主题 字符"/>
    <w:basedOn w:val="ac"/>
    <w:link w:val="af"/>
    <w:uiPriority w:val="99"/>
    <w:semiHidden/>
    <w:rsid w:val="00D639A1"/>
    <w:rPr>
      <w:rFonts w:ascii="Times New Roman" w:eastAsia="Times New Roman" w:hAnsi="Times New Roman" w:cs="Calibri"/>
      <w:b/>
      <w:bCs/>
      <w:kern w:val="0"/>
      <w:sz w:val="22"/>
      <w:szCs w:val="21"/>
    </w:rPr>
  </w:style>
  <w:style w:type="paragraph" w:styleId="af1">
    <w:name w:val="header"/>
    <w:basedOn w:val="a"/>
    <w:link w:val="af2"/>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A5782A"/>
    <w:rPr>
      <w:rFonts w:ascii="Times New Roman" w:eastAsia="Times New Roman" w:hAnsi="Times New Roman" w:cs="Calibri"/>
      <w:kern w:val="0"/>
      <w:sz w:val="18"/>
      <w:szCs w:val="18"/>
    </w:rPr>
  </w:style>
  <w:style w:type="paragraph" w:styleId="af3">
    <w:name w:val="footer"/>
    <w:basedOn w:val="a"/>
    <w:link w:val="af4"/>
    <w:uiPriority w:val="99"/>
    <w:unhideWhenUsed/>
    <w:rsid w:val="00A5782A"/>
    <w:pPr>
      <w:tabs>
        <w:tab w:val="center" w:pos="4153"/>
        <w:tab w:val="right" w:pos="8306"/>
      </w:tabs>
      <w:snapToGrid w:val="0"/>
      <w:jc w:val="left"/>
    </w:pPr>
    <w:rPr>
      <w:sz w:val="18"/>
      <w:szCs w:val="18"/>
    </w:rPr>
  </w:style>
  <w:style w:type="character" w:customStyle="1" w:styleId="af4">
    <w:name w:val="页脚 字符"/>
    <w:basedOn w:val="a0"/>
    <w:link w:val="af3"/>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af5">
    <w:name w:val="Placeholder Text"/>
    <w:basedOn w:val="a0"/>
    <w:uiPriority w:val="99"/>
    <w:semiHidden/>
    <w:rsid w:val="00740EFE"/>
    <w:rPr>
      <w:color w:val="808080"/>
    </w:rPr>
  </w:style>
  <w:style w:type="paragraph" w:styleId="af6">
    <w:name w:val="Revision"/>
    <w:hidden/>
    <w:uiPriority w:val="99"/>
    <w:semiHidden/>
    <w:rsid w:val="00102460"/>
    <w:rPr>
      <w:rFonts w:ascii="Times New Roman" w:eastAsia="Times New Roman" w:hAnsi="Times New Roman" w:cs="Calibri"/>
      <w:kern w:val="0"/>
      <w:sz w:val="22"/>
      <w:szCs w:val="21"/>
    </w:rPr>
  </w:style>
  <w:style w:type="paragraph" w:styleId="af7">
    <w:name w:val="List Bullet"/>
    <w:basedOn w:val="af8"/>
    <w:link w:val="af9"/>
    <w:qFormat/>
    <w:rsid w:val="006A1B4F"/>
    <w:pPr>
      <w:spacing w:after="180"/>
      <w:ind w:left="568" w:firstLineChars="0" w:hanging="284"/>
      <w:contextualSpacing w:val="0"/>
      <w:jc w:val="left"/>
    </w:pPr>
    <w:rPr>
      <w:rFonts w:eastAsia="Malgun Gothic" w:cs="Times New Roman"/>
      <w:sz w:val="20"/>
      <w:szCs w:val="20"/>
      <w:lang w:val="en-GB" w:eastAsia="en-US"/>
    </w:rPr>
  </w:style>
  <w:style w:type="character" w:customStyle="1" w:styleId="af9">
    <w:name w:val="列表项目符号 字符"/>
    <w:link w:val="af7"/>
    <w:qFormat/>
    <w:rsid w:val="006A1B4F"/>
    <w:rPr>
      <w:rFonts w:ascii="Times New Roman" w:eastAsia="Malgun Gothic" w:hAnsi="Times New Roman" w:cs="Times New Roman"/>
      <w:kern w:val="0"/>
      <w:sz w:val="20"/>
      <w:szCs w:val="20"/>
      <w:lang w:val="en-GB" w:eastAsia="en-US"/>
    </w:rPr>
  </w:style>
  <w:style w:type="paragraph" w:styleId="af8">
    <w:name w:val="List"/>
    <w:basedOn w:val="a"/>
    <w:uiPriority w:val="99"/>
    <w:semiHidden/>
    <w:unhideWhenUsed/>
    <w:rsid w:val="006A1B4F"/>
    <w:pPr>
      <w:ind w:left="200" w:hangingChars="200" w:hanging="200"/>
      <w:contextualSpacing/>
    </w:pPr>
  </w:style>
  <w:style w:type="paragraph" w:customStyle="1" w:styleId="B1">
    <w:name w:val="B1"/>
    <w:basedOn w:val="a"/>
    <w:link w:val="B1Zchn"/>
    <w:qFormat/>
    <w:rsid w:val="00C621AF"/>
    <w:pPr>
      <w:spacing w:after="180"/>
      <w:ind w:left="568" w:hanging="284"/>
      <w:jc w:val="left"/>
    </w:pPr>
    <w:rPr>
      <w:rFonts w:eastAsia="宋体" w:cs="Times New Roman"/>
      <w:sz w:val="20"/>
      <w:szCs w:val="20"/>
      <w:lang w:val="x-none" w:eastAsia="en-US"/>
    </w:rPr>
  </w:style>
  <w:style w:type="character" w:customStyle="1" w:styleId="B1Zchn">
    <w:name w:val="B1 Zchn"/>
    <w:link w:val="B1"/>
    <w:qFormat/>
    <w:rsid w:val="00C621AF"/>
    <w:rPr>
      <w:rFonts w:ascii="Times New Roman" w:eastAsia="宋体" w:hAnsi="Times New Roman" w:cs="Times New Roman"/>
      <w:kern w:val="0"/>
      <w:sz w:val="20"/>
      <w:szCs w:val="20"/>
      <w:lang w:val="x-none" w:eastAsia="en-US"/>
    </w:rPr>
  </w:style>
  <w:style w:type="paragraph" w:customStyle="1" w:styleId="B2">
    <w:name w:val="B2"/>
    <w:basedOn w:val="a"/>
    <w:link w:val="B2Char"/>
    <w:qFormat/>
    <w:rsid w:val="00CE5722"/>
    <w:pPr>
      <w:spacing w:after="180"/>
      <w:ind w:left="851" w:hanging="284"/>
      <w:jc w:val="left"/>
    </w:pPr>
    <w:rPr>
      <w:rFonts w:eastAsia="宋体" w:cs="Times New Roman"/>
      <w:sz w:val="20"/>
      <w:szCs w:val="20"/>
      <w:lang w:val="en-GB" w:eastAsia="en-US"/>
    </w:rPr>
  </w:style>
  <w:style w:type="character" w:customStyle="1" w:styleId="B2Char">
    <w:name w:val="B2 Char"/>
    <w:link w:val="B2"/>
    <w:qFormat/>
    <w:locked/>
    <w:rsid w:val="00CE5722"/>
    <w:rPr>
      <w:rFonts w:ascii="Times New Roman" w:eastAsia="宋体" w:hAnsi="Times New Roman" w:cs="Times New Roman"/>
      <w:kern w:val="0"/>
      <w:sz w:val="20"/>
      <w:szCs w:val="20"/>
      <w:lang w:val="en-GB" w:eastAsia="en-US"/>
    </w:rPr>
  </w:style>
  <w:style w:type="character" w:styleId="afa">
    <w:name w:val="Hyperlink"/>
    <w:basedOn w:val="a0"/>
    <w:uiPriority w:val="99"/>
    <w:semiHidden/>
    <w:unhideWhenUsed/>
    <w:rsid w:val="005B683D"/>
    <w:rPr>
      <w:color w:val="0000FF"/>
      <w:u w:val="single"/>
    </w:rPr>
  </w:style>
  <w:style w:type="paragraph" w:customStyle="1" w:styleId="0Maintext">
    <w:name w:val="0 Main text"/>
    <w:basedOn w:val="a"/>
    <w:link w:val="0MaintextChar"/>
    <w:qFormat/>
    <w:rsid w:val="00451B51"/>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link w:val="0Maintext"/>
    <w:qFormat/>
    <w:rsid w:val="00451B51"/>
    <w:rPr>
      <w:rFonts w:ascii="Times New Roman" w:eastAsia="Malgun Gothic" w:hAnsi="Times New Roman" w:cs="Batang"/>
      <w:kern w:val="0"/>
      <w:sz w:val="20"/>
      <w:szCs w:val="20"/>
      <w:lang w:val="en-GB" w:eastAsia="en-US"/>
    </w:rPr>
  </w:style>
  <w:style w:type="character" w:customStyle="1" w:styleId="TAHChar">
    <w:name w:val="TAH Char"/>
    <w:qFormat/>
    <w:locked/>
    <w:rsid w:val="00980E4E"/>
    <w:rPr>
      <w:rFonts w:ascii="Arial" w:eastAsia="Times New Roman" w:hAnsi="Arial" w:cs="Times New Roman"/>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7565">
      <w:bodyDiv w:val="1"/>
      <w:marLeft w:val="0"/>
      <w:marRight w:val="0"/>
      <w:marTop w:val="0"/>
      <w:marBottom w:val="0"/>
      <w:divBdr>
        <w:top w:val="none" w:sz="0" w:space="0" w:color="auto"/>
        <w:left w:val="none" w:sz="0" w:space="0" w:color="auto"/>
        <w:bottom w:val="none" w:sz="0" w:space="0" w:color="auto"/>
        <w:right w:val="none" w:sz="0" w:space="0" w:color="auto"/>
      </w:divBdr>
    </w:div>
    <w:div w:id="29766674">
      <w:bodyDiv w:val="1"/>
      <w:marLeft w:val="0"/>
      <w:marRight w:val="0"/>
      <w:marTop w:val="0"/>
      <w:marBottom w:val="0"/>
      <w:divBdr>
        <w:top w:val="none" w:sz="0" w:space="0" w:color="auto"/>
        <w:left w:val="none" w:sz="0" w:space="0" w:color="auto"/>
        <w:bottom w:val="none" w:sz="0" w:space="0" w:color="auto"/>
        <w:right w:val="none" w:sz="0" w:space="0" w:color="auto"/>
      </w:divBdr>
    </w:div>
    <w:div w:id="72355447">
      <w:bodyDiv w:val="1"/>
      <w:marLeft w:val="0"/>
      <w:marRight w:val="0"/>
      <w:marTop w:val="0"/>
      <w:marBottom w:val="0"/>
      <w:divBdr>
        <w:top w:val="none" w:sz="0" w:space="0" w:color="auto"/>
        <w:left w:val="none" w:sz="0" w:space="0" w:color="auto"/>
        <w:bottom w:val="none" w:sz="0" w:space="0" w:color="auto"/>
        <w:right w:val="none" w:sz="0" w:space="0" w:color="auto"/>
      </w:divBdr>
    </w:div>
    <w:div w:id="126317495">
      <w:bodyDiv w:val="1"/>
      <w:marLeft w:val="0"/>
      <w:marRight w:val="0"/>
      <w:marTop w:val="0"/>
      <w:marBottom w:val="0"/>
      <w:divBdr>
        <w:top w:val="none" w:sz="0" w:space="0" w:color="auto"/>
        <w:left w:val="none" w:sz="0" w:space="0" w:color="auto"/>
        <w:bottom w:val="none" w:sz="0" w:space="0" w:color="auto"/>
        <w:right w:val="none" w:sz="0" w:space="0" w:color="auto"/>
      </w:divBdr>
    </w:div>
    <w:div w:id="153957212">
      <w:bodyDiv w:val="1"/>
      <w:marLeft w:val="0"/>
      <w:marRight w:val="0"/>
      <w:marTop w:val="0"/>
      <w:marBottom w:val="0"/>
      <w:divBdr>
        <w:top w:val="none" w:sz="0" w:space="0" w:color="auto"/>
        <w:left w:val="none" w:sz="0" w:space="0" w:color="auto"/>
        <w:bottom w:val="none" w:sz="0" w:space="0" w:color="auto"/>
        <w:right w:val="none" w:sz="0" w:space="0" w:color="auto"/>
      </w:divBdr>
    </w:div>
    <w:div w:id="374045238">
      <w:bodyDiv w:val="1"/>
      <w:marLeft w:val="0"/>
      <w:marRight w:val="0"/>
      <w:marTop w:val="0"/>
      <w:marBottom w:val="0"/>
      <w:divBdr>
        <w:top w:val="none" w:sz="0" w:space="0" w:color="auto"/>
        <w:left w:val="none" w:sz="0" w:space="0" w:color="auto"/>
        <w:bottom w:val="none" w:sz="0" w:space="0" w:color="auto"/>
        <w:right w:val="none" w:sz="0" w:space="0" w:color="auto"/>
      </w:divBdr>
    </w:div>
    <w:div w:id="390688349">
      <w:bodyDiv w:val="1"/>
      <w:marLeft w:val="0"/>
      <w:marRight w:val="0"/>
      <w:marTop w:val="0"/>
      <w:marBottom w:val="0"/>
      <w:divBdr>
        <w:top w:val="none" w:sz="0" w:space="0" w:color="auto"/>
        <w:left w:val="none" w:sz="0" w:space="0" w:color="auto"/>
        <w:bottom w:val="none" w:sz="0" w:space="0" w:color="auto"/>
        <w:right w:val="none" w:sz="0" w:space="0" w:color="auto"/>
      </w:divBdr>
    </w:div>
    <w:div w:id="495460636">
      <w:bodyDiv w:val="1"/>
      <w:marLeft w:val="0"/>
      <w:marRight w:val="0"/>
      <w:marTop w:val="0"/>
      <w:marBottom w:val="0"/>
      <w:divBdr>
        <w:top w:val="none" w:sz="0" w:space="0" w:color="auto"/>
        <w:left w:val="none" w:sz="0" w:space="0" w:color="auto"/>
        <w:bottom w:val="none" w:sz="0" w:space="0" w:color="auto"/>
        <w:right w:val="none" w:sz="0" w:space="0" w:color="auto"/>
      </w:divBdr>
    </w:div>
    <w:div w:id="542711907">
      <w:bodyDiv w:val="1"/>
      <w:marLeft w:val="0"/>
      <w:marRight w:val="0"/>
      <w:marTop w:val="0"/>
      <w:marBottom w:val="0"/>
      <w:divBdr>
        <w:top w:val="none" w:sz="0" w:space="0" w:color="auto"/>
        <w:left w:val="none" w:sz="0" w:space="0" w:color="auto"/>
        <w:bottom w:val="none" w:sz="0" w:space="0" w:color="auto"/>
        <w:right w:val="none" w:sz="0" w:space="0" w:color="auto"/>
      </w:divBdr>
    </w:div>
    <w:div w:id="560791976">
      <w:bodyDiv w:val="1"/>
      <w:marLeft w:val="0"/>
      <w:marRight w:val="0"/>
      <w:marTop w:val="0"/>
      <w:marBottom w:val="0"/>
      <w:divBdr>
        <w:top w:val="none" w:sz="0" w:space="0" w:color="auto"/>
        <w:left w:val="none" w:sz="0" w:space="0" w:color="auto"/>
        <w:bottom w:val="none" w:sz="0" w:space="0" w:color="auto"/>
        <w:right w:val="none" w:sz="0" w:space="0" w:color="auto"/>
      </w:divBdr>
    </w:div>
    <w:div w:id="566190689">
      <w:bodyDiv w:val="1"/>
      <w:marLeft w:val="0"/>
      <w:marRight w:val="0"/>
      <w:marTop w:val="0"/>
      <w:marBottom w:val="0"/>
      <w:divBdr>
        <w:top w:val="none" w:sz="0" w:space="0" w:color="auto"/>
        <w:left w:val="none" w:sz="0" w:space="0" w:color="auto"/>
        <w:bottom w:val="none" w:sz="0" w:space="0" w:color="auto"/>
        <w:right w:val="none" w:sz="0" w:space="0" w:color="auto"/>
      </w:divBdr>
    </w:div>
    <w:div w:id="678966589">
      <w:bodyDiv w:val="1"/>
      <w:marLeft w:val="0"/>
      <w:marRight w:val="0"/>
      <w:marTop w:val="0"/>
      <w:marBottom w:val="0"/>
      <w:divBdr>
        <w:top w:val="none" w:sz="0" w:space="0" w:color="auto"/>
        <w:left w:val="none" w:sz="0" w:space="0" w:color="auto"/>
        <w:bottom w:val="none" w:sz="0" w:space="0" w:color="auto"/>
        <w:right w:val="none" w:sz="0" w:space="0" w:color="auto"/>
      </w:divBdr>
    </w:div>
    <w:div w:id="715130204">
      <w:bodyDiv w:val="1"/>
      <w:marLeft w:val="0"/>
      <w:marRight w:val="0"/>
      <w:marTop w:val="0"/>
      <w:marBottom w:val="0"/>
      <w:divBdr>
        <w:top w:val="none" w:sz="0" w:space="0" w:color="auto"/>
        <w:left w:val="none" w:sz="0" w:space="0" w:color="auto"/>
        <w:bottom w:val="none" w:sz="0" w:space="0" w:color="auto"/>
        <w:right w:val="none" w:sz="0" w:space="0" w:color="auto"/>
      </w:divBdr>
    </w:div>
    <w:div w:id="808520816">
      <w:bodyDiv w:val="1"/>
      <w:marLeft w:val="0"/>
      <w:marRight w:val="0"/>
      <w:marTop w:val="0"/>
      <w:marBottom w:val="0"/>
      <w:divBdr>
        <w:top w:val="none" w:sz="0" w:space="0" w:color="auto"/>
        <w:left w:val="none" w:sz="0" w:space="0" w:color="auto"/>
        <w:bottom w:val="none" w:sz="0" w:space="0" w:color="auto"/>
        <w:right w:val="none" w:sz="0" w:space="0" w:color="auto"/>
      </w:divBdr>
    </w:div>
    <w:div w:id="888028816">
      <w:bodyDiv w:val="1"/>
      <w:marLeft w:val="0"/>
      <w:marRight w:val="0"/>
      <w:marTop w:val="0"/>
      <w:marBottom w:val="0"/>
      <w:divBdr>
        <w:top w:val="none" w:sz="0" w:space="0" w:color="auto"/>
        <w:left w:val="none" w:sz="0" w:space="0" w:color="auto"/>
        <w:bottom w:val="none" w:sz="0" w:space="0" w:color="auto"/>
        <w:right w:val="none" w:sz="0" w:space="0" w:color="auto"/>
      </w:divBdr>
      <w:divsChild>
        <w:div w:id="1434787419">
          <w:marLeft w:val="547"/>
          <w:marRight w:val="0"/>
          <w:marTop w:val="0"/>
          <w:marBottom w:val="0"/>
          <w:divBdr>
            <w:top w:val="none" w:sz="0" w:space="0" w:color="auto"/>
            <w:left w:val="none" w:sz="0" w:space="0" w:color="auto"/>
            <w:bottom w:val="none" w:sz="0" w:space="0" w:color="auto"/>
            <w:right w:val="none" w:sz="0" w:space="0" w:color="auto"/>
          </w:divBdr>
        </w:div>
        <w:div w:id="578558870">
          <w:marLeft w:val="547"/>
          <w:marRight w:val="0"/>
          <w:marTop w:val="0"/>
          <w:marBottom w:val="0"/>
          <w:divBdr>
            <w:top w:val="none" w:sz="0" w:space="0" w:color="auto"/>
            <w:left w:val="none" w:sz="0" w:space="0" w:color="auto"/>
            <w:bottom w:val="none" w:sz="0" w:space="0" w:color="auto"/>
            <w:right w:val="none" w:sz="0" w:space="0" w:color="auto"/>
          </w:divBdr>
        </w:div>
        <w:div w:id="1413507418">
          <w:marLeft w:val="547"/>
          <w:marRight w:val="0"/>
          <w:marTop w:val="0"/>
          <w:marBottom w:val="0"/>
          <w:divBdr>
            <w:top w:val="none" w:sz="0" w:space="0" w:color="auto"/>
            <w:left w:val="none" w:sz="0" w:space="0" w:color="auto"/>
            <w:bottom w:val="none" w:sz="0" w:space="0" w:color="auto"/>
            <w:right w:val="none" w:sz="0" w:space="0" w:color="auto"/>
          </w:divBdr>
        </w:div>
        <w:div w:id="236601389">
          <w:marLeft w:val="547"/>
          <w:marRight w:val="0"/>
          <w:marTop w:val="0"/>
          <w:marBottom w:val="0"/>
          <w:divBdr>
            <w:top w:val="none" w:sz="0" w:space="0" w:color="auto"/>
            <w:left w:val="none" w:sz="0" w:space="0" w:color="auto"/>
            <w:bottom w:val="none" w:sz="0" w:space="0" w:color="auto"/>
            <w:right w:val="none" w:sz="0" w:space="0" w:color="auto"/>
          </w:divBdr>
        </w:div>
      </w:divsChild>
    </w:div>
    <w:div w:id="965282032">
      <w:bodyDiv w:val="1"/>
      <w:marLeft w:val="0"/>
      <w:marRight w:val="0"/>
      <w:marTop w:val="0"/>
      <w:marBottom w:val="0"/>
      <w:divBdr>
        <w:top w:val="none" w:sz="0" w:space="0" w:color="auto"/>
        <w:left w:val="none" w:sz="0" w:space="0" w:color="auto"/>
        <w:bottom w:val="none" w:sz="0" w:space="0" w:color="auto"/>
        <w:right w:val="none" w:sz="0" w:space="0" w:color="auto"/>
      </w:divBdr>
    </w:div>
    <w:div w:id="1103458108">
      <w:bodyDiv w:val="1"/>
      <w:marLeft w:val="0"/>
      <w:marRight w:val="0"/>
      <w:marTop w:val="0"/>
      <w:marBottom w:val="0"/>
      <w:divBdr>
        <w:top w:val="none" w:sz="0" w:space="0" w:color="auto"/>
        <w:left w:val="none" w:sz="0" w:space="0" w:color="auto"/>
        <w:bottom w:val="none" w:sz="0" w:space="0" w:color="auto"/>
        <w:right w:val="none" w:sz="0" w:space="0" w:color="auto"/>
      </w:divBdr>
    </w:div>
    <w:div w:id="1113212878">
      <w:bodyDiv w:val="1"/>
      <w:marLeft w:val="0"/>
      <w:marRight w:val="0"/>
      <w:marTop w:val="0"/>
      <w:marBottom w:val="0"/>
      <w:divBdr>
        <w:top w:val="none" w:sz="0" w:space="0" w:color="auto"/>
        <w:left w:val="none" w:sz="0" w:space="0" w:color="auto"/>
        <w:bottom w:val="none" w:sz="0" w:space="0" w:color="auto"/>
        <w:right w:val="none" w:sz="0" w:space="0" w:color="auto"/>
      </w:divBdr>
    </w:div>
    <w:div w:id="1202472457">
      <w:bodyDiv w:val="1"/>
      <w:marLeft w:val="0"/>
      <w:marRight w:val="0"/>
      <w:marTop w:val="0"/>
      <w:marBottom w:val="0"/>
      <w:divBdr>
        <w:top w:val="none" w:sz="0" w:space="0" w:color="auto"/>
        <w:left w:val="none" w:sz="0" w:space="0" w:color="auto"/>
        <w:bottom w:val="none" w:sz="0" w:space="0" w:color="auto"/>
        <w:right w:val="none" w:sz="0" w:space="0" w:color="auto"/>
      </w:divBdr>
    </w:div>
    <w:div w:id="1220440198">
      <w:bodyDiv w:val="1"/>
      <w:marLeft w:val="0"/>
      <w:marRight w:val="0"/>
      <w:marTop w:val="0"/>
      <w:marBottom w:val="0"/>
      <w:divBdr>
        <w:top w:val="none" w:sz="0" w:space="0" w:color="auto"/>
        <w:left w:val="none" w:sz="0" w:space="0" w:color="auto"/>
        <w:bottom w:val="none" w:sz="0" w:space="0" w:color="auto"/>
        <w:right w:val="none" w:sz="0" w:space="0" w:color="auto"/>
      </w:divBdr>
    </w:div>
    <w:div w:id="1235361920">
      <w:bodyDiv w:val="1"/>
      <w:marLeft w:val="0"/>
      <w:marRight w:val="0"/>
      <w:marTop w:val="0"/>
      <w:marBottom w:val="0"/>
      <w:divBdr>
        <w:top w:val="none" w:sz="0" w:space="0" w:color="auto"/>
        <w:left w:val="none" w:sz="0" w:space="0" w:color="auto"/>
        <w:bottom w:val="none" w:sz="0" w:space="0" w:color="auto"/>
        <w:right w:val="none" w:sz="0" w:space="0" w:color="auto"/>
      </w:divBdr>
    </w:div>
    <w:div w:id="1257635864">
      <w:bodyDiv w:val="1"/>
      <w:marLeft w:val="0"/>
      <w:marRight w:val="0"/>
      <w:marTop w:val="0"/>
      <w:marBottom w:val="0"/>
      <w:divBdr>
        <w:top w:val="none" w:sz="0" w:space="0" w:color="auto"/>
        <w:left w:val="none" w:sz="0" w:space="0" w:color="auto"/>
        <w:bottom w:val="none" w:sz="0" w:space="0" w:color="auto"/>
        <w:right w:val="none" w:sz="0" w:space="0" w:color="auto"/>
      </w:divBdr>
    </w:div>
    <w:div w:id="1285581845">
      <w:bodyDiv w:val="1"/>
      <w:marLeft w:val="0"/>
      <w:marRight w:val="0"/>
      <w:marTop w:val="0"/>
      <w:marBottom w:val="0"/>
      <w:divBdr>
        <w:top w:val="none" w:sz="0" w:space="0" w:color="auto"/>
        <w:left w:val="none" w:sz="0" w:space="0" w:color="auto"/>
        <w:bottom w:val="none" w:sz="0" w:space="0" w:color="auto"/>
        <w:right w:val="none" w:sz="0" w:space="0" w:color="auto"/>
      </w:divBdr>
    </w:div>
    <w:div w:id="1322276485">
      <w:bodyDiv w:val="1"/>
      <w:marLeft w:val="0"/>
      <w:marRight w:val="0"/>
      <w:marTop w:val="0"/>
      <w:marBottom w:val="0"/>
      <w:divBdr>
        <w:top w:val="none" w:sz="0" w:space="0" w:color="auto"/>
        <w:left w:val="none" w:sz="0" w:space="0" w:color="auto"/>
        <w:bottom w:val="none" w:sz="0" w:space="0" w:color="auto"/>
        <w:right w:val="none" w:sz="0" w:space="0" w:color="auto"/>
      </w:divBdr>
    </w:div>
    <w:div w:id="1514103878">
      <w:bodyDiv w:val="1"/>
      <w:marLeft w:val="0"/>
      <w:marRight w:val="0"/>
      <w:marTop w:val="0"/>
      <w:marBottom w:val="0"/>
      <w:divBdr>
        <w:top w:val="none" w:sz="0" w:space="0" w:color="auto"/>
        <w:left w:val="none" w:sz="0" w:space="0" w:color="auto"/>
        <w:bottom w:val="none" w:sz="0" w:space="0" w:color="auto"/>
        <w:right w:val="none" w:sz="0" w:space="0" w:color="auto"/>
      </w:divBdr>
    </w:div>
    <w:div w:id="1546021432">
      <w:bodyDiv w:val="1"/>
      <w:marLeft w:val="0"/>
      <w:marRight w:val="0"/>
      <w:marTop w:val="0"/>
      <w:marBottom w:val="0"/>
      <w:divBdr>
        <w:top w:val="none" w:sz="0" w:space="0" w:color="auto"/>
        <w:left w:val="none" w:sz="0" w:space="0" w:color="auto"/>
        <w:bottom w:val="none" w:sz="0" w:space="0" w:color="auto"/>
        <w:right w:val="none" w:sz="0" w:space="0" w:color="auto"/>
      </w:divBdr>
      <w:divsChild>
        <w:div w:id="635061669">
          <w:marLeft w:val="1080"/>
          <w:marRight w:val="0"/>
          <w:marTop w:val="0"/>
          <w:marBottom w:val="0"/>
          <w:divBdr>
            <w:top w:val="none" w:sz="0" w:space="0" w:color="auto"/>
            <w:left w:val="none" w:sz="0" w:space="0" w:color="auto"/>
            <w:bottom w:val="none" w:sz="0" w:space="0" w:color="auto"/>
            <w:right w:val="none" w:sz="0" w:space="0" w:color="auto"/>
          </w:divBdr>
        </w:div>
      </w:divsChild>
    </w:div>
    <w:div w:id="1562904272">
      <w:bodyDiv w:val="1"/>
      <w:marLeft w:val="0"/>
      <w:marRight w:val="0"/>
      <w:marTop w:val="0"/>
      <w:marBottom w:val="0"/>
      <w:divBdr>
        <w:top w:val="none" w:sz="0" w:space="0" w:color="auto"/>
        <w:left w:val="none" w:sz="0" w:space="0" w:color="auto"/>
        <w:bottom w:val="none" w:sz="0" w:space="0" w:color="auto"/>
        <w:right w:val="none" w:sz="0" w:space="0" w:color="auto"/>
      </w:divBdr>
    </w:div>
    <w:div w:id="1607813232">
      <w:bodyDiv w:val="1"/>
      <w:marLeft w:val="0"/>
      <w:marRight w:val="0"/>
      <w:marTop w:val="0"/>
      <w:marBottom w:val="0"/>
      <w:divBdr>
        <w:top w:val="none" w:sz="0" w:space="0" w:color="auto"/>
        <w:left w:val="none" w:sz="0" w:space="0" w:color="auto"/>
        <w:bottom w:val="none" w:sz="0" w:space="0" w:color="auto"/>
        <w:right w:val="none" w:sz="0" w:space="0" w:color="auto"/>
      </w:divBdr>
    </w:div>
    <w:div w:id="1630741128">
      <w:bodyDiv w:val="1"/>
      <w:marLeft w:val="0"/>
      <w:marRight w:val="0"/>
      <w:marTop w:val="0"/>
      <w:marBottom w:val="0"/>
      <w:divBdr>
        <w:top w:val="none" w:sz="0" w:space="0" w:color="auto"/>
        <w:left w:val="none" w:sz="0" w:space="0" w:color="auto"/>
        <w:bottom w:val="none" w:sz="0" w:space="0" w:color="auto"/>
        <w:right w:val="none" w:sz="0" w:space="0" w:color="auto"/>
      </w:divBdr>
      <w:divsChild>
        <w:div w:id="1823698962">
          <w:marLeft w:val="547"/>
          <w:marRight w:val="0"/>
          <w:marTop w:val="0"/>
          <w:marBottom w:val="0"/>
          <w:divBdr>
            <w:top w:val="none" w:sz="0" w:space="0" w:color="auto"/>
            <w:left w:val="none" w:sz="0" w:space="0" w:color="auto"/>
            <w:bottom w:val="none" w:sz="0" w:space="0" w:color="auto"/>
            <w:right w:val="none" w:sz="0" w:space="0" w:color="auto"/>
          </w:divBdr>
        </w:div>
        <w:div w:id="1207794430">
          <w:marLeft w:val="547"/>
          <w:marRight w:val="0"/>
          <w:marTop w:val="0"/>
          <w:marBottom w:val="0"/>
          <w:divBdr>
            <w:top w:val="none" w:sz="0" w:space="0" w:color="auto"/>
            <w:left w:val="none" w:sz="0" w:space="0" w:color="auto"/>
            <w:bottom w:val="none" w:sz="0" w:space="0" w:color="auto"/>
            <w:right w:val="none" w:sz="0" w:space="0" w:color="auto"/>
          </w:divBdr>
        </w:div>
        <w:div w:id="1402606706">
          <w:marLeft w:val="547"/>
          <w:marRight w:val="0"/>
          <w:marTop w:val="0"/>
          <w:marBottom w:val="0"/>
          <w:divBdr>
            <w:top w:val="none" w:sz="0" w:space="0" w:color="auto"/>
            <w:left w:val="none" w:sz="0" w:space="0" w:color="auto"/>
            <w:bottom w:val="none" w:sz="0" w:space="0" w:color="auto"/>
            <w:right w:val="none" w:sz="0" w:space="0" w:color="auto"/>
          </w:divBdr>
        </w:div>
        <w:div w:id="469052549">
          <w:marLeft w:val="547"/>
          <w:marRight w:val="0"/>
          <w:marTop w:val="0"/>
          <w:marBottom w:val="0"/>
          <w:divBdr>
            <w:top w:val="none" w:sz="0" w:space="0" w:color="auto"/>
            <w:left w:val="none" w:sz="0" w:space="0" w:color="auto"/>
            <w:bottom w:val="none" w:sz="0" w:space="0" w:color="auto"/>
            <w:right w:val="none" w:sz="0" w:space="0" w:color="auto"/>
          </w:divBdr>
        </w:div>
      </w:divsChild>
    </w:div>
    <w:div w:id="1665665512">
      <w:bodyDiv w:val="1"/>
      <w:marLeft w:val="0"/>
      <w:marRight w:val="0"/>
      <w:marTop w:val="0"/>
      <w:marBottom w:val="0"/>
      <w:divBdr>
        <w:top w:val="none" w:sz="0" w:space="0" w:color="auto"/>
        <w:left w:val="none" w:sz="0" w:space="0" w:color="auto"/>
        <w:bottom w:val="none" w:sz="0" w:space="0" w:color="auto"/>
        <w:right w:val="none" w:sz="0" w:space="0" w:color="auto"/>
      </w:divBdr>
    </w:div>
    <w:div w:id="1838038311">
      <w:bodyDiv w:val="1"/>
      <w:marLeft w:val="0"/>
      <w:marRight w:val="0"/>
      <w:marTop w:val="0"/>
      <w:marBottom w:val="0"/>
      <w:divBdr>
        <w:top w:val="none" w:sz="0" w:space="0" w:color="auto"/>
        <w:left w:val="none" w:sz="0" w:space="0" w:color="auto"/>
        <w:bottom w:val="none" w:sz="0" w:space="0" w:color="auto"/>
        <w:right w:val="none" w:sz="0" w:space="0" w:color="auto"/>
      </w:divBdr>
    </w:div>
    <w:div w:id="1838184241">
      <w:bodyDiv w:val="1"/>
      <w:marLeft w:val="0"/>
      <w:marRight w:val="0"/>
      <w:marTop w:val="0"/>
      <w:marBottom w:val="0"/>
      <w:divBdr>
        <w:top w:val="none" w:sz="0" w:space="0" w:color="auto"/>
        <w:left w:val="none" w:sz="0" w:space="0" w:color="auto"/>
        <w:bottom w:val="none" w:sz="0" w:space="0" w:color="auto"/>
        <w:right w:val="none" w:sz="0" w:space="0" w:color="auto"/>
      </w:divBdr>
    </w:div>
    <w:div w:id="1905870313">
      <w:bodyDiv w:val="1"/>
      <w:marLeft w:val="0"/>
      <w:marRight w:val="0"/>
      <w:marTop w:val="0"/>
      <w:marBottom w:val="0"/>
      <w:divBdr>
        <w:top w:val="none" w:sz="0" w:space="0" w:color="auto"/>
        <w:left w:val="none" w:sz="0" w:space="0" w:color="auto"/>
        <w:bottom w:val="none" w:sz="0" w:space="0" w:color="auto"/>
        <w:right w:val="none" w:sz="0" w:space="0" w:color="auto"/>
      </w:divBdr>
    </w:div>
    <w:div w:id="1989019214">
      <w:bodyDiv w:val="1"/>
      <w:marLeft w:val="0"/>
      <w:marRight w:val="0"/>
      <w:marTop w:val="0"/>
      <w:marBottom w:val="0"/>
      <w:divBdr>
        <w:top w:val="none" w:sz="0" w:space="0" w:color="auto"/>
        <w:left w:val="none" w:sz="0" w:space="0" w:color="auto"/>
        <w:bottom w:val="none" w:sz="0" w:space="0" w:color="auto"/>
        <w:right w:val="none" w:sz="0" w:space="0" w:color="auto"/>
      </w:divBdr>
    </w:div>
    <w:div w:id="2011977771">
      <w:bodyDiv w:val="1"/>
      <w:marLeft w:val="0"/>
      <w:marRight w:val="0"/>
      <w:marTop w:val="0"/>
      <w:marBottom w:val="0"/>
      <w:divBdr>
        <w:top w:val="none" w:sz="0" w:space="0" w:color="auto"/>
        <w:left w:val="none" w:sz="0" w:space="0" w:color="auto"/>
        <w:bottom w:val="none" w:sz="0" w:space="0" w:color="auto"/>
        <w:right w:val="none" w:sz="0" w:space="0" w:color="auto"/>
      </w:divBdr>
    </w:div>
    <w:div w:id="209959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2C276-2CEC-4B72-AA95-BADFF54DE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1221</Words>
  <Characters>6484</Characters>
  <Application>Microsoft Office Word</Application>
  <DocSecurity>0</DocSecurity>
  <Lines>185</Lines>
  <Paragraphs>137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Huawei</cp:lastModifiedBy>
  <cp:revision>5</cp:revision>
  <dcterms:created xsi:type="dcterms:W3CDTF">2023-11-02T19:57:00Z</dcterms:created>
  <dcterms:modified xsi:type="dcterms:W3CDTF">2023-11-03T17:50:00Z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(3)stm1ssx6ETRhDtBTE0oM+pqiHfwzkqVMGVcxViEPBoUedMnAewr5LKDi+/5w9XmPlZV7kan0
ju/yZTzmAR1v35sq6pJRx+HUEoHx8FHhdITbEw6tm6AhcIxvxf9FZpu3Oct6M50fOguWFvrW
72a0rpN0dD1coElVaAt2zRsGdcehLHDBAFIDqh9xkaMBg2Fyqn28ci812iCKO8UASoP9Z9UQ
AzJaA6WCcRvHBW6sHs</vt:lpwstr>
  </property>
  <property fmtid="{D5CDD505-2E9C-101B-9397-08002B2CF9AE}" pid="3" name="_2015_ms_pID_7253431">
    <vt:lpwstr>YVh9JHJ2aOJIyszSEncGFBRXs+3a8w6bj+36kcAUpvjmRmYCJ3/Ji+
kz+eugsUUD9Jk27qr0XhQl5UD+plCcVP/6pDvmHADrlFe5Y44h5o0fg3Cp/6hl18QNnoorjp
w64a8GItjl770LNrWkvA66giDR6/VAazBiy5BDK11mn7kmy3Ttz86lwO1MyFcFF1hnGFBqCL
HhMod9NAD/hcZyKzaN++BCzyx1G3ojwTAH7P</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1699031532</vt:lpwstr>
  </property>
</Properties>
</file>