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C6E8" w14:textId="6176353E" w:rsidR="003963ED" w:rsidRPr="00BD4D77" w:rsidRDefault="003963ED" w:rsidP="003963ED">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3GPP TSG RAN WG1 #11</w:t>
      </w:r>
      <w:r w:rsidR="00DA7282">
        <w:rPr>
          <w:rFonts w:ascii="Arial" w:eastAsia="宋体" w:hAnsi="Arial" w:cs="Arial"/>
          <w:b/>
          <w:bCs/>
          <w:sz w:val="24"/>
          <w:lang w:val="en-GB"/>
        </w:rPr>
        <w:t>4</w:t>
      </w:r>
      <w:r w:rsidR="000D1483">
        <w:rPr>
          <w:rFonts w:ascii="Arial" w:eastAsia="宋体" w:hAnsi="Arial" w:cs="Arial"/>
          <w:b/>
          <w:bCs/>
          <w:sz w:val="24"/>
          <w:lang w:val="en-GB"/>
        </w:rPr>
        <w:t>bis</w:t>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00960EA5">
        <w:rPr>
          <w:rFonts w:ascii="Arial" w:eastAsia="宋体" w:hAnsi="Arial" w:cs="Arial"/>
          <w:b/>
          <w:bCs/>
          <w:sz w:val="24"/>
          <w:lang w:val="en-GB"/>
        </w:rPr>
        <w:t xml:space="preserve">   </w:t>
      </w:r>
      <w:r w:rsidR="00536707">
        <w:rPr>
          <w:rFonts w:ascii="Arial" w:eastAsia="宋体" w:hAnsi="Arial" w:cs="Arial"/>
          <w:b/>
          <w:bCs/>
          <w:sz w:val="24"/>
          <w:lang w:val="en-GB"/>
        </w:rPr>
        <w:t xml:space="preserve"> </w:t>
      </w:r>
      <w:r w:rsidR="00960EA5">
        <w:rPr>
          <w:rFonts w:ascii="Arial" w:eastAsia="宋体" w:hAnsi="Arial" w:cs="Arial"/>
          <w:b/>
          <w:bCs/>
          <w:sz w:val="24"/>
          <w:lang w:val="en-GB"/>
        </w:rPr>
        <w:t xml:space="preserve">  </w:t>
      </w:r>
      <w:r w:rsidRPr="003963ED">
        <w:rPr>
          <w:rFonts w:ascii="Arial" w:eastAsia="宋体" w:hAnsi="Arial" w:cs="Arial"/>
          <w:b/>
          <w:bCs/>
          <w:sz w:val="24"/>
          <w:lang w:val="en-GB"/>
        </w:rPr>
        <w:tab/>
      </w:r>
      <w:r w:rsidR="006D380E" w:rsidRPr="00BD4D77">
        <w:rPr>
          <w:rFonts w:ascii="Arial" w:eastAsia="宋体" w:hAnsi="Arial" w:cs="Arial"/>
          <w:b/>
          <w:bCs/>
          <w:sz w:val="24"/>
          <w:lang w:val="en-GB"/>
        </w:rPr>
        <w:t>R1-230</w:t>
      </w:r>
      <w:r w:rsidR="00BD4D77" w:rsidRPr="00BD4D77">
        <w:rPr>
          <w:rFonts w:ascii="Arial" w:eastAsia="宋体" w:hAnsi="Arial" w:cs="Arial"/>
          <w:b/>
          <w:bCs/>
          <w:sz w:val="24"/>
          <w:lang w:val="en-GB"/>
        </w:rPr>
        <w:t>9281</w:t>
      </w:r>
    </w:p>
    <w:p w14:paraId="0C066CE5" w14:textId="02975600" w:rsidR="00770A44" w:rsidRPr="003963ED" w:rsidRDefault="0066284B" w:rsidP="00770A44">
      <w:pPr>
        <w:spacing w:beforeLines="0" w:before="0" w:afterLines="0" w:after="60"/>
        <w:rPr>
          <w:rFonts w:ascii="Arial" w:eastAsia="宋体" w:hAnsi="Arial" w:cs="Arial"/>
          <w:b/>
          <w:bCs/>
          <w:sz w:val="24"/>
          <w:lang w:val="en-GB"/>
        </w:rPr>
      </w:pPr>
      <w:r w:rsidRPr="0066284B">
        <w:rPr>
          <w:rFonts w:ascii="Arial" w:eastAsia="宋体" w:hAnsi="Arial" w:cs="Arial"/>
          <w:b/>
          <w:bCs/>
          <w:sz w:val="24"/>
          <w:lang w:val="en-GB"/>
        </w:rPr>
        <w:t>Xiamen, China, October 9</w:t>
      </w:r>
      <w:r w:rsidRPr="00E15644">
        <w:rPr>
          <w:rFonts w:ascii="Arial" w:eastAsia="宋体" w:hAnsi="Arial" w:cs="Arial" w:hint="eastAsia"/>
          <w:b/>
          <w:bCs/>
          <w:sz w:val="24"/>
          <w:vertAlign w:val="superscript"/>
          <w:lang w:val="en-GB"/>
        </w:rPr>
        <w:t>th</w:t>
      </w:r>
      <w:r w:rsidR="00E15644">
        <w:rPr>
          <w:rFonts w:ascii="Arial" w:eastAsia="宋体" w:hAnsi="Arial" w:cs="Arial"/>
          <w:b/>
          <w:bCs/>
          <w:sz w:val="24"/>
          <w:lang w:val="en-GB"/>
        </w:rPr>
        <w:t xml:space="preserve"> </w:t>
      </w:r>
      <w:r w:rsidRPr="0066284B">
        <w:rPr>
          <w:rFonts w:ascii="Arial" w:eastAsia="宋体" w:hAnsi="Arial" w:cs="Arial"/>
          <w:b/>
          <w:bCs/>
          <w:sz w:val="24"/>
          <w:lang w:val="en-GB"/>
        </w:rPr>
        <w:t xml:space="preserve">– </w:t>
      </w:r>
      <w:r w:rsidRPr="0066284B">
        <w:rPr>
          <w:rFonts w:ascii="Arial" w:eastAsia="宋体" w:hAnsi="Arial" w:cs="Arial" w:hint="eastAsia"/>
          <w:b/>
          <w:bCs/>
          <w:sz w:val="24"/>
          <w:lang w:val="en-GB"/>
        </w:rPr>
        <w:t>October</w:t>
      </w:r>
      <w:r w:rsidRPr="0066284B">
        <w:rPr>
          <w:rFonts w:ascii="Arial" w:eastAsia="宋体" w:hAnsi="Arial" w:cs="Arial"/>
          <w:b/>
          <w:bCs/>
          <w:sz w:val="24"/>
          <w:lang w:val="en-GB"/>
        </w:rPr>
        <w:t xml:space="preserve"> 13</w:t>
      </w:r>
      <w:r w:rsidRPr="00E15644">
        <w:rPr>
          <w:rFonts w:ascii="Arial" w:eastAsia="宋体" w:hAnsi="Arial" w:cs="Arial"/>
          <w:b/>
          <w:bCs/>
          <w:sz w:val="24"/>
          <w:vertAlign w:val="superscript"/>
          <w:lang w:val="en-GB"/>
        </w:rPr>
        <w:t>th</w:t>
      </w:r>
      <w:r w:rsidRPr="0066284B">
        <w:rPr>
          <w:rFonts w:ascii="Arial" w:eastAsia="宋体" w:hAnsi="Arial" w:cs="Arial"/>
          <w:b/>
          <w:bCs/>
          <w:sz w:val="24"/>
          <w:lang w:val="en-GB"/>
        </w:rPr>
        <w:t>,</w:t>
      </w:r>
      <w:r w:rsidR="0032562F" w:rsidRPr="0066284B">
        <w:rPr>
          <w:rFonts w:ascii="Arial" w:eastAsia="宋体" w:hAnsi="Arial" w:cs="Arial"/>
          <w:b/>
          <w:bCs/>
          <w:sz w:val="24"/>
          <w:lang w:val="en-GB"/>
        </w:rPr>
        <w:t xml:space="preserve"> 2023</w:t>
      </w:r>
    </w:p>
    <w:p w14:paraId="536BCC52" w14:textId="77777777" w:rsidR="002249B0" w:rsidRPr="00E15644" w:rsidRDefault="002249B0" w:rsidP="002249B0">
      <w:pPr>
        <w:tabs>
          <w:tab w:val="left" w:pos="1820"/>
        </w:tabs>
        <w:spacing w:beforeLines="0" w:before="0" w:afterLines="0" w:after="60"/>
        <w:rPr>
          <w:rFonts w:ascii="Arial" w:eastAsia="宋体" w:hAnsi="Arial" w:cs="Arial"/>
          <w:b/>
          <w:sz w:val="24"/>
          <w:szCs w:val="24"/>
          <w:lang w:val="en-GB"/>
        </w:rPr>
      </w:pPr>
    </w:p>
    <w:p w14:paraId="698A58E0" w14:textId="61675F90"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FC4B2B">
        <w:rPr>
          <w:rFonts w:ascii="Arial" w:eastAsia="宋体" w:hAnsi="Arial" w:cs="Arial"/>
          <w:b/>
          <w:bCs/>
          <w:sz w:val="24"/>
          <w:szCs w:val="24"/>
          <w:lang w:val="en-AU"/>
        </w:rPr>
        <w:t>8.2</w:t>
      </w:r>
      <w:r w:rsidR="00D34853" w:rsidRPr="006F45C9">
        <w:rPr>
          <w:rFonts w:ascii="Arial" w:eastAsia="宋体" w:hAnsi="Arial" w:cs="Arial"/>
          <w:b/>
          <w:bCs/>
          <w:sz w:val="24"/>
          <w:szCs w:val="24"/>
          <w:lang w:val="en-AU"/>
        </w:rPr>
        <w:t>.1.1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CC05366"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C031E5">
        <w:rPr>
          <w:rFonts w:ascii="Arial" w:eastAsia="宋体" w:hAnsi="Arial" w:cs="Arial"/>
          <w:b/>
          <w:bCs/>
          <w:sz w:val="24"/>
          <w:szCs w:val="24"/>
          <w:lang w:val="en-AU"/>
        </w:rPr>
        <w:t>R</w:t>
      </w:r>
      <w:r w:rsidR="00C031E5">
        <w:rPr>
          <w:rFonts w:ascii="Arial" w:eastAsia="宋体" w:hAnsi="Arial" w:cs="Arial" w:hint="eastAsia"/>
          <w:b/>
          <w:bCs/>
          <w:sz w:val="24"/>
          <w:szCs w:val="24"/>
          <w:lang w:val="en-AU"/>
        </w:rPr>
        <w:t>e</w:t>
      </w:r>
      <w:r w:rsidR="00C031E5">
        <w:rPr>
          <w:rFonts w:ascii="Arial" w:eastAsia="宋体" w:hAnsi="Arial" w:cs="Arial"/>
          <w:b/>
          <w:bCs/>
          <w:sz w:val="24"/>
          <w:szCs w:val="24"/>
          <w:lang w:val="en-AU"/>
        </w:rPr>
        <w:t>maining Issues o</w:t>
      </w:r>
      <w:r w:rsidR="00DA5447">
        <w:rPr>
          <w:rFonts w:ascii="Arial" w:eastAsia="宋体" w:hAnsi="Arial" w:cs="Arial"/>
          <w:b/>
          <w:bCs/>
          <w:sz w:val="24"/>
          <w:szCs w:val="24"/>
          <w:lang w:val="en-AU"/>
        </w:rPr>
        <w:t>n</w:t>
      </w:r>
      <w:r w:rsidR="00C031E5">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3E63928F" w14:textId="37105112" w:rsidR="002E62C1" w:rsidRDefault="00673B17" w:rsidP="00466E5A">
      <w:pPr>
        <w:spacing w:before="156" w:after="156"/>
        <w:rPr>
          <w:rFonts w:eastAsia="宋体" w:cs="Times New Roman"/>
        </w:rPr>
      </w:pPr>
      <w:r>
        <w:rPr>
          <w:rFonts w:eastAsia="宋体" w:cs="Times New Roman"/>
        </w:rPr>
        <w:t>As mentioned</w:t>
      </w:r>
      <w:r w:rsidR="00474C48" w:rsidRPr="00B55118">
        <w:rPr>
          <w:rFonts w:eastAsia="宋体" w:cs="Times New Roman"/>
        </w:rPr>
        <w:t xml:space="preserve"> in</w:t>
      </w:r>
      <w:r>
        <w:rPr>
          <w:rFonts w:eastAsia="宋体" w:cs="Times New Roman"/>
        </w:rPr>
        <w:t xml:space="preserve"> </w:t>
      </w:r>
      <w:r>
        <w:rPr>
          <w:rFonts w:eastAsia="宋体" w:cs="Times New Roman"/>
        </w:rPr>
        <w:fldChar w:fldCharType="begin"/>
      </w:r>
      <w:r>
        <w:rPr>
          <w:rFonts w:eastAsia="宋体" w:cs="Times New Roman"/>
        </w:rPr>
        <w:instrText xml:space="preserve"> REF _Ref145938644 \n \h </w:instrText>
      </w:r>
      <w:r>
        <w:rPr>
          <w:rFonts w:eastAsia="宋体" w:cs="Times New Roman"/>
        </w:rPr>
      </w:r>
      <w:r>
        <w:rPr>
          <w:rFonts w:eastAsia="宋体" w:cs="Times New Roman"/>
        </w:rPr>
        <w:fldChar w:fldCharType="separate"/>
      </w:r>
      <w:r w:rsidR="00E52A2E">
        <w:rPr>
          <w:rFonts w:eastAsia="宋体" w:cs="Times New Roman"/>
        </w:rPr>
        <w:t>[1]</w:t>
      </w:r>
      <w:r>
        <w:rPr>
          <w:rFonts w:eastAsia="宋体" w:cs="Times New Roman"/>
        </w:rPr>
        <w:fldChar w:fldCharType="end"/>
      </w:r>
      <w:r w:rsidR="0065620A">
        <w:rPr>
          <w:rFonts w:eastAsia="宋体" w:cs="Times New Roman"/>
        </w:rPr>
        <w:t>,</w:t>
      </w:r>
      <w:r w:rsidR="00846769" w:rsidRPr="00B55118">
        <w:rPr>
          <w:rFonts w:eastAsia="宋体" w:cs="Times New Roman"/>
        </w:rPr>
        <w:t xml:space="preserve"> </w:t>
      </w:r>
      <w:r>
        <w:rPr>
          <w:rFonts w:eastAsia="宋体" w:cs="Times New Roman"/>
        </w:rPr>
        <w:t>RAN1 discussions and</w:t>
      </w:r>
      <w:r w:rsidR="00E017AE">
        <w:rPr>
          <w:rFonts w:eastAsia="宋体" w:cs="Times New Roman"/>
        </w:rPr>
        <w:t xml:space="preserve"> agreements</w:t>
      </w:r>
      <w:r>
        <w:rPr>
          <w:rFonts w:eastAsia="宋体" w:cs="Times New Roman"/>
        </w:rPr>
        <w:t xml:space="preserve"> </w:t>
      </w:r>
      <w:r w:rsidR="00E017AE">
        <w:rPr>
          <w:rFonts w:eastAsia="宋体" w:cs="Times New Roman"/>
        </w:rPr>
        <w:t>related to</w:t>
      </w:r>
      <w:r>
        <w:rPr>
          <w:rFonts w:eastAsia="宋体" w:cs="Times New Roman"/>
        </w:rPr>
        <w:t xml:space="preserve"> SL-U are almost completed</w:t>
      </w:r>
      <w:r w:rsidR="00E017AE">
        <w:rPr>
          <w:rFonts w:eastAsia="宋体" w:cs="Times New Roman"/>
        </w:rPr>
        <w:t xml:space="preserve">, and </w:t>
      </w:r>
      <w:r w:rsidR="00A07855">
        <w:rPr>
          <w:rFonts w:eastAsia="宋体" w:cs="Times New Roman"/>
        </w:rPr>
        <w:t>relevant CR</w:t>
      </w:r>
      <w:r w:rsidR="00A352B7">
        <w:rPr>
          <w:rFonts w:eastAsia="宋体" w:cs="Times New Roman"/>
        </w:rPr>
        <w:t>s</w:t>
      </w:r>
      <w:r w:rsidR="00A07855">
        <w:rPr>
          <w:rFonts w:eastAsia="宋体" w:cs="Times New Roman"/>
        </w:rPr>
        <w:t xml:space="preserve"> </w:t>
      </w:r>
      <w:r w:rsidR="00A352B7">
        <w:rPr>
          <w:rFonts w:eastAsia="宋体" w:cs="Times New Roman"/>
        </w:rPr>
        <w:t>are discussed and submitted during RANP #101 meeting</w:t>
      </w:r>
      <w:r w:rsidR="00C4626A">
        <w:rPr>
          <w:rFonts w:eastAsia="宋体" w:cs="Times New Roman"/>
        </w:rPr>
        <w:t xml:space="preserve"> </w:t>
      </w:r>
      <w:r w:rsidR="00C4626A">
        <w:rPr>
          <w:rFonts w:eastAsia="宋体" w:cs="Times New Roman"/>
        </w:rPr>
        <w:fldChar w:fldCharType="begin"/>
      </w:r>
      <w:r w:rsidR="00C4626A">
        <w:rPr>
          <w:rFonts w:eastAsia="宋体" w:cs="Times New Roman"/>
        </w:rPr>
        <w:instrText xml:space="preserve"> REF _Ref146111303 \n \h </w:instrText>
      </w:r>
      <w:r w:rsidR="00C4626A">
        <w:rPr>
          <w:rFonts w:eastAsia="宋体" w:cs="Times New Roman"/>
        </w:rPr>
      </w:r>
      <w:r w:rsidR="00C4626A">
        <w:rPr>
          <w:rFonts w:eastAsia="宋体" w:cs="Times New Roman"/>
        </w:rPr>
        <w:fldChar w:fldCharType="separate"/>
      </w:r>
      <w:r w:rsidR="00E52A2E">
        <w:rPr>
          <w:rFonts w:eastAsia="宋体" w:cs="Times New Roman"/>
        </w:rPr>
        <w:t>[2]</w:t>
      </w:r>
      <w:r w:rsidR="00C4626A">
        <w:rPr>
          <w:rFonts w:eastAsia="宋体" w:cs="Times New Roman"/>
        </w:rPr>
        <w:fldChar w:fldCharType="end"/>
      </w:r>
      <w:r w:rsidR="00C4626A">
        <w:rPr>
          <w:rFonts w:eastAsia="宋体" w:cs="Times New Roman"/>
        </w:rPr>
        <w:t>~</w:t>
      </w:r>
      <w:r w:rsidR="00C4626A">
        <w:rPr>
          <w:rFonts w:eastAsia="宋体" w:cs="Times New Roman"/>
        </w:rPr>
        <w:fldChar w:fldCharType="begin"/>
      </w:r>
      <w:r w:rsidR="00C4626A">
        <w:rPr>
          <w:rFonts w:eastAsia="宋体" w:cs="Times New Roman"/>
        </w:rPr>
        <w:instrText xml:space="preserve"> REF _Ref146111305 \n \h </w:instrText>
      </w:r>
      <w:r w:rsidR="00C4626A">
        <w:rPr>
          <w:rFonts w:eastAsia="宋体" w:cs="Times New Roman"/>
        </w:rPr>
      </w:r>
      <w:r w:rsidR="00C4626A">
        <w:rPr>
          <w:rFonts w:eastAsia="宋体" w:cs="Times New Roman"/>
        </w:rPr>
        <w:fldChar w:fldCharType="separate"/>
      </w:r>
      <w:r w:rsidR="00E52A2E">
        <w:rPr>
          <w:rFonts w:eastAsia="宋体" w:cs="Times New Roman"/>
        </w:rPr>
        <w:t>[6]</w:t>
      </w:r>
      <w:r w:rsidR="00C4626A">
        <w:rPr>
          <w:rFonts w:eastAsia="宋体" w:cs="Times New Roman"/>
        </w:rPr>
        <w:fldChar w:fldCharType="end"/>
      </w:r>
      <w:r w:rsidR="00A352B7">
        <w:rPr>
          <w:rFonts w:eastAsia="宋体" w:cs="Times New Roman"/>
        </w:rPr>
        <w:t xml:space="preserve">. </w:t>
      </w:r>
      <w:r w:rsidR="00397895">
        <w:rPr>
          <w:rFonts w:eastAsia="宋体" w:cs="Times New Roman"/>
        </w:rPr>
        <w:t>Based on that, there are some further</w:t>
      </w:r>
      <w:r w:rsidR="00E017AE">
        <w:rPr>
          <w:rFonts w:eastAsia="宋体" w:cs="Times New Roman"/>
        </w:rPr>
        <w:t xml:space="preserve"> details to be </w:t>
      </w:r>
      <w:r w:rsidR="009349A8">
        <w:rPr>
          <w:rFonts w:eastAsia="宋体" w:cs="Times New Roman"/>
        </w:rPr>
        <w:t>clarified and determi</w:t>
      </w:r>
      <w:r w:rsidR="00397895">
        <w:rPr>
          <w:rFonts w:eastAsia="宋体" w:cs="Times New Roman"/>
        </w:rPr>
        <w:t>n</w:t>
      </w:r>
      <w:r w:rsidR="009349A8">
        <w:rPr>
          <w:rFonts w:eastAsia="宋体" w:cs="Times New Roman"/>
        </w:rPr>
        <w:t>e</w:t>
      </w:r>
      <w:r w:rsidR="00397895">
        <w:rPr>
          <w:rFonts w:eastAsia="宋体" w:cs="Times New Roman"/>
        </w:rPr>
        <w:t>d</w:t>
      </w:r>
      <w:r w:rsidR="00577BFB" w:rsidRPr="00B55118">
        <w:rPr>
          <w:rFonts w:eastAsia="宋体" w:cs="Times New Roman"/>
        </w:rPr>
        <w:t>.</w:t>
      </w:r>
    </w:p>
    <w:p w14:paraId="25FF6E5A" w14:textId="05E1BAA6" w:rsidR="000D297A" w:rsidRPr="00966842" w:rsidRDefault="000E0D86" w:rsidP="00966842">
      <w:pPr>
        <w:pStyle w:val="1"/>
        <w:numPr>
          <w:ilvl w:val="0"/>
          <w:numId w:val="1"/>
        </w:numPr>
        <w:spacing w:before="156" w:after="156"/>
        <w:rPr>
          <w:rFonts w:eastAsia="宋体"/>
          <w:sz w:val="28"/>
          <w:szCs w:val="28"/>
        </w:rPr>
      </w:pPr>
      <w:bookmarkStart w:id="2" w:name="_Toc101345884"/>
      <w:bookmarkStart w:id="3" w:name="_Toc101345997"/>
      <w:bookmarkStart w:id="4" w:name="_Toc101361938"/>
      <w:bookmarkStart w:id="5" w:name="_Toc101363687"/>
      <w:bookmarkStart w:id="6" w:name="_Toc101366118"/>
      <w:bookmarkStart w:id="7" w:name="_Toc101366138"/>
      <w:bookmarkStart w:id="8" w:name="_Toc101371102"/>
      <w:bookmarkStart w:id="9" w:name="_Toc101373021"/>
      <w:bookmarkStart w:id="10" w:name="_Toc101373662"/>
      <w:bookmarkStart w:id="11" w:name="_Toc101376916"/>
      <w:bookmarkStart w:id="12" w:name="_Toc101448191"/>
      <w:bookmarkStart w:id="13" w:name="_Toc101452728"/>
      <w:bookmarkStart w:id="14" w:name="_Toc101453309"/>
      <w:bookmarkStart w:id="15" w:name="_Toc101453328"/>
      <w:bookmarkStart w:id="16" w:name="_Toc101453787"/>
      <w:bookmarkStart w:id="17" w:name="_Toc101453806"/>
      <w:bookmarkStart w:id="18" w:name="_Toc101453825"/>
      <w:bookmarkStart w:id="19" w:name="_Toc101453844"/>
      <w:bookmarkStart w:id="20" w:name="_Toc101453934"/>
      <w:bookmarkStart w:id="21" w:name="_Toc101453953"/>
      <w:bookmarkStart w:id="22" w:name="_Toc101453972"/>
      <w:bookmarkStart w:id="23" w:name="_Toc101453991"/>
      <w:bookmarkStart w:id="24" w:name="_Toc101454062"/>
      <w:bookmarkStart w:id="25" w:name="_Toc101454081"/>
      <w:bookmarkStart w:id="26" w:name="_Toc101454196"/>
      <w:bookmarkStart w:id="27" w:name="_Toc101454215"/>
      <w:bookmarkStart w:id="28" w:name="_Toc101454299"/>
      <w:bookmarkStart w:id="29" w:name="_Toc101454318"/>
      <w:bookmarkStart w:id="30" w:name="_Toc101454337"/>
      <w:bookmarkStart w:id="31" w:name="_Toc101454356"/>
      <w:bookmarkStart w:id="32" w:name="_Toc101516465"/>
      <w:bookmarkStart w:id="33" w:name="_Toc101786923"/>
      <w:bookmarkStart w:id="34" w:name="_Toc101786942"/>
      <w:bookmarkStart w:id="35" w:name="_Toc101795435"/>
      <w:bookmarkStart w:id="36" w:name="_Toc101795454"/>
      <w:bookmarkStart w:id="37" w:name="_Toc101795753"/>
      <w:bookmarkStart w:id="38" w:name="_Toc99376214"/>
      <w:r w:rsidRPr="00966842">
        <w:rPr>
          <w:rFonts w:eastAsia="宋体"/>
          <w:sz w:val="28"/>
          <w:szCs w:val="28"/>
        </w:rPr>
        <w:t xml:space="preserve">Channel Access for PSFCH </w:t>
      </w:r>
    </w:p>
    <w:tbl>
      <w:tblPr>
        <w:tblStyle w:val="aa"/>
        <w:tblW w:w="0" w:type="auto"/>
        <w:tblLook w:val="04A0" w:firstRow="1" w:lastRow="0" w:firstColumn="1" w:lastColumn="0" w:noHBand="0" w:noVBand="1"/>
      </w:tblPr>
      <w:tblGrid>
        <w:gridCol w:w="9346"/>
      </w:tblGrid>
      <w:tr w:rsidR="004527EB" w14:paraId="1B3F2DF4" w14:textId="77777777" w:rsidTr="004527EB">
        <w:tc>
          <w:tcPr>
            <w:tcW w:w="9346" w:type="dxa"/>
          </w:tcPr>
          <w:p w14:paraId="0406F0C5" w14:textId="77777777" w:rsidR="009822E7" w:rsidRDefault="009822E7" w:rsidP="009822E7">
            <w:pPr>
              <w:spacing w:beforeLines="0" w:before="0" w:afterLines="0" w:after="0"/>
            </w:pPr>
            <w:r>
              <w:rPr>
                <w:highlight w:val="green"/>
              </w:rPr>
              <w:t>Agreement</w:t>
            </w:r>
          </w:p>
          <w:p w14:paraId="194F55A3" w14:textId="77777777" w:rsidR="009822E7" w:rsidRDefault="009822E7" w:rsidP="009822E7">
            <w:pPr>
              <w:numPr>
                <w:ilvl w:val="0"/>
                <w:numId w:val="35"/>
              </w:numPr>
              <w:spacing w:beforeLines="0" w:before="0" w:afterLines="0" w:after="0"/>
              <w:jc w:val="left"/>
            </w:pPr>
            <w:r>
              <w:t>Support PSFCH transmission over contiguous and non-contiguous RB sets</w:t>
            </w:r>
          </w:p>
          <w:p w14:paraId="13951E2B" w14:textId="77777777" w:rsidR="009822E7" w:rsidRDefault="009822E7" w:rsidP="009822E7">
            <w:pPr>
              <w:numPr>
                <w:ilvl w:val="0"/>
                <w:numId w:val="35"/>
              </w:numPr>
              <w:spacing w:beforeLines="0" w:before="0" w:afterLines="0" w:after="0"/>
              <w:jc w:val="left"/>
            </w:pPr>
            <w:r>
              <w:t>Support S-SSB transmission over contiguous and non-contiguous RB sets</w:t>
            </w:r>
          </w:p>
          <w:p w14:paraId="5AB303D4" w14:textId="62378C78" w:rsidR="009822E7" w:rsidRDefault="009822E7" w:rsidP="009822E7">
            <w:pPr>
              <w:numPr>
                <w:ilvl w:val="0"/>
                <w:numId w:val="35"/>
              </w:numPr>
              <w:spacing w:beforeLines="0" w:before="0" w:afterLines="0" w:after="0"/>
              <w:jc w:val="left"/>
            </w:pPr>
            <w:r>
              <w:t>Support of PSFCH/S-SSB transmission over contiguous and/or non-contiguous RB sets is subject to UE capability(ies)</w:t>
            </w:r>
          </w:p>
          <w:p w14:paraId="0814D2EE" w14:textId="77777777" w:rsidR="00223577" w:rsidRDefault="00223577" w:rsidP="00223577">
            <w:pPr>
              <w:spacing w:beforeLines="0" w:before="0" w:afterLines="0" w:after="0"/>
              <w:ind w:left="720"/>
              <w:jc w:val="left"/>
            </w:pPr>
          </w:p>
          <w:p w14:paraId="48A426DA" w14:textId="05CFFDAF" w:rsidR="004527EB" w:rsidRPr="00556FE0" w:rsidRDefault="004527EB" w:rsidP="001D2EE0">
            <w:pPr>
              <w:autoSpaceDE w:val="0"/>
              <w:autoSpaceDN w:val="0"/>
              <w:spacing w:beforeLines="0" w:before="0" w:afterLines="0" w:after="0"/>
            </w:pPr>
            <w:r>
              <w:rPr>
                <w:b/>
                <w:bCs/>
                <w:highlight w:val="green"/>
              </w:rPr>
              <w:t>Agreement</w:t>
            </w:r>
            <w:r>
              <w:rPr>
                <w:b/>
                <w:bCs/>
              </w:rPr>
              <w:t xml:space="preserve"> </w:t>
            </w:r>
          </w:p>
          <w:p w14:paraId="5C7342D9" w14:textId="77777777" w:rsidR="004527EB" w:rsidRDefault="004527EB" w:rsidP="008364C1">
            <w:pPr>
              <w:pStyle w:val="a3"/>
              <w:numPr>
                <w:ilvl w:val="0"/>
                <w:numId w:val="8"/>
              </w:numPr>
              <w:autoSpaceDE w:val="0"/>
              <w:autoSpaceDN w:val="0"/>
              <w:ind w:firstLineChars="0"/>
            </w:pPr>
            <w:r>
              <w:t>Type 2A channel access procedure is applicable for S-SSB transmissions from a UE without a shared channel occupancy, when the following constraints are met:</w:t>
            </w:r>
          </w:p>
          <w:p w14:paraId="4CD86DE0" w14:textId="77777777" w:rsidR="004527EB" w:rsidRDefault="004527EB" w:rsidP="008364C1">
            <w:pPr>
              <w:pStyle w:val="a3"/>
              <w:numPr>
                <w:ilvl w:val="1"/>
                <w:numId w:val="8"/>
              </w:numPr>
              <w:autoSpaceDE w:val="0"/>
              <w:autoSpaceDN w:val="0"/>
              <w:ind w:leftChars="400" w:left="1160" w:firstLineChars="0"/>
            </w:pPr>
            <w:r>
              <w:t xml:space="preserve">Time duration is at most 1ms per transmission </w:t>
            </w:r>
          </w:p>
          <w:p w14:paraId="25FC0B8F" w14:textId="77777777" w:rsidR="004527EB" w:rsidRDefault="004527EB" w:rsidP="008364C1">
            <w:pPr>
              <w:pStyle w:val="a3"/>
              <w:numPr>
                <w:ilvl w:val="1"/>
                <w:numId w:val="8"/>
              </w:numPr>
              <w:autoSpaceDE w:val="0"/>
              <w:autoSpaceDN w:val="0"/>
              <w:ind w:leftChars="400" w:left="1160" w:firstLineChars="0"/>
            </w:pPr>
            <w:r>
              <w:t>The duty cycle of the S-SSB transmissions is at most 1/20</w:t>
            </w:r>
          </w:p>
          <w:p w14:paraId="515436FA" w14:textId="77777777" w:rsidR="004527EB" w:rsidRDefault="004527EB" w:rsidP="008364C1">
            <w:pPr>
              <w:pStyle w:val="a3"/>
              <w:numPr>
                <w:ilvl w:val="1"/>
                <w:numId w:val="8"/>
              </w:numPr>
              <w:autoSpaceDE w:val="0"/>
              <w:autoSpaceDN w:val="0"/>
              <w:ind w:leftChars="400" w:left="1160" w:firstLineChars="0"/>
            </w:pPr>
            <w:r>
              <w:t>FFS: details of EDT</w:t>
            </w:r>
          </w:p>
          <w:p w14:paraId="26CE0058" w14:textId="77777777" w:rsidR="004527EB" w:rsidRDefault="004527EB" w:rsidP="008364C1">
            <w:pPr>
              <w:pStyle w:val="a3"/>
              <w:numPr>
                <w:ilvl w:val="1"/>
                <w:numId w:val="8"/>
              </w:numPr>
              <w:autoSpaceDE w:val="0"/>
              <w:autoSpaceDN w:val="0"/>
              <w:ind w:leftChars="400" w:left="1160" w:firstLineChars="0"/>
            </w:pPr>
            <w:r>
              <w:t>FFS: whether/how to define observation period, including whether or not observation period would be captured in the specifications if defined</w:t>
            </w:r>
          </w:p>
          <w:p w14:paraId="4BB28904" w14:textId="52C6D601" w:rsidR="004527EB" w:rsidRPr="004527EB" w:rsidRDefault="004527EB" w:rsidP="008364C1">
            <w:pPr>
              <w:pStyle w:val="a3"/>
              <w:numPr>
                <w:ilvl w:val="0"/>
                <w:numId w:val="8"/>
              </w:numPr>
              <w:autoSpaceDE w:val="0"/>
              <w:autoSpaceDN w:val="0"/>
              <w:ind w:firstLineChars="0"/>
              <w:rPr>
                <w:rFonts w:eastAsia="宋体" w:cs="Times New Roman"/>
              </w:rPr>
            </w:pPr>
            <w:r>
              <w:t>FFS: Type 2A applicability for PSFCH without a shared channel occupancy and further limitations for combined transmissions of both S-SSB and PSFCH using Type 2A channel access procedure</w:t>
            </w:r>
          </w:p>
        </w:tc>
      </w:tr>
    </w:tbl>
    <w:p w14:paraId="7F3CC053" w14:textId="4A31339E" w:rsidR="00477068" w:rsidRPr="00B55118" w:rsidRDefault="00182A22" w:rsidP="00777A42">
      <w:pPr>
        <w:spacing w:before="156" w:after="156"/>
        <w:rPr>
          <w:rFonts w:eastAsia="宋体" w:cs="Times New Roman"/>
        </w:rPr>
      </w:pPr>
      <w:r>
        <w:rPr>
          <w:rFonts w:eastAsia="宋体" w:cs="Times New Roman"/>
        </w:rPr>
        <w:t>A</w:t>
      </w:r>
      <w:r w:rsidR="00977326">
        <w:rPr>
          <w:rFonts w:eastAsia="宋体" w:cs="Times New Roman"/>
        </w:rPr>
        <w:t>s</w:t>
      </w:r>
      <w:r w:rsidR="00960C5A">
        <w:rPr>
          <w:rFonts w:eastAsia="宋体" w:cs="Times New Roman"/>
        </w:rPr>
        <w:t xml:space="preserve"> </w:t>
      </w:r>
      <w:r w:rsidR="00CD50AC" w:rsidRPr="00B55118">
        <w:rPr>
          <w:rFonts w:eastAsia="宋体" w:cs="Times New Roman"/>
        </w:rPr>
        <w:t xml:space="preserve">PSFCH resources </w:t>
      </w:r>
      <w:r w:rsidR="00B4526C" w:rsidRPr="00B55118">
        <w:rPr>
          <w:rFonts w:eastAsia="宋体" w:cs="Times New Roman"/>
        </w:rPr>
        <w:t>are allocated</w:t>
      </w:r>
      <w:r w:rsidR="00477068" w:rsidRPr="00B55118">
        <w:rPr>
          <w:rFonts w:eastAsia="宋体" w:cs="Times New Roman"/>
        </w:rPr>
        <w:t xml:space="preserve"> </w:t>
      </w:r>
      <w:r w:rsidR="00B4526C" w:rsidRPr="00B55118">
        <w:rPr>
          <w:rFonts w:eastAsia="宋体" w:cs="Times New Roman"/>
        </w:rPr>
        <w:t xml:space="preserve">following PSSCH symbols in a slot, </w:t>
      </w:r>
      <w:r w:rsidR="00D24F3A" w:rsidRPr="00B55118">
        <w:rPr>
          <w:rFonts w:eastAsia="宋体" w:cs="Times New Roman"/>
        </w:rPr>
        <w:t>for the case that a sidelink CO is</w:t>
      </w:r>
      <w:r w:rsidR="00B61069">
        <w:rPr>
          <w:rFonts w:eastAsia="宋体" w:cs="Times New Roman"/>
        </w:rPr>
        <w:t xml:space="preserve"> initiated from PSCCH/PSSCH transmission and</w:t>
      </w:r>
      <w:r w:rsidR="00D24F3A" w:rsidRPr="00B55118">
        <w:rPr>
          <w:rFonts w:eastAsia="宋体" w:cs="Times New Roman"/>
        </w:rPr>
        <w:t xml:space="preserve"> shared among UEs, </w:t>
      </w:r>
      <w:r w:rsidR="00DE5A33" w:rsidRPr="00B55118">
        <w:rPr>
          <w:rFonts w:eastAsia="宋体" w:cs="Times New Roman"/>
        </w:rPr>
        <w:t>using</w:t>
      </w:r>
      <w:r w:rsidR="00B4526C" w:rsidRPr="00B55118">
        <w:rPr>
          <w:rFonts w:eastAsia="宋体" w:cs="Times New Roman"/>
        </w:rPr>
        <w:t xml:space="preserve"> Type 2A channel access for PSFCH transmission </w:t>
      </w:r>
      <w:r w:rsidR="003028B0" w:rsidRPr="00B55118">
        <w:rPr>
          <w:rFonts w:eastAsia="宋体" w:cs="Times New Roman"/>
        </w:rPr>
        <w:t>may</w:t>
      </w:r>
      <w:r w:rsidR="00B4526C" w:rsidRPr="00B55118">
        <w:rPr>
          <w:rFonts w:eastAsia="宋体" w:cs="Times New Roman"/>
        </w:rPr>
        <w:t xml:space="preserve"> benefit the </w:t>
      </w:r>
      <w:r w:rsidR="003028B0" w:rsidRPr="00B55118">
        <w:rPr>
          <w:rFonts w:eastAsia="宋体" w:cs="Times New Roman"/>
        </w:rPr>
        <w:t xml:space="preserve">success ratio of sidelink A/N feedback information and further improve the sidelink resource efficiency. </w:t>
      </w:r>
      <w:r w:rsidR="00A35CE2">
        <w:rPr>
          <w:rFonts w:eastAsia="宋体" w:cs="Times New Roman"/>
        </w:rPr>
        <w:t xml:space="preserve">On the other hand, </w:t>
      </w:r>
      <w:r w:rsidR="00967A84">
        <w:rPr>
          <w:rFonts w:eastAsia="宋体" w:cs="Times New Roman"/>
        </w:rPr>
        <w:t xml:space="preserve">the </w:t>
      </w:r>
      <w:r w:rsidR="00453527">
        <w:rPr>
          <w:rFonts w:eastAsia="宋体" w:cs="Times New Roman"/>
        </w:rPr>
        <w:t>PSFCH resource allocation period</w:t>
      </w:r>
      <w:r w:rsidR="002B72D5">
        <w:rPr>
          <w:rFonts w:eastAsia="宋体" w:cs="Times New Roman"/>
        </w:rPr>
        <w:t xml:space="preserve"> may </w:t>
      </w:r>
      <w:r w:rsidR="004E5CE4">
        <w:rPr>
          <w:rFonts w:eastAsia="宋体" w:cs="Times New Roman"/>
        </w:rPr>
        <w:t>not meet the limitation of short control signaling</w:t>
      </w:r>
      <w:r w:rsidR="00AA6D47">
        <w:rPr>
          <w:rFonts w:eastAsia="宋体" w:cs="Times New Roman"/>
        </w:rPr>
        <w:t xml:space="preserve"> according to the resource pool configuration on</w:t>
      </w:r>
      <w:r w:rsidR="00F42F5B">
        <w:rPr>
          <w:rFonts w:eastAsia="宋体" w:cs="Times New Roman"/>
        </w:rPr>
        <w:t xml:space="preserve"> the</w:t>
      </w:r>
      <w:r w:rsidR="00AA6D47">
        <w:rPr>
          <w:rFonts w:eastAsia="宋体" w:cs="Times New Roman"/>
        </w:rPr>
        <w:t xml:space="preserve"> unlicensed spectrum</w:t>
      </w:r>
      <w:r w:rsidR="001D72FD">
        <w:rPr>
          <w:rFonts w:eastAsia="宋体" w:cs="Times New Roman"/>
        </w:rPr>
        <w:t>.</w:t>
      </w:r>
      <w:r w:rsidR="00AA6D47">
        <w:rPr>
          <w:rFonts w:eastAsia="宋体" w:cs="Times New Roman"/>
        </w:rPr>
        <w:t xml:space="preserve"> Therefore, Type 2A for PSFCH without an SL CO </w:t>
      </w:r>
      <w:r w:rsidR="008919AA">
        <w:rPr>
          <w:rFonts w:eastAsia="宋体" w:cs="Times New Roman"/>
        </w:rPr>
        <w:t>should not be supported</w:t>
      </w:r>
      <w:r w:rsidR="00AA6D47">
        <w:rPr>
          <w:rFonts w:eastAsia="宋体" w:cs="Times New Roman"/>
        </w:rPr>
        <w:t>.</w:t>
      </w:r>
      <w:r w:rsidR="001D72FD">
        <w:rPr>
          <w:rFonts w:eastAsia="宋体" w:cs="Times New Roman"/>
        </w:rPr>
        <w:t xml:space="preserve"> </w:t>
      </w:r>
      <w:r w:rsidR="0075287F">
        <w:rPr>
          <w:rFonts w:eastAsia="宋体" w:cs="Times New Roman"/>
        </w:rPr>
        <w:t>Based on that, w</w:t>
      </w:r>
      <w:r w:rsidR="00B20EFA">
        <w:rPr>
          <w:rFonts w:eastAsia="宋体" w:cs="Times New Roman"/>
        </w:rPr>
        <w:t xml:space="preserve">e prefer to use Type 2A for PSFCH transmission </w:t>
      </w:r>
      <w:r w:rsidR="00960C5A">
        <w:rPr>
          <w:rFonts w:eastAsia="宋体" w:cs="Times New Roman"/>
        </w:rPr>
        <w:t xml:space="preserve">only </w:t>
      </w:r>
      <w:r w:rsidR="00B20EFA">
        <w:rPr>
          <w:rFonts w:eastAsia="宋体" w:cs="Times New Roman"/>
        </w:rPr>
        <w:t>within a</w:t>
      </w:r>
      <w:r w:rsidR="00DB1672">
        <w:rPr>
          <w:rFonts w:eastAsia="宋体" w:cs="Times New Roman"/>
        </w:rPr>
        <w:t>n</w:t>
      </w:r>
      <w:r w:rsidR="00B20EFA">
        <w:rPr>
          <w:rFonts w:eastAsia="宋体" w:cs="Times New Roman"/>
        </w:rPr>
        <w:t xml:space="preserve"> SL CO.</w:t>
      </w:r>
    </w:p>
    <w:p w14:paraId="4CF91859" w14:textId="3FC27FE1" w:rsidR="00134401" w:rsidRDefault="00F61FFF" w:rsidP="008364C1">
      <w:pPr>
        <w:pStyle w:val="1st-Proposal-YJ"/>
        <w:numPr>
          <w:ilvl w:val="0"/>
          <w:numId w:val="5"/>
        </w:numPr>
        <w:spacing w:before="156" w:after="156"/>
        <w:rPr>
          <w:rFonts w:eastAsia="宋体"/>
        </w:rPr>
      </w:pPr>
      <w:bookmarkStart w:id="39" w:name="_Toc117844118"/>
      <w:bookmarkStart w:id="40" w:name="_Toc117862072"/>
      <w:bookmarkStart w:id="41" w:name="_Toc117862097"/>
      <w:bookmarkStart w:id="42" w:name="_Toc117862122"/>
      <w:bookmarkStart w:id="43" w:name="_Toc117862147"/>
      <w:bookmarkStart w:id="44" w:name="_Toc117862172"/>
      <w:bookmarkStart w:id="45" w:name="_Toc117865599"/>
      <w:bookmarkStart w:id="46" w:name="_Toc118127870"/>
      <w:bookmarkStart w:id="47" w:name="_Toc118127911"/>
      <w:bookmarkStart w:id="48" w:name="_Toc118127952"/>
      <w:bookmarkStart w:id="49" w:name="_Toc118129611"/>
      <w:bookmarkStart w:id="50" w:name="_Toc118129652"/>
      <w:bookmarkStart w:id="51" w:name="_Toc118129715"/>
      <w:bookmarkStart w:id="52" w:name="_Toc118129758"/>
      <w:bookmarkStart w:id="53" w:name="_Toc118130040"/>
      <w:bookmarkStart w:id="54" w:name="_Toc118130079"/>
      <w:bookmarkStart w:id="55" w:name="_Toc118130474"/>
      <w:bookmarkStart w:id="56" w:name="_Toc118131341"/>
      <w:bookmarkStart w:id="57" w:name="_Toc118131381"/>
      <w:bookmarkStart w:id="58" w:name="_Toc118136728"/>
      <w:bookmarkStart w:id="59" w:name="_Toc118136876"/>
      <w:bookmarkStart w:id="60" w:name="_Toc118137375"/>
      <w:bookmarkStart w:id="61" w:name="_Toc118137415"/>
      <w:bookmarkStart w:id="62" w:name="_Toc118138760"/>
      <w:bookmarkStart w:id="63" w:name="_Toc118138800"/>
      <w:bookmarkStart w:id="64" w:name="_Toc118138840"/>
      <w:bookmarkStart w:id="65" w:name="_Toc118143558"/>
      <w:bookmarkStart w:id="66" w:name="_Toc118143598"/>
      <w:bookmarkStart w:id="67" w:name="_Toc118143689"/>
      <w:bookmarkStart w:id="68" w:name="_Toc118143728"/>
      <w:bookmarkStart w:id="69" w:name="_Toc118201023"/>
      <w:bookmarkStart w:id="70" w:name="_Toc118201062"/>
      <w:bookmarkStart w:id="71" w:name="_Toc118203175"/>
      <w:bookmarkStart w:id="72" w:name="_Toc118203214"/>
      <w:bookmarkStart w:id="73" w:name="_Toc118212768"/>
      <w:bookmarkStart w:id="74" w:name="_Toc118212813"/>
      <w:bookmarkStart w:id="75" w:name="_Toc118213243"/>
      <w:bookmarkStart w:id="76" w:name="_Toc118213609"/>
      <w:bookmarkStart w:id="77" w:name="_Toc118213654"/>
      <w:bookmarkStart w:id="78" w:name="_Toc118214852"/>
      <w:bookmarkStart w:id="79" w:name="_Toc118214897"/>
      <w:bookmarkStart w:id="80" w:name="_Toc118214942"/>
      <w:bookmarkStart w:id="81" w:name="_Toc118214987"/>
      <w:bookmarkStart w:id="82" w:name="_Toc118215032"/>
      <w:bookmarkStart w:id="83" w:name="_Toc118215080"/>
      <w:bookmarkStart w:id="84" w:name="_Toc118215138"/>
      <w:bookmarkStart w:id="85" w:name="_Toc118215183"/>
      <w:bookmarkStart w:id="86" w:name="_Toc118215228"/>
      <w:bookmarkStart w:id="87" w:name="_Toc118272096"/>
      <w:bookmarkStart w:id="88" w:name="_Toc118273269"/>
      <w:bookmarkStart w:id="89" w:name="_Toc118273673"/>
      <w:bookmarkStart w:id="90" w:name="_Toc118273718"/>
      <w:bookmarkStart w:id="91" w:name="_Toc118273763"/>
      <w:bookmarkStart w:id="92" w:name="_Toc118274607"/>
      <w:bookmarkStart w:id="93" w:name="_Toc118274652"/>
      <w:bookmarkStart w:id="94" w:name="_Toc118274769"/>
      <w:bookmarkStart w:id="95" w:name="_Toc118274814"/>
      <w:bookmarkStart w:id="96" w:name="_Toc118274859"/>
      <w:bookmarkStart w:id="97" w:name="_Toc118274904"/>
      <w:bookmarkStart w:id="98" w:name="_Toc118274949"/>
      <w:bookmarkStart w:id="99" w:name="_Toc118274994"/>
      <w:bookmarkStart w:id="100" w:name="_Toc118296943"/>
      <w:bookmarkStart w:id="101" w:name="_Toc118304360"/>
      <w:bookmarkStart w:id="102" w:name="_Toc118304407"/>
      <w:bookmarkStart w:id="103" w:name="_Toc118374308"/>
      <w:bookmarkStart w:id="104" w:name="_Toc118374397"/>
      <w:bookmarkStart w:id="105" w:name="_Toc118374444"/>
      <w:bookmarkStart w:id="106" w:name="_Toc118374609"/>
      <w:bookmarkStart w:id="107" w:name="_Toc118374656"/>
      <w:bookmarkStart w:id="108" w:name="_Toc118375072"/>
      <w:bookmarkStart w:id="109" w:name="_Toc118375119"/>
      <w:bookmarkStart w:id="110" w:name="_Toc118703789"/>
      <w:bookmarkStart w:id="111" w:name="_Toc118704413"/>
      <w:bookmarkStart w:id="112" w:name="_Toc118704461"/>
      <w:bookmarkStart w:id="113" w:name="_Toc118704539"/>
      <w:bookmarkStart w:id="114" w:name="_Toc118704586"/>
      <w:bookmarkStart w:id="115" w:name="_Toc118704633"/>
      <w:bookmarkStart w:id="116" w:name="_Toc126248507"/>
      <w:bookmarkStart w:id="117" w:name="_Toc126248547"/>
      <w:bookmarkStart w:id="118" w:name="_Toc126248835"/>
      <w:bookmarkStart w:id="119" w:name="_Toc126248875"/>
      <w:bookmarkStart w:id="120" w:name="_Toc126744700"/>
      <w:bookmarkStart w:id="121" w:name="_Toc126744737"/>
      <w:bookmarkStart w:id="122" w:name="_Toc126744774"/>
      <w:bookmarkStart w:id="123" w:name="_Toc126744811"/>
      <w:bookmarkStart w:id="124" w:name="_Toc126744848"/>
      <w:bookmarkStart w:id="125" w:name="_Toc126744885"/>
      <w:bookmarkStart w:id="126" w:name="_Toc126746333"/>
      <w:bookmarkStart w:id="127" w:name="_Toc126746515"/>
      <w:bookmarkStart w:id="128" w:name="_Toc126746552"/>
      <w:bookmarkStart w:id="129" w:name="_Toc127446997"/>
      <w:bookmarkStart w:id="130" w:name="_Toc127447034"/>
      <w:bookmarkStart w:id="131" w:name="_Toc127447137"/>
      <w:bookmarkStart w:id="132" w:name="_Toc127447279"/>
      <w:bookmarkStart w:id="133" w:name="_Toc127447316"/>
      <w:bookmarkStart w:id="134" w:name="_Toc127447393"/>
      <w:bookmarkStart w:id="135" w:name="_Toc127447430"/>
      <w:bookmarkStart w:id="136" w:name="_Toc127448787"/>
      <w:bookmarkStart w:id="137" w:name="_Toc127448824"/>
      <w:bookmarkStart w:id="138" w:name="_Toc127448998"/>
      <w:bookmarkStart w:id="139" w:name="_Toc127449035"/>
      <w:bookmarkStart w:id="140" w:name="_Toc127449441"/>
      <w:bookmarkStart w:id="141" w:name="_Toc127449478"/>
      <w:bookmarkStart w:id="142" w:name="_Toc127449631"/>
      <w:bookmarkStart w:id="143" w:name="_Toc127449668"/>
      <w:bookmarkStart w:id="144" w:name="_Toc129010143"/>
      <w:bookmarkStart w:id="145" w:name="_Toc129010178"/>
      <w:bookmarkStart w:id="146" w:name="_Toc129082010"/>
      <w:bookmarkStart w:id="147" w:name="_Toc129082046"/>
      <w:bookmarkStart w:id="148" w:name="_Toc129097393"/>
      <w:bookmarkStart w:id="149" w:name="_Toc129097432"/>
      <w:bookmarkStart w:id="150" w:name="_Toc131411196"/>
      <w:bookmarkStart w:id="151" w:name="_Toc131411235"/>
      <w:bookmarkStart w:id="152" w:name="_Toc131411274"/>
      <w:bookmarkStart w:id="153" w:name="_Toc131411313"/>
      <w:bookmarkStart w:id="154" w:name="_Toc131411705"/>
      <w:bookmarkStart w:id="155" w:name="_Toc131411921"/>
      <w:bookmarkStart w:id="156" w:name="_Toc131762627"/>
      <w:bookmarkStart w:id="157" w:name="_Toc131762666"/>
      <w:bookmarkStart w:id="158" w:name="_Toc131762801"/>
      <w:bookmarkStart w:id="159" w:name="_Toc131762840"/>
      <w:bookmarkStart w:id="160" w:name="_Toc131763279"/>
      <w:bookmarkStart w:id="161" w:name="_Toc134109211"/>
      <w:bookmarkStart w:id="162" w:name="_Toc134109459"/>
      <w:bookmarkStart w:id="163" w:name="_Toc134109527"/>
      <w:bookmarkStart w:id="164" w:name="_Toc134109564"/>
      <w:bookmarkStart w:id="165" w:name="_Toc134112582"/>
      <w:bookmarkStart w:id="166" w:name="_Toc134112611"/>
      <w:bookmarkStart w:id="167" w:name="_Toc134112640"/>
      <w:bookmarkStart w:id="168" w:name="_Toc134112669"/>
      <w:bookmarkStart w:id="169" w:name="_Toc134436097"/>
      <w:bookmarkStart w:id="170" w:name="_Toc134436126"/>
      <w:bookmarkStart w:id="171" w:name="_Toc134438741"/>
      <w:bookmarkStart w:id="172" w:name="_Toc134438770"/>
      <w:bookmarkStart w:id="173" w:name="_Toc134439000"/>
      <w:bookmarkStart w:id="174" w:name="_Toc134439029"/>
      <w:bookmarkStart w:id="175" w:name="_Toc134439248"/>
      <w:bookmarkStart w:id="176" w:name="_Toc134439277"/>
      <w:bookmarkStart w:id="177" w:name="_Toc134439796"/>
      <w:bookmarkStart w:id="178" w:name="_Toc134439825"/>
      <w:bookmarkStart w:id="179" w:name="_Toc134439880"/>
      <w:bookmarkStart w:id="180" w:name="_Toc134717006"/>
      <w:bookmarkStart w:id="181" w:name="_Toc134717035"/>
      <w:bookmarkStart w:id="182" w:name="_Toc134779477"/>
      <w:bookmarkStart w:id="183" w:name="_Toc134779506"/>
      <w:bookmarkStart w:id="184" w:name="_Toc134780183"/>
      <w:bookmarkStart w:id="185" w:name="_Toc134780212"/>
      <w:bookmarkStart w:id="186" w:name="_Toc134784150"/>
      <w:bookmarkStart w:id="187" w:name="_Toc140068960"/>
      <w:bookmarkStart w:id="188" w:name="_Toc140068984"/>
      <w:bookmarkStart w:id="189" w:name="_Toc140069019"/>
      <w:bookmarkStart w:id="190" w:name="_Toc140069042"/>
      <w:bookmarkStart w:id="191" w:name="_Toc140069065"/>
      <w:bookmarkStart w:id="192" w:name="_Toc140069088"/>
      <w:bookmarkStart w:id="193" w:name="_Toc141884715"/>
      <w:bookmarkStart w:id="194" w:name="_Toc141884739"/>
      <w:bookmarkStart w:id="195" w:name="_Toc141885707"/>
      <w:bookmarkStart w:id="196" w:name="_Toc141885730"/>
      <w:bookmarkStart w:id="197" w:name="_Toc141886114"/>
      <w:bookmarkStart w:id="198" w:name="_Toc141886206"/>
      <w:bookmarkStart w:id="199" w:name="_Toc141886902"/>
      <w:bookmarkStart w:id="200" w:name="_Toc141887091"/>
      <w:bookmarkStart w:id="201" w:name="_Toc141887114"/>
      <w:bookmarkStart w:id="202" w:name="_Toc141887235"/>
      <w:bookmarkStart w:id="203" w:name="_Toc141887258"/>
      <w:bookmarkStart w:id="204" w:name="_Toc141887951"/>
      <w:bookmarkStart w:id="205" w:name="_Toc141887974"/>
      <w:bookmarkStart w:id="206" w:name="_Toc141888006"/>
      <w:bookmarkStart w:id="207" w:name="_Toc141888029"/>
      <w:bookmarkStart w:id="208" w:name="_Toc141888092"/>
      <w:bookmarkStart w:id="209" w:name="_Toc141888115"/>
      <w:bookmarkStart w:id="210" w:name="_Toc141888681"/>
      <w:bookmarkStart w:id="211" w:name="_Toc141888704"/>
      <w:bookmarkStart w:id="212" w:name="_Toc142058421"/>
      <w:bookmarkStart w:id="213" w:name="_Toc142058447"/>
      <w:bookmarkStart w:id="214" w:name="_Toc142058473"/>
      <w:bookmarkStart w:id="215" w:name="_Toc142058499"/>
      <w:bookmarkStart w:id="216" w:name="_Toc142059443"/>
      <w:bookmarkStart w:id="217" w:name="_Toc142059469"/>
      <w:bookmarkStart w:id="218" w:name="_Toc142059693"/>
      <w:bookmarkStart w:id="219" w:name="_Toc142059719"/>
      <w:bookmarkStart w:id="220" w:name="_Toc142293304"/>
      <w:bookmarkStart w:id="221" w:name="_Toc142555175"/>
      <w:bookmarkStart w:id="222" w:name="_Toc142555200"/>
      <w:bookmarkStart w:id="223" w:name="_Toc142555432"/>
      <w:bookmarkStart w:id="224" w:name="_Toc142555457"/>
      <w:bookmarkStart w:id="225" w:name="_Toc142555706"/>
      <w:bookmarkStart w:id="226" w:name="_Toc142555731"/>
      <w:bookmarkStart w:id="227" w:name="_Toc142555756"/>
      <w:bookmarkStart w:id="228" w:name="_Toc145938619"/>
      <w:bookmarkStart w:id="229" w:name="_Toc145949078"/>
      <w:bookmarkStart w:id="230" w:name="_Toc145949100"/>
      <w:bookmarkStart w:id="231" w:name="_Toc146029886"/>
      <w:bookmarkStart w:id="232" w:name="_Toc146029905"/>
      <w:bookmarkStart w:id="233" w:name="_Toc146029949"/>
      <w:bookmarkStart w:id="234" w:name="_Toc146029968"/>
      <w:bookmarkStart w:id="235" w:name="_Toc146030036"/>
      <w:bookmarkStart w:id="236" w:name="_Toc146030055"/>
      <w:bookmarkStart w:id="237" w:name="_Toc146032477"/>
      <w:bookmarkStart w:id="238" w:name="_Toc146032496"/>
      <w:bookmarkStart w:id="239" w:name="_Toc146032793"/>
      <w:bookmarkStart w:id="240" w:name="_Toc146032812"/>
      <w:bookmarkStart w:id="241" w:name="_Toc146111101"/>
      <w:bookmarkStart w:id="242" w:name="_Toc146111121"/>
      <w:bookmarkStart w:id="243" w:name="_Toc146111152"/>
      <w:bookmarkStart w:id="244" w:name="_Toc146111172"/>
      <w:bookmarkStart w:id="245" w:name="_Toc146111547"/>
      <w:bookmarkStart w:id="246" w:name="_Toc146111589"/>
      <w:bookmarkStart w:id="247" w:name="_Toc146112115"/>
      <w:bookmarkStart w:id="248" w:name="_Toc146112244"/>
      <w:bookmarkStart w:id="249" w:name="_Toc146112264"/>
      <w:bookmarkStart w:id="250" w:name="_Toc146112626"/>
      <w:bookmarkStart w:id="251" w:name="_Toc146112646"/>
      <w:bookmarkStart w:id="252" w:name="_Toc146112739"/>
      <w:bookmarkStart w:id="253" w:name="_Toc146112759"/>
      <w:bookmarkStart w:id="254" w:name="_Toc146113559"/>
      <w:bookmarkStart w:id="255" w:name="_Toc146113579"/>
      <w:bookmarkStart w:id="256" w:name="_Toc146529506"/>
      <w:bookmarkStart w:id="257" w:name="_Toc146529527"/>
      <w:bookmarkStart w:id="258" w:name="_Toc146529736"/>
      <w:bookmarkStart w:id="259" w:name="_Toc146529757"/>
      <w:bookmarkStart w:id="260" w:name="_Toc146529797"/>
      <w:bookmarkStart w:id="261" w:name="_Toc146529818"/>
      <w:bookmarkStart w:id="262" w:name="_Toc146532968"/>
      <w:bookmarkStart w:id="263" w:name="_Toc146532989"/>
      <w:bookmarkStart w:id="264" w:name="_Toc146533069"/>
      <w:bookmarkStart w:id="265" w:name="_Toc146533090"/>
      <w:bookmarkStart w:id="266" w:name="_Toc146533111"/>
      <w:bookmarkStart w:id="267" w:name="_Toc146533132"/>
      <w:bookmarkStart w:id="268" w:name="_Toc146533153"/>
      <w:bookmarkStart w:id="269" w:name="_Toc146533174"/>
      <w:bookmarkStart w:id="270" w:name="_Toc146701030"/>
      <w:bookmarkStart w:id="271" w:name="_Toc146701051"/>
      <w:bookmarkStart w:id="272" w:name="_Toc146701895"/>
      <w:bookmarkStart w:id="273" w:name="_Toc146701916"/>
      <w:bookmarkStart w:id="274" w:name="_Toc146701950"/>
      <w:bookmarkStart w:id="275" w:name="_Toc146701971"/>
      <w:r w:rsidRPr="00B55118">
        <w:rPr>
          <w:rFonts w:eastAsia="宋体"/>
        </w:rPr>
        <w:t>Type 2A channel access procedure can</w:t>
      </w:r>
      <w:r w:rsidR="0084126F">
        <w:rPr>
          <w:rFonts w:eastAsia="宋体" w:hint="eastAsia"/>
        </w:rPr>
        <w:t>not</w:t>
      </w:r>
      <w:r w:rsidRPr="00B55118">
        <w:rPr>
          <w:rFonts w:eastAsia="宋体"/>
        </w:rPr>
        <w:t xml:space="preserve"> be used for PSFCH </w:t>
      </w:r>
      <w:r w:rsidR="0084126F">
        <w:rPr>
          <w:rFonts w:eastAsia="宋体"/>
        </w:rPr>
        <w:t>without</w:t>
      </w:r>
      <w:r w:rsidRPr="00B55118">
        <w:rPr>
          <w:rFonts w:eastAsia="宋体"/>
        </w:rPr>
        <w:t xml:space="preserve"> a</w:t>
      </w:r>
      <w:r w:rsidR="00DB1672">
        <w:rPr>
          <w:rFonts w:eastAsia="宋体"/>
        </w:rPr>
        <w:t>n</w:t>
      </w:r>
      <w:r w:rsidRPr="00B55118">
        <w:rPr>
          <w:rFonts w:eastAsia="宋体"/>
        </w:rPr>
        <w:t xml:space="preserve"> </w:t>
      </w:r>
      <w:r w:rsidR="00B478C0">
        <w:rPr>
          <w:rFonts w:eastAsia="宋体"/>
        </w:rPr>
        <w:t xml:space="preserve">SL </w:t>
      </w:r>
      <w:r w:rsidRPr="00B55118">
        <w:rPr>
          <w:rFonts w:eastAsia="宋体"/>
        </w:rPr>
        <w:t>CO.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6B0AC60" w14:textId="0EB12C83" w:rsidR="00AE0AA9" w:rsidRDefault="00D66D39" w:rsidP="00AE0AA9">
      <w:pPr>
        <w:spacing w:before="156" w:after="156"/>
        <w:rPr>
          <w:rFonts w:eastAsia="宋体" w:cs="Times New Roman"/>
        </w:rPr>
      </w:pPr>
      <w:r>
        <w:lastRenderedPageBreak/>
        <w:t>For a UE that access</w:t>
      </w:r>
      <w:r w:rsidR="00F27771">
        <w:t>e</w:t>
      </w:r>
      <w:r w:rsidR="005D1882">
        <w:t>s</w:t>
      </w:r>
      <w:r>
        <w:t xml:space="preserve"> the channel for PSFCH transmission(s), </w:t>
      </w:r>
      <w:r w:rsidR="00506A6A">
        <w:t>an</w:t>
      </w:r>
      <w:r>
        <w:t xml:space="preserve"> SL CO</w:t>
      </w:r>
      <w:r w:rsidR="00506A6A">
        <w:t xml:space="preserve"> starts from the PSFCH transmission may be initiated.</w:t>
      </w:r>
      <w:r w:rsidR="00C26CA8">
        <w:rPr>
          <w:rFonts w:eastAsia="宋体" w:cs="Times New Roman"/>
        </w:rPr>
        <w:t xml:space="preserve"> </w:t>
      </w:r>
      <w:r w:rsidR="00506A6A">
        <w:rPr>
          <w:rFonts w:eastAsia="宋体" w:cs="Times New Roman"/>
        </w:rPr>
        <w:t>B</w:t>
      </w:r>
      <w:r w:rsidR="00C26CA8">
        <w:rPr>
          <w:rFonts w:eastAsia="宋体" w:cs="Times New Roman"/>
        </w:rPr>
        <w:t>ut</w:t>
      </w:r>
      <w:r w:rsidR="00506A6A">
        <w:rPr>
          <w:rFonts w:eastAsia="宋体" w:cs="Times New Roman"/>
        </w:rPr>
        <w:t xml:space="preserve"> for the</w:t>
      </w:r>
      <w:r w:rsidR="00AE0AA9">
        <w:rPr>
          <w:rFonts w:eastAsia="宋体" w:cs="Times New Roman"/>
        </w:rPr>
        <w:t xml:space="preserve"> SL CO </w:t>
      </w:r>
      <w:r w:rsidR="00506A6A">
        <w:rPr>
          <w:rFonts w:eastAsia="宋体" w:cs="Times New Roman"/>
        </w:rPr>
        <w:t>starting</w:t>
      </w:r>
      <w:r w:rsidR="00AE0AA9">
        <w:rPr>
          <w:rFonts w:eastAsia="宋体" w:cs="Times New Roman"/>
        </w:rPr>
        <w:t xml:space="preserve"> from a PSFCH symbol</w:t>
      </w:r>
      <w:r w:rsidR="002D2187">
        <w:rPr>
          <w:rFonts w:eastAsia="宋体" w:cs="Times New Roman"/>
        </w:rPr>
        <w:t>, the init</w:t>
      </w:r>
      <w:r w:rsidR="009349A8">
        <w:rPr>
          <w:rFonts w:eastAsia="宋体" w:cs="Times New Roman"/>
        </w:rPr>
        <w:t>i</w:t>
      </w:r>
      <w:r w:rsidR="002D2187">
        <w:rPr>
          <w:rFonts w:eastAsia="宋体" w:cs="Times New Roman"/>
        </w:rPr>
        <w:t xml:space="preserve">ating UE </w:t>
      </w:r>
      <w:r w:rsidR="00C26CA8">
        <w:rPr>
          <w:rFonts w:eastAsia="宋体" w:cs="Times New Roman"/>
        </w:rPr>
        <w:t xml:space="preserve">may </w:t>
      </w:r>
      <w:r w:rsidR="008348F1">
        <w:rPr>
          <w:rFonts w:eastAsia="宋体" w:cs="Times New Roman"/>
        </w:rPr>
        <w:t xml:space="preserve">have no </w:t>
      </w:r>
      <w:r w:rsidR="00AE0AA9">
        <w:rPr>
          <w:rFonts w:eastAsia="宋体" w:cs="Times New Roman"/>
        </w:rPr>
        <w:t xml:space="preserve">PSCCH/PSSCH </w:t>
      </w:r>
      <w:r w:rsidR="008348F1">
        <w:rPr>
          <w:rFonts w:eastAsia="宋体" w:cs="Times New Roman"/>
        </w:rPr>
        <w:t xml:space="preserve">to be transmitted </w:t>
      </w:r>
      <w:r w:rsidR="00C26CA8">
        <w:rPr>
          <w:rFonts w:eastAsia="宋体" w:cs="Times New Roman"/>
        </w:rPr>
        <w:t>in the following slot</w:t>
      </w:r>
      <w:r w:rsidR="008348F1">
        <w:rPr>
          <w:rFonts w:eastAsia="宋体" w:cs="Times New Roman"/>
        </w:rPr>
        <w:t>,</w:t>
      </w:r>
      <w:r w:rsidR="00C26CA8">
        <w:rPr>
          <w:rFonts w:eastAsia="宋体" w:cs="Times New Roman"/>
        </w:rPr>
        <w:t xml:space="preserve"> and</w:t>
      </w:r>
      <w:r w:rsidR="00AE0AA9">
        <w:rPr>
          <w:rFonts w:eastAsia="宋体" w:cs="Times New Roman"/>
        </w:rPr>
        <w:t xml:space="preserve"> </w:t>
      </w:r>
      <w:r w:rsidR="008348F1">
        <w:rPr>
          <w:rFonts w:eastAsia="宋体" w:cs="Times New Roman"/>
        </w:rPr>
        <w:t xml:space="preserve">then </w:t>
      </w:r>
      <w:r w:rsidR="00AE0AA9">
        <w:rPr>
          <w:rFonts w:eastAsia="宋体" w:cs="Times New Roman"/>
        </w:rPr>
        <w:t>the SL CO can</w:t>
      </w:r>
      <w:r w:rsidR="00C26CA8">
        <w:rPr>
          <w:rFonts w:eastAsia="宋体" w:cs="Times New Roman"/>
        </w:rPr>
        <w:t>not</w:t>
      </w:r>
      <w:r w:rsidR="00AE0AA9">
        <w:rPr>
          <w:rFonts w:eastAsia="宋体" w:cs="Times New Roman"/>
        </w:rPr>
        <w:t xml:space="preserve"> be shared with other UEs</w:t>
      </w:r>
      <w:r w:rsidR="00DA17BF">
        <w:rPr>
          <w:rFonts w:eastAsia="宋体" w:cs="Times New Roman"/>
        </w:rPr>
        <w:t xml:space="preserve"> without COT sharing information.</w:t>
      </w:r>
      <w:r w:rsidR="00AE0AA9">
        <w:rPr>
          <w:rFonts w:eastAsia="宋体" w:cs="Times New Roman"/>
        </w:rPr>
        <w:t xml:space="preserve"> To avoid extra complexity, we prefer not to support initiating a shared CO from a channel access procedure for PSFCH transmission</w:t>
      </w:r>
      <w:r w:rsidR="005510DA">
        <w:rPr>
          <w:rFonts w:eastAsia="宋体" w:cs="Times New Roman"/>
        </w:rPr>
        <w:t>(</w:t>
      </w:r>
      <w:r w:rsidR="00AE0AA9">
        <w:rPr>
          <w:rFonts w:eastAsia="宋体" w:cs="Times New Roman"/>
        </w:rPr>
        <w:t>s</w:t>
      </w:r>
      <w:r w:rsidR="005510DA">
        <w:rPr>
          <w:rFonts w:eastAsia="宋体" w:cs="Times New Roman"/>
        </w:rPr>
        <w:t>)</w:t>
      </w:r>
      <w:r w:rsidR="00AE0AA9">
        <w:rPr>
          <w:rFonts w:eastAsia="宋体" w:cs="Times New Roman"/>
        </w:rPr>
        <w:t xml:space="preserve">. </w:t>
      </w:r>
    </w:p>
    <w:p w14:paraId="12D1AF0D" w14:textId="08D54A54" w:rsidR="00AE0AA9" w:rsidRPr="00872E38" w:rsidRDefault="00AE0AA9" w:rsidP="00AE0AA9">
      <w:pPr>
        <w:pStyle w:val="1st-Proposal-YJ"/>
        <w:spacing w:before="156" w:after="156"/>
        <w:rPr>
          <w:rFonts w:eastAsia="宋体"/>
        </w:rPr>
      </w:pPr>
      <w:bookmarkStart w:id="276" w:name="_Toc134109245"/>
      <w:bookmarkStart w:id="277" w:name="_Toc134109493"/>
      <w:bookmarkStart w:id="278" w:name="_Toc134109561"/>
      <w:bookmarkStart w:id="279" w:name="_Toc134109598"/>
      <w:bookmarkStart w:id="280" w:name="_Toc134112610"/>
      <w:bookmarkStart w:id="281" w:name="_Toc134112639"/>
      <w:bookmarkStart w:id="282" w:name="_Toc134112668"/>
      <w:bookmarkStart w:id="283" w:name="_Toc134112697"/>
      <w:bookmarkStart w:id="284" w:name="_Toc134436125"/>
      <w:bookmarkStart w:id="285" w:name="_Toc134436154"/>
      <w:bookmarkStart w:id="286" w:name="_Toc134438769"/>
      <w:bookmarkStart w:id="287" w:name="_Toc134438798"/>
      <w:bookmarkStart w:id="288" w:name="_Toc134439028"/>
      <w:bookmarkStart w:id="289" w:name="_Toc134439057"/>
      <w:bookmarkStart w:id="290" w:name="_Toc134439276"/>
      <w:bookmarkStart w:id="291" w:name="_Toc134439305"/>
      <w:bookmarkStart w:id="292" w:name="_Toc134439824"/>
      <w:bookmarkStart w:id="293" w:name="_Toc134439853"/>
      <w:bookmarkStart w:id="294" w:name="_Toc134439908"/>
      <w:bookmarkStart w:id="295" w:name="_Toc134717034"/>
      <w:bookmarkStart w:id="296" w:name="_Toc134717063"/>
      <w:bookmarkStart w:id="297" w:name="_Toc134779505"/>
      <w:bookmarkStart w:id="298" w:name="_Toc134779534"/>
      <w:bookmarkStart w:id="299" w:name="_Toc134780211"/>
      <w:bookmarkStart w:id="300" w:name="_Toc134780240"/>
      <w:bookmarkStart w:id="301" w:name="_Toc134784178"/>
      <w:bookmarkStart w:id="302" w:name="_Toc140068983"/>
      <w:bookmarkStart w:id="303" w:name="_Toc140069007"/>
      <w:bookmarkStart w:id="304" w:name="_Toc140069041"/>
      <w:bookmarkStart w:id="305" w:name="_Toc140069064"/>
      <w:bookmarkStart w:id="306" w:name="_Toc140069087"/>
      <w:bookmarkStart w:id="307" w:name="_Toc140069110"/>
      <w:bookmarkStart w:id="308" w:name="_Toc141884738"/>
      <w:bookmarkStart w:id="309" w:name="_Toc141884762"/>
      <w:bookmarkStart w:id="310" w:name="_Toc141885729"/>
      <w:bookmarkStart w:id="311" w:name="_Toc141885752"/>
      <w:bookmarkStart w:id="312" w:name="_Toc141886137"/>
      <w:bookmarkStart w:id="313" w:name="_Toc141886229"/>
      <w:bookmarkStart w:id="314" w:name="_Toc141886924"/>
      <w:bookmarkStart w:id="315" w:name="_Toc141887113"/>
      <w:bookmarkStart w:id="316" w:name="_Toc141887136"/>
      <w:bookmarkStart w:id="317" w:name="_Toc141887257"/>
      <w:bookmarkStart w:id="318" w:name="_Toc141887280"/>
      <w:bookmarkStart w:id="319" w:name="_Toc141887973"/>
      <w:bookmarkStart w:id="320" w:name="_Toc141887996"/>
      <w:bookmarkStart w:id="321" w:name="_Toc141888028"/>
      <w:bookmarkStart w:id="322" w:name="_Toc141888051"/>
      <w:bookmarkStart w:id="323" w:name="_Toc141888114"/>
      <w:bookmarkStart w:id="324" w:name="_Toc141888137"/>
      <w:bookmarkStart w:id="325" w:name="_Toc141888703"/>
      <w:bookmarkStart w:id="326" w:name="_Toc141888726"/>
      <w:bookmarkStart w:id="327" w:name="_Toc142058446"/>
      <w:bookmarkStart w:id="328" w:name="_Toc142058472"/>
      <w:bookmarkStart w:id="329" w:name="_Toc142058498"/>
      <w:bookmarkStart w:id="330" w:name="_Toc142058524"/>
      <w:bookmarkStart w:id="331" w:name="_Toc142059468"/>
      <w:bookmarkStart w:id="332" w:name="_Toc142059494"/>
      <w:bookmarkStart w:id="333" w:name="_Toc142059718"/>
      <w:bookmarkStart w:id="334" w:name="_Toc142059744"/>
      <w:bookmarkStart w:id="335" w:name="_Toc142293328"/>
      <w:bookmarkStart w:id="336" w:name="_Toc142555199"/>
      <w:bookmarkStart w:id="337" w:name="_Toc142555224"/>
      <w:bookmarkStart w:id="338" w:name="_Toc142555456"/>
      <w:bookmarkStart w:id="339" w:name="_Toc142555481"/>
      <w:bookmarkStart w:id="340" w:name="_Toc142555730"/>
      <w:bookmarkStart w:id="341" w:name="_Toc142555755"/>
      <w:bookmarkStart w:id="342" w:name="_Toc142555780"/>
      <w:bookmarkStart w:id="343" w:name="_Toc145938643"/>
      <w:bookmarkStart w:id="344" w:name="_Toc145949099"/>
      <w:bookmarkStart w:id="345" w:name="_Toc145949121"/>
      <w:bookmarkStart w:id="346" w:name="_Toc146029887"/>
      <w:bookmarkStart w:id="347" w:name="_Toc146029906"/>
      <w:bookmarkStart w:id="348" w:name="_Toc146029950"/>
      <w:bookmarkStart w:id="349" w:name="_Toc146029969"/>
      <w:bookmarkStart w:id="350" w:name="_Toc146030037"/>
      <w:bookmarkStart w:id="351" w:name="_Toc146030056"/>
      <w:bookmarkStart w:id="352" w:name="_Toc146032478"/>
      <w:bookmarkStart w:id="353" w:name="_Toc146032497"/>
      <w:bookmarkStart w:id="354" w:name="_Toc146032794"/>
      <w:bookmarkStart w:id="355" w:name="_Toc146032813"/>
      <w:bookmarkStart w:id="356" w:name="_Toc146111102"/>
      <w:bookmarkStart w:id="357" w:name="_Toc146111122"/>
      <w:bookmarkStart w:id="358" w:name="_Toc146111153"/>
      <w:bookmarkStart w:id="359" w:name="_Toc146111173"/>
      <w:bookmarkStart w:id="360" w:name="_Toc146111548"/>
      <w:bookmarkStart w:id="361" w:name="_Toc146111590"/>
      <w:bookmarkStart w:id="362" w:name="_Toc146112116"/>
      <w:bookmarkStart w:id="363" w:name="_Toc146112245"/>
      <w:bookmarkStart w:id="364" w:name="_Toc146112265"/>
      <w:bookmarkStart w:id="365" w:name="_Toc146112627"/>
      <w:bookmarkStart w:id="366" w:name="_Toc146112647"/>
      <w:bookmarkStart w:id="367" w:name="_Toc146112740"/>
      <w:bookmarkStart w:id="368" w:name="_Toc146112760"/>
      <w:bookmarkStart w:id="369" w:name="_Toc146113560"/>
      <w:bookmarkStart w:id="370" w:name="_Toc146113580"/>
      <w:bookmarkStart w:id="371" w:name="_Toc146529507"/>
      <w:bookmarkStart w:id="372" w:name="_Toc146529528"/>
      <w:bookmarkStart w:id="373" w:name="_Toc146529737"/>
      <w:bookmarkStart w:id="374" w:name="_Toc146529758"/>
      <w:bookmarkStart w:id="375" w:name="_Toc146529798"/>
      <w:bookmarkStart w:id="376" w:name="_Toc146529819"/>
      <w:bookmarkStart w:id="377" w:name="_Toc146532969"/>
      <w:bookmarkStart w:id="378" w:name="_Toc146532990"/>
      <w:bookmarkStart w:id="379" w:name="_Toc146533070"/>
      <w:bookmarkStart w:id="380" w:name="_Toc146533091"/>
      <w:bookmarkStart w:id="381" w:name="_Toc146533112"/>
      <w:bookmarkStart w:id="382" w:name="_Toc146533133"/>
      <w:bookmarkStart w:id="383" w:name="_Toc146533154"/>
      <w:bookmarkStart w:id="384" w:name="_Toc146533175"/>
      <w:bookmarkStart w:id="385" w:name="_Toc146701031"/>
      <w:bookmarkStart w:id="386" w:name="_Toc146701052"/>
      <w:bookmarkStart w:id="387" w:name="_Toc146701896"/>
      <w:bookmarkStart w:id="388" w:name="_Toc146701917"/>
      <w:bookmarkStart w:id="389" w:name="_Toc146701951"/>
      <w:bookmarkStart w:id="390" w:name="_Toc146701972"/>
      <w:r w:rsidRPr="00872E38">
        <w:rPr>
          <w:rFonts w:eastAsia="宋体"/>
        </w:rPr>
        <w:t>Do not support initiat</w:t>
      </w:r>
      <w:r>
        <w:rPr>
          <w:rFonts w:eastAsia="宋体"/>
        </w:rPr>
        <w:t>ing</w:t>
      </w:r>
      <w:r w:rsidRPr="00872E38">
        <w:rPr>
          <w:rFonts w:eastAsia="宋体"/>
        </w:rPr>
        <w:t xml:space="preserve"> a shared CO from</w:t>
      </w:r>
      <w:r>
        <w:rPr>
          <w:rFonts w:eastAsia="宋体"/>
        </w:rPr>
        <w:t xml:space="preserve"> a</w:t>
      </w:r>
      <w:r w:rsidR="00634861">
        <w:rPr>
          <w:rFonts w:eastAsia="宋体"/>
        </w:rPr>
        <w:t xml:space="preserve"> </w:t>
      </w:r>
      <w:r w:rsidRPr="00872E38">
        <w:rPr>
          <w:rFonts w:eastAsia="宋体"/>
        </w:rPr>
        <w:t>channel access procedure for PSFCH transmission</w:t>
      </w:r>
      <w:r w:rsidR="00634861">
        <w:rPr>
          <w:rFonts w:eastAsia="宋体"/>
        </w:rPr>
        <w:t>(</w:t>
      </w:r>
      <w:r w:rsidRPr="00872E38">
        <w:rPr>
          <w:rFonts w:eastAsia="宋体"/>
        </w:rPr>
        <w:t>s</w:t>
      </w:r>
      <w:r w:rsidR="00634861">
        <w:rPr>
          <w:rFonts w:eastAsia="宋体"/>
        </w:rPr>
        <w:t>)</w:t>
      </w:r>
      <w:r w:rsidRPr="00872E38">
        <w:rPr>
          <w:rFonts w:eastAsia="宋体"/>
        </w:rPr>
        <w: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7F8158F" w14:textId="2753311D" w:rsidR="001C2099" w:rsidRDefault="001C2099" w:rsidP="001C2099">
      <w:pPr>
        <w:spacing w:before="156" w:after="156"/>
        <w:rPr>
          <w:rFonts w:eastAsia="宋体" w:cs="Times New Roman"/>
        </w:rPr>
      </w:pPr>
      <w:r>
        <w:rPr>
          <w:rFonts w:eastAsia="宋体" w:cs="Times New Roman"/>
        </w:rPr>
        <w:t>Based on the agreement, f</w:t>
      </w:r>
      <w:r w:rsidRPr="002B3905">
        <w:rPr>
          <w:rFonts w:eastAsia="宋体" w:cs="Times New Roman"/>
        </w:rPr>
        <w:t>or a sidelink</w:t>
      </w:r>
      <w:r w:rsidRPr="006326A7">
        <w:rPr>
          <w:rFonts w:eastAsia="宋体" w:cs="Times New Roman"/>
        </w:rPr>
        <w:t xml:space="preserve"> UE wi</w:t>
      </w:r>
      <w:r w:rsidRPr="00CA34FD">
        <w:rPr>
          <w:rFonts w:eastAsia="宋体" w:cs="Times New Roman"/>
        </w:rPr>
        <w:t>th multiple PSFC</w:t>
      </w:r>
      <w:r w:rsidRPr="00D434CF">
        <w:rPr>
          <w:rFonts w:eastAsia="宋体" w:cs="Times New Roman"/>
        </w:rPr>
        <w:t>H</w:t>
      </w:r>
      <w:r>
        <w:rPr>
          <w:rFonts w:eastAsia="宋体" w:cs="Times New Roman"/>
        </w:rPr>
        <w:t xml:space="preserve"> transmissions</w:t>
      </w:r>
      <w:r w:rsidRPr="00D434CF">
        <w:rPr>
          <w:rFonts w:eastAsia="宋体" w:cs="Times New Roman"/>
        </w:rPr>
        <w:t xml:space="preserve"> </w:t>
      </w:r>
      <w:r w:rsidRPr="002B3905">
        <w:rPr>
          <w:rFonts w:eastAsia="宋体" w:cs="Times New Roman"/>
        </w:rPr>
        <w:t xml:space="preserve">on multiple </w:t>
      </w:r>
      <w:r w:rsidR="00223577">
        <w:rPr>
          <w:rFonts w:eastAsia="宋体" w:cs="Times New Roman"/>
        </w:rPr>
        <w:t>RB sets</w:t>
      </w:r>
      <w:r w:rsidRPr="006326A7">
        <w:rPr>
          <w:rFonts w:eastAsia="宋体" w:cs="Times New Roman"/>
        </w:rPr>
        <w:t>,</w:t>
      </w:r>
      <w:r w:rsidRPr="00CA34FD">
        <w:rPr>
          <w:rFonts w:eastAsia="宋体" w:cs="Times New Roman"/>
        </w:rPr>
        <w:t xml:space="preserve"> </w:t>
      </w:r>
      <w:r>
        <w:rPr>
          <w:rFonts w:eastAsia="宋体" w:cs="Times New Roman"/>
        </w:rPr>
        <w:t>both NR-U DL Type A and Type B multi-channel access schemes are supported. As using Type A or Type B for multi-channel access is up to gNB implementation in NR-U, a similar rule should be used for SL-U, and we prefer to support that it is up to UE implementation to perform either Type A or Type B multi-channel access procedure for multiple PSFCH transmissions on multiple channels.</w:t>
      </w:r>
    </w:p>
    <w:p w14:paraId="23B0C331" w14:textId="5A732D78" w:rsidR="001C2099" w:rsidRPr="00B83812" w:rsidRDefault="001C2099" w:rsidP="00B83812">
      <w:pPr>
        <w:pStyle w:val="1st-Proposal-YJ"/>
        <w:spacing w:before="156" w:after="156"/>
        <w:rPr>
          <w:rFonts w:eastAsia="宋体"/>
        </w:rPr>
      </w:pPr>
      <w:bookmarkStart w:id="391" w:name="_Toc126248543"/>
      <w:bookmarkStart w:id="392" w:name="_Toc126248583"/>
      <w:bookmarkStart w:id="393" w:name="_Toc126248871"/>
      <w:bookmarkStart w:id="394" w:name="_Toc126248911"/>
      <w:bookmarkStart w:id="395" w:name="_Toc126744733"/>
      <w:bookmarkStart w:id="396" w:name="_Toc126744770"/>
      <w:bookmarkStart w:id="397" w:name="_Toc126744807"/>
      <w:bookmarkStart w:id="398" w:name="_Toc126744844"/>
      <w:bookmarkStart w:id="399" w:name="_Toc126744881"/>
      <w:bookmarkStart w:id="400" w:name="_Toc126744918"/>
      <w:bookmarkStart w:id="401" w:name="_Toc126746366"/>
      <w:bookmarkStart w:id="402" w:name="_Toc126746548"/>
      <w:bookmarkStart w:id="403" w:name="_Toc126746585"/>
      <w:bookmarkStart w:id="404" w:name="_Toc127447030"/>
      <w:bookmarkStart w:id="405" w:name="_Toc127447067"/>
      <w:bookmarkStart w:id="406" w:name="_Toc127447170"/>
      <w:bookmarkStart w:id="407" w:name="_Toc127447312"/>
      <w:bookmarkStart w:id="408" w:name="_Toc127447349"/>
      <w:bookmarkStart w:id="409" w:name="_Toc127447426"/>
      <w:bookmarkStart w:id="410" w:name="_Toc127447463"/>
      <w:bookmarkStart w:id="411" w:name="_Toc127448820"/>
      <w:bookmarkStart w:id="412" w:name="_Toc127448857"/>
      <w:bookmarkStart w:id="413" w:name="_Toc127449031"/>
      <w:bookmarkStart w:id="414" w:name="_Toc127449068"/>
      <w:bookmarkStart w:id="415" w:name="_Toc127449474"/>
      <w:bookmarkStart w:id="416" w:name="_Toc127449511"/>
      <w:bookmarkStart w:id="417" w:name="_Toc127449664"/>
      <w:bookmarkStart w:id="418" w:name="_Toc127449701"/>
      <w:bookmarkStart w:id="419" w:name="_Toc129010175"/>
      <w:bookmarkStart w:id="420" w:name="_Toc129010210"/>
      <w:bookmarkStart w:id="421" w:name="_Toc129082043"/>
      <w:bookmarkStart w:id="422" w:name="_Toc129082079"/>
      <w:bookmarkStart w:id="423" w:name="_Toc129097429"/>
      <w:bookmarkStart w:id="424" w:name="_Toc129097468"/>
      <w:bookmarkStart w:id="425" w:name="_Toc131411232"/>
      <w:bookmarkStart w:id="426" w:name="_Toc131411271"/>
      <w:bookmarkStart w:id="427" w:name="_Toc131411310"/>
      <w:bookmarkStart w:id="428" w:name="_Toc131411349"/>
      <w:bookmarkStart w:id="429" w:name="_Toc131411741"/>
      <w:bookmarkStart w:id="430" w:name="_Toc131411957"/>
      <w:bookmarkStart w:id="431" w:name="_Toc131762663"/>
      <w:bookmarkStart w:id="432" w:name="_Toc131762702"/>
      <w:bookmarkStart w:id="433" w:name="_Toc131762837"/>
      <w:bookmarkStart w:id="434" w:name="_Toc131762876"/>
      <w:bookmarkStart w:id="435" w:name="_Toc131763315"/>
      <w:bookmarkStart w:id="436" w:name="_Toc134109244"/>
      <w:bookmarkStart w:id="437" w:name="_Toc134109492"/>
      <w:bookmarkStart w:id="438" w:name="_Toc134109560"/>
      <w:bookmarkStart w:id="439" w:name="_Toc134109597"/>
      <w:bookmarkStart w:id="440" w:name="_Toc134112609"/>
      <w:bookmarkStart w:id="441" w:name="_Toc134112638"/>
      <w:bookmarkStart w:id="442" w:name="_Toc134112667"/>
      <w:bookmarkStart w:id="443" w:name="_Toc134112696"/>
      <w:bookmarkStart w:id="444" w:name="_Toc134436124"/>
      <w:bookmarkStart w:id="445" w:name="_Toc134436153"/>
      <w:bookmarkStart w:id="446" w:name="_Toc134438768"/>
      <w:bookmarkStart w:id="447" w:name="_Toc134438797"/>
      <w:bookmarkStart w:id="448" w:name="_Toc134439027"/>
      <w:bookmarkStart w:id="449" w:name="_Toc134439056"/>
      <w:bookmarkStart w:id="450" w:name="_Toc134439275"/>
      <w:bookmarkStart w:id="451" w:name="_Toc134439304"/>
      <w:bookmarkStart w:id="452" w:name="_Toc134439823"/>
      <w:bookmarkStart w:id="453" w:name="_Toc134439852"/>
      <w:bookmarkStart w:id="454" w:name="_Toc134439907"/>
      <w:bookmarkStart w:id="455" w:name="_Toc134717033"/>
      <w:bookmarkStart w:id="456" w:name="_Toc134717062"/>
      <w:bookmarkStart w:id="457" w:name="_Toc134779504"/>
      <w:bookmarkStart w:id="458" w:name="_Toc134779533"/>
      <w:bookmarkStart w:id="459" w:name="_Toc134780210"/>
      <w:bookmarkStart w:id="460" w:name="_Toc134780239"/>
      <w:bookmarkStart w:id="461" w:name="_Toc134784177"/>
      <w:bookmarkStart w:id="462" w:name="_Toc140068982"/>
      <w:bookmarkStart w:id="463" w:name="_Toc140069006"/>
      <w:bookmarkStart w:id="464" w:name="_Toc140069040"/>
      <w:bookmarkStart w:id="465" w:name="_Toc140069063"/>
      <w:bookmarkStart w:id="466" w:name="_Toc140069086"/>
      <w:bookmarkStart w:id="467" w:name="_Toc140069109"/>
      <w:bookmarkStart w:id="468" w:name="_Toc141884737"/>
      <w:bookmarkStart w:id="469" w:name="_Toc141884761"/>
      <w:bookmarkStart w:id="470" w:name="_Toc141885728"/>
      <w:bookmarkStart w:id="471" w:name="_Toc141885751"/>
      <w:bookmarkStart w:id="472" w:name="_Toc141886136"/>
      <w:bookmarkStart w:id="473" w:name="_Toc141886228"/>
      <w:bookmarkStart w:id="474" w:name="_Toc141886923"/>
      <w:bookmarkStart w:id="475" w:name="_Toc141887112"/>
      <w:bookmarkStart w:id="476" w:name="_Toc141887135"/>
      <w:bookmarkStart w:id="477" w:name="_Toc141887256"/>
      <w:bookmarkStart w:id="478" w:name="_Toc141887279"/>
      <w:bookmarkStart w:id="479" w:name="_Toc141887972"/>
      <w:bookmarkStart w:id="480" w:name="_Toc141887995"/>
      <w:bookmarkStart w:id="481" w:name="_Toc141888027"/>
      <w:bookmarkStart w:id="482" w:name="_Toc141888050"/>
      <w:bookmarkStart w:id="483" w:name="_Toc141888113"/>
      <w:bookmarkStart w:id="484" w:name="_Toc141888136"/>
      <w:bookmarkStart w:id="485" w:name="_Toc141888702"/>
      <w:bookmarkStart w:id="486" w:name="_Toc141888725"/>
      <w:bookmarkStart w:id="487" w:name="_Toc142058445"/>
      <w:bookmarkStart w:id="488" w:name="_Toc142058471"/>
      <w:bookmarkStart w:id="489" w:name="_Toc142058497"/>
      <w:bookmarkStart w:id="490" w:name="_Toc142058523"/>
      <w:bookmarkStart w:id="491" w:name="_Toc142059467"/>
      <w:bookmarkStart w:id="492" w:name="_Toc142059493"/>
      <w:bookmarkStart w:id="493" w:name="_Toc142059717"/>
      <w:bookmarkStart w:id="494" w:name="_Toc142059743"/>
      <w:bookmarkStart w:id="495" w:name="_Toc142293327"/>
      <w:bookmarkStart w:id="496" w:name="_Toc142555198"/>
      <w:bookmarkStart w:id="497" w:name="_Toc142555223"/>
      <w:bookmarkStart w:id="498" w:name="_Toc142555455"/>
      <w:bookmarkStart w:id="499" w:name="_Toc142555480"/>
      <w:bookmarkStart w:id="500" w:name="_Toc142555729"/>
      <w:bookmarkStart w:id="501" w:name="_Toc142555754"/>
      <w:bookmarkStart w:id="502" w:name="_Toc142555779"/>
      <w:bookmarkStart w:id="503" w:name="_Toc145938642"/>
      <w:bookmarkStart w:id="504" w:name="_Toc145949098"/>
      <w:bookmarkStart w:id="505" w:name="_Toc145949120"/>
      <w:bookmarkStart w:id="506" w:name="_Toc146029888"/>
      <w:bookmarkStart w:id="507" w:name="_Toc146029907"/>
      <w:bookmarkStart w:id="508" w:name="_Toc146029951"/>
      <w:bookmarkStart w:id="509" w:name="_Toc146029970"/>
      <w:bookmarkStart w:id="510" w:name="_Toc146030038"/>
      <w:bookmarkStart w:id="511" w:name="_Toc146030057"/>
      <w:bookmarkStart w:id="512" w:name="_Toc146032479"/>
      <w:bookmarkStart w:id="513" w:name="_Toc146032498"/>
      <w:bookmarkStart w:id="514" w:name="_Toc146032795"/>
      <w:bookmarkStart w:id="515" w:name="_Toc146032814"/>
      <w:bookmarkStart w:id="516" w:name="_Toc146111103"/>
      <w:bookmarkStart w:id="517" w:name="_Toc146111123"/>
      <w:bookmarkStart w:id="518" w:name="_Toc146111154"/>
      <w:bookmarkStart w:id="519" w:name="_Toc146111174"/>
      <w:bookmarkStart w:id="520" w:name="_Toc146111549"/>
      <w:bookmarkStart w:id="521" w:name="_Toc146111591"/>
      <w:bookmarkStart w:id="522" w:name="_Toc146112117"/>
      <w:bookmarkStart w:id="523" w:name="_Toc146112246"/>
      <w:bookmarkStart w:id="524" w:name="_Toc146112266"/>
      <w:bookmarkStart w:id="525" w:name="_Toc146112628"/>
      <w:bookmarkStart w:id="526" w:name="_Toc146112648"/>
      <w:bookmarkStart w:id="527" w:name="_Toc146112741"/>
      <w:bookmarkStart w:id="528" w:name="_Toc146112761"/>
      <w:bookmarkStart w:id="529" w:name="_Toc146113561"/>
      <w:bookmarkStart w:id="530" w:name="_Toc146113581"/>
      <w:bookmarkStart w:id="531" w:name="_Toc146529508"/>
      <w:bookmarkStart w:id="532" w:name="_Toc146529529"/>
      <w:bookmarkStart w:id="533" w:name="_Toc146529738"/>
      <w:bookmarkStart w:id="534" w:name="_Toc146529759"/>
      <w:bookmarkStart w:id="535" w:name="_Toc146529799"/>
      <w:bookmarkStart w:id="536" w:name="_Toc146529820"/>
      <w:bookmarkStart w:id="537" w:name="_Toc146532970"/>
      <w:bookmarkStart w:id="538" w:name="_Toc146532991"/>
      <w:bookmarkStart w:id="539" w:name="_Toc146533071"/>
      <w:bookmarkStart w:id="540" w:name="_Toc146533092"/>
      <w:bookmarkStart w:id="541" w:name="_Toc146533113"/>
      <w:bookmarkStart w:id="542" w:name="_Toc146533134"/>
      <w:bookmarkStart w:id="543" w:name="_Toc146533155"/>
      <w:bookmarkStart w:id="544" w:name="_Toc146533176"/>
      <w:bookmarkStart w:id="545" w:name="_Toc146701032"/>
      <w:bookmarkStart w:id="546" w:name="_Toc146701053"/>
      <w:bookmarkStart w:id="547" w:name="_Toc146701897"/>
      <w:bookmarkStart w:id="548" w:name="_Toc146701918"/>
      <w:bookmarkStart w:id="549" w:name="_Toc146701952"/>
      <w:bookmarkStart w:id="550" w:name="_Toc146701973"/>
      <w:r>
        <w:rPr>
          <w:rFonts w:eastAsia="宋体"/>
        </w:rPr>
        <w:t>It is up to UE implementation to perform either Type A or Type B multi-channel access procedure for multiple PSFCH transmissions on multiple channels.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E9EFF30" w14:textId="36D0F9A0" w:rsidR="004551EF" w:rsidRPr="00966842" w:rsidRDefault="004551EF" w:rsidP="00966842">
      <w:pPr>
        <w:pStyle w:val="1"/>
        <w:numPr>
          <w:ilvl w:val="0"/>
          <w:numId w:val="1"/>
        </w:numPr>
        <w:spacing w:before="156" w:after="156"/>
        <w:rPr>
          <w:rFonts w:eastAsia="宋体"/>
          <w:sz w:val="28"/>
          <w:szCs w:val="28"/>
        </w:rPr>
      </w:pPr>
      <w:r w:rsidRPr="00966842">
        <w:rPr>
          <w:rFonts w:eastAsia="宋体"/>
          <w:sz w:val="28"/>
          <w:szCs w:val="28"/>
        </w:rPr>
        <w:t xml:space="preserve">CPE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A089942" w14:textId="1713B187" w:rsidR="00EB25C1" w:rsidRDefault="001D2EE0" w:rsidP="00640A18">
      <w:pPr>
        <w:spacing w:before="156" w:after="156"/>
        <w:rPr>
          <w:rFonts w:eastAsia="宋体" w:cs="Times New Roman"/>
        </w:rPr>
      </w:pPr>
      <w:r>
        <w:rPr>
          <w:rFonts w:eastAsia="宋体" w:cs="Times New Roman" w:hint="eastAsia"/>
        </w:rPr>
        <w:t>T</w:t>
      </w:r>
      <w:r>
        <w:rPr>
          <w:rFonts w:eastAsia="宋体" w:cs="Times New Roman"/>
        </w:rPr>
        <w:t>he following agreement</w:t>
      </w:r>
      <w:r w:rsidR="009C7136">
        <w:rPr>
          <w:rFonts w:eastAsia="宋体" w:cs="Times New Roman"/>
        </w:rPr>
        <w:t>s</w:t>
      </w:r>
      <w:r w:rsidR="00E6317D">
        <w:rPr>
          <w:rFonts w:eastAsia="宋体" w:cs="Times New Roman"/>
        </w:rPr>
        <w:t xml:space="preserve"> for</w:t>
      </w:r>
      <w:r w:rsidR="00910369">
        <w:rPr>
          <w:rFonts w:eastAsia="宋体" w:cs="Times New Roman"/>
        </w:rPr>
        <w:t xml:space="preserve"> CPE are</w:t>
      </w:r>
      <w:r>
        <w:rPr>
          <w:rFonts w:eastAsia="宋体" w:cs="Times New Roman"/>
        </w:rPr>
        <w:t xml:space="preserve"> achieved in </w:t>
      </w:r>
      <w:r w:rsidR="00B106A3">
        <w:rPr>
          <w:rFonts w:eastAsia="宋体" w:cs="Times New Roman"/>
        </w:rPr>
        <w:t xml:space="preserve">previous </w:t>
      </w:r>
      <w:r>
        <w:rPr>
          <w:rFonts w:eastAsia="宋体" w:cs="Times New Roman"/>
        </w:rPr>
        <w:t>meeting</w:t>
      </w:r>
      <w:r w:rsidR="00B106A3">
        <w:rPr>
          <w:rFonts w:eastAsia="宋体" w:cs="Times New Roman"/>
        </w:rPr>
        <w:t>s</w:t>
      </w:r>
      <w:r>
        <w:rPr>
          <w:rFonts w:eastAsia="宋体" w:cs="Times New Roman"/>
        </w:rPr>
        <w:t xml:space="preserve">, </w:t>
      </w:r>
      <w:r w:rsidR="00B14083">
        <w:rPr>
          <w:rFonts w:eastAsia="宋体" w:cs="Times New Roman"/>
        </w:rPr>
        <w:t>and</w:t>
      </w:r>
      <w:r w:rsidR="002A11FC">
        <w:rPr>
          <w:rFonts w:eastAsia="宋体" w:cs="Times New Roman"/>
        </w:rPr>
        <w:t xml:space="preserve"> </w:t>
      </w:r>
      <w:r w:rsidR="002960CA">
        <w:rPr>
          <w:rFonts w:eastAsia="宋体" w:cs="Times New Roman"/>
        </w:rPr>
        <w:t>some details</w:t>
      </w:r>
      <w:r w:rsidR="002438C4">
        <w:rPr>
          <w:rFonts w:eastAsia="宋体" w:cs="Times New Roman"/>
        </w:rPr>
        <w:t xml:space="preserve"> </w:t>
      </w:r>
      <w:r w:rsidR="002A11FC">
        <w:rPr>
          <w:rFonts w:eastAsia="宋体" w:cs="Times New Roman"/>
        </w:rPr>
        <w:t xml:space="preserve">should be </w:t>
      </w:r>
      <w:r w:rsidR="00877BA5">
        <w:rPr>
          <w:rFonts w:eastAsia="宋体" w:cs="Times New Roman"/>
        </w:rPr>
        <w:t xml:space="preserve">further </w:t>
      </w:r>
      <w:r w:rsidR="002A11FC">
        <w:rPr>
          <w:rFonts w:eastAsia="宋体" w:cs="Times New Roman"/>
        </w:rPr>
        <w:t>clarified</w:t>
      </w:r>
      <w:r w:rsidR="002960CA">
        <w:rPr>
          <w:rFonts w:eastAsia="宋体" w:cs="Times New Roman"/>
        </w:rPr>
        <w:t xml:space="preserve"> and determined</w:t>
      </w:r>
      <w:r w:rsidR="002A11FC">
        <w:rPr>
          <w:rFonts w:eastAsia="宋体" w:cs="Times New Roman"/>
        </w:rPr>
        <w:t>.</w:t>
      </w:r>
    </w:p>
    <w:tbl>
      <w:tblPr>
        <w:tblStyle w:val="aa"/>
        <w:tblW w:w="0" w:type="auto"/>
        <w:tblLook w:val="04A0" w:firstRow="1" w:lastRow="0" w:firstColumn="1" w:lastColumn="0" w:noHBand="0" w:noVBand="1"/>
      </w:tblPr>
      <w:tblGrid>
        <w:gridCol w:w="9346"/>
      </w:tblGrid>
      <w:tr w:rsidR="001D2EE0" w14:paraId="757FF9C3" w14:textId="77777777" w:rsidTr="001D2EE0">
        <w:tc>
          <w:tcPr>
            <w:tcW w:w="9346" w:type="dxa"/>
          </w:tcPr>
          <w:p w14:paraId="0AA280D0" w14:textId="77777777" w:rsidR="002F23B6" w:rsidRDefault="002F23B6" w:rsidP="002F23B6">
            <w:pPr>
              <w:spacing w:before="156" w:after="156"/>
              <w:rPr>
                <w:b/>
              </w:rPr>
            </w:pPr>
            <w:r>
              <w:rPr>
                <w:rStyle w:val="af3"/>
                <w:rFonts w:eastAsia="MS Mincho"/>
                <w:highlight w:val="green"/>
              </w:rPr>
              <w:t>Agreement</w:t>
            </w:r>
          </w:p>
          <w:p w14:paraId="1734529A" w14:textId="77777777" w:rsidR="002F23B6" w:rsidRDefault="002F23B6" w:rsidP="002F23B6">
            <w:pPr>
              <w:spacing w:before="156" w:after="156"/>
              <w:rPr>
                <w:lang w:eastAsia="en-US"/>
              </w:rPr>
            </w:pPr>
            <w: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w:t>
            </w:r>
            <w:r w:rsidRPr="0083508C">
              <w:t>on. The priority level is based on the L1 priority.</w:t>
            </w:r>
          </w:p>
          <w:p w14:paraId="680F08D8" w14:textId="4D51A9C6" w:rsidR="00182A22" w:rsidRDefault="002F23B6" w:rsidP="002F23B6">
            <w:pPr>
              <w:spacing w:beforeLines="0" w:before="0" w:afterLines="0" w:after="0"/>
              <w:rPr>
                <w:bCs/>
                <w:szCs w:val="28"/>
              </w:rPr>
            </w:pPr>
            <w:r>
              <w:rPr>
                <w:bCs/>
                <w:szCs w:val="28"/>
                <w:highlight w:val="darkYellow"/>
              </w:rPr>
              <w:t xml:space="preserve"> </w:t>
            </w:r>
            <w:r w:rsidR="00182A22">
              <w:rPr>
                <w:bCs/>
                <w:szCs w:val="28"/>
                <w:highlight w:val="darkYellow"/>
              </w:rPr>
              <w:t>Working assumption</w:t>
            </w:r>
          </w:p>
          <w:p w14:paraId="23D33225" w14:textId="77777777" w:rsidR="00182A22" w:rsidRDefault="00182A22" w:rsidP="00182A22">
            <w:pPr>
              <w:pStyle w:val="a3"/>
              <w:ind w:firstLine="400"/>
              <w:rPr>
                <w:color w:val="000000"/>
                <w:szCs w:val="22"/>
                <w:lang w:eastAsia="x-none"/>
              </w:rPr>
            </w:pPr>
            <w:r>
              <w:rPr>
                <w:color w:val="000000"/>
                <w:szCs w:val="22"/>
              </w:rPr>
              <w:t>When UE performs Type 2 channel access to transmit PSCCH/PSSCH within a COT:</w:t>
            </w:r>
          </w:p>
          <w:p w14:paraId="78376997" w14:textId="77777777" w:rsidR="00182A22" w:rsidRDefault="00182A22" w:rsidP="00182A22">
            <w:pPr>
              <w:pStyle w:val="a3"/>
              <w:numPr>
                <w:ilvl w:val="0"/>
                <w:numId w:val="31"/>
              </w:numPr>
              <w:ind w:left="720" w:firstLineChars="0"/>
              <w:jc w:val="left"/>
              <w:rPr>
                <w:color w:val="000000"/>
                <w:szCs w:val="22"/>
              </w:rPr>
            </w:pPr>
            <w:r>
              <w:rPr>
                <w:color w:val="000000"/>
                <w:szCs w:val="22"/>
              </w:rPr>
              <w:t>By default, only one value is (pre-)configured for the set of CPE starting position for inside COT</w:t>
            </w:r>
          </w:p>
          <w:p w14:paraId="00DAAFE2" w14:textId="77777777" w:rsidR="00182A22" w:rsidRDefault="00182A22" w:rsidP="00182A22">
            <w:pPr>
              <w:pStyle w:val="a3"/>
              <w:numPr>
                <w:ilvl w:val="1"/>
                <w:numId w:val="31"/>
              </w:numPr>
              <w:ind w:left="1440" w:firstLineChars="0"/>
              <w:jc w:val="left"/>
              <w:rPr>
                <w:color w:val="000000"/>
                <w:szCs w:val="22"/>
              </w:rPr>
            </w:pPr>
            <w:r>
              <w:rPr>
                <w:color w:val="000000"/>
                <w:szCs w:val="22"/>
              </w:rPr>
              <w:t>The value is the default CPE starting position</w:t>
            </w:r>
          </w:p>
          <w:p w14:paraId="609A257A" w14:textId="77777777" w:rsidR="00182A22" w:rsidRDefault="00182A22" w:rsidP="00182A22">
            <w:pPr>
              <w:pStyle w:val="a3"/>
              <w:numPr>
                <w:ilvl w:val="1"/>
                <w:numId w:val="31"/>
              </w:numPr>
              <w:ind w:left="1440" w:firstLineChars="0"/>
              <w:jc w:val="left"/>
              <w:rPr>
                <w:color w:val="000000"/>
                <w:szCs w:val="22"/>
              </w:rPr>
            </w:pPr>
            <w:r>
              <w:rPr>
                <w:color w:val="000000"/>
                <w:szCs w:val="22"/>
              </w:rPr>
              <w:t>UE only use the (pre-)configured default CPE starting position</w:t>
            </w:r>
          </w:p>
          <w:p w14:paraId="149C91E4" w14:textId="77777777" w:rsidR="00182A22" w:rsidRDefault="00182A22" w:rsidP="00182A22">
            <w:pPr>
              <w:pStyle w:val="a3"/>
              <w:numPr>
                <w:ilvl w:val="0"/>
                <w:numId w:val="31"/>
              </w:numPr>
              <w:ind w:left="720" w:firstLineChars="0"/>
              <w:jc w:val="left"/>
              <w:rPr>
                <w:color w:val="000000"/>
                <w:szCs w:val="22"/>
              </w:rPr>
            </w:pPr>
            <w:r>
              <w:rPr>
                <w:color w:val="000000"/>
                <w:szCs w:val="22"/>
              </w:rPr>
              <w:t>When more than one values are (pre-)configured for the set of CPE starting position for inside COT</w:t>
            </w:r>
          </w:p>
          <w:p w14:paraId="55958B3A" w14:textId="77777777" w:rsidR="00182A22" w:rsidRDefault="00182A22" w:rsidP="00182A22">
            <w:pPr>
              <w:pStyle w:val="a3"/>
              <w:numPr>
                <w:ilvl w:val="1"/>
                <w:numId w:val="31"/>
              </w:numPr>
              <w:ind w:left="1440" w:firstLineChars="0"/>
              <w:jc w:val="left"/>
              <w:rPr>
                <w:color w:val="000000"/>
                <w:szCs w:val="22"/>
              </w:rPr>
            </w:pPr>
            <w:r>
              <w:rPr>
                <w:color w:val="000000"/>
                <w:szCs w:val="22"/>
              </w:rPr>
              <w:t>One of these values is the default CPE starting position</w:t>
            </w:r>
          </w:p>
          <w:p w14:paraId="650B2123" w14:textId="77777777" w:rsidR="00182A22" w:rsidRDefault="00182A22" w:rsidP="00182A22">
            <w:pPr>
              <w:pStyle w:val="a3"/>
              <w:numPr>
                <w:ilvl w:val="1"/>
                <w:numId w:val="31"/>
              </w:numPr>
              <w:ind w:left="1440" w:firstLineChars="0"/>
              <w:jc w:val="left"/>
              <w:rPr>
                <w:color w:val="000000"/>
                <w:szCs w:val="22"/>
              </w:rPr>
            </w:pPr>
            <w:r>
              <w:rPr>
                <w:color w:val="000000"/>
                <w:szCs w:val="22"/>
              </w:rPr>
              <w:t>UE use the same method for using CPE for the case when UE performs Type 1 channel access to initiate a COT for PSCCH/PSSCH transmission</w:t>
            </w:r>
          </w:p>
          <w:p w14:paraId="77031939" w14:textId="241324EE" w:rsidR="00182A22" w:rsidRDefault="00182A22" w:rsidP="00182A22">
            <w:pPr>
              <w:pStyle w:val="a3"/>
              <w:numPr>
                <w:ilvl w:val="0"/>
                <w:numId w:val="31"/>
              </w:numPr>
              <w:ind w:left="720" w:firstLineChars="0"/>
              <w:jc w:val="left"/>
              <w:rPr>
                <w:szCs w:val="22"/>
              </w:rPr>
            </w:pPr>
            <w:r>
              <w:rPr>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0D7C87BF" w14:textId="77777777" w:rsidR="002F23B6" w:rsidRDefault="002F23B6" w:rsidP="002F23B6">
            <w:pPr>
              <w:pStyle w:val="a3"/>
              <w:ind w:left="720" w:firstLineChars="0" w:firstLine="0"/>
              <w:jc w:val="left"/>
              <w:rPr>
                <w:szCs w:val="22"/>
              </w:rPr>
            </w:pPr>
          </w:p>
          <w:p w14:paraId="5877CBDC" w14:textId="4CEB93EC" w:rsidR="00341CF5" w:rsidRPr="00341CF5" w:rsidRDefault="00182A22" w:rsidP="00182A22">
            <w:pPr>
              <w:autoSpaceDE w:val="0"/>
              <w:autoSpaceDN w:val="0"/>
              <w:spacing w:beforeLines="0" w:before="0" w:afterLines="0" w:after="0"/>
              <w:rPr>
                <w:lang w:eastAsia="en-US"/>
              </w:rPr>
            </w:pPr>
            <w:r w:rsidRPr="00341CF5">
              <w:rPr>
                <w:b/>
                <w:bCs/>
                <w:highlight w:val="green"/>
              </w:rPr>
              <w:t xml:space="preserve"> </w:t>
            </w:r>
            <w:r w:rsidR="00341CF5" w:rsidRPr="00341CF5">
              <w:rPr>
                <w:b/>
                <w:bCs/>
                <w:highlight w:val="green"/>
              </w:rPr>
              <w:t>Agreement</w:t>
            </w:r>
          </w:p>
          <w:p w14:paraId="06D4ADE9" w14:textId="77777777" w:rsidR="00341CF5" w:rsidRPr="00341CF5" w:rsidRDefault="00341CF5" w:rsidP="00341CF5">
            <w:pPr>
              <w:spacing w:beforeLines="0" w:before="0" w:afterLines="0" w:after="0"/>
              <w:rPr>
                <w:bCs/>
                <w:color w:val="000000"/>
                <w:szCs w:val="22"/>
              </w:rPr>
            </w:pPr>
            <w:r w:rsidRPr="00341CF5">
              <w:rPr>
                <w:bCs/>
                <w:color w:val="000000"/>
                <w:szCs w:val="22"/>
              </w:rPr>
              <w:t>When UE performs Type 1 channel access to initiate a COT for PSCCH/PSSCH transmission:</w:t>
            </w:r>
          </w:p>
          <w:p w14:paraId="28208835" w14:textId="77777777" w:rsidR="00341CF5" w:rsidRPr="00341CF5" w:rsidRDefault="00341CF5" w:rsidP="00341CF5">
            <w:pPr>
              <w:numPr>
                <w:ilvl w:val="0"/>
                <w:numId w:val="14"/>
              </w:numPr>
              <w:spacing w:beforeLines="0" w:before="0" w:afterLines="0" w:after="0"/>
              <w:rPr>
                <w:bCs/>
                <w:iCs/>
                <w:color w:val="000000"/>
                <w:lang w:eastAsia="x-none"/>
              </w:rPr>
            </w:pPr>
            <w:r w:rsidRPr="00341CF5">
              <w:rPr>
                <w:bCs/>
                <w:iCs/>
                <w:color w:val="000000"/>
                <w:lang w:eastAsia="x-none"/>
              </w:rPr>
              <w:t>Scheme 1: The UE selects the (pre-)configured default CPE starting position.</w:t>
            </w:r>
          </w:p>
          <w:p w14:paraId="03161474" w14:textId="77777777" w:rsidR="00341CF5" w:rsidRPr="00341CF5" w:rsidRDefault="00341CF5" w:rsidP="00341CF5">
            <w:pPr>
              <w:numPr>
                <w:ilvl w:val="0"/>
                <w:numId w:val="14"/>
              </w:numPr>
              <w:spacing w:beforeLines="0" w:before="0" w:afterLines="0" w:after="0"/>
              <w:rPr>
                <w:bCs/>
                <w:iCs/>
                <w:color w:val="000000"/>
                <w:lang w:eastAsia="x-none"/>
              </w:rPr>
            </w:pPr>
            <w:r w:rsidRPr="00341CF5">
              <w:rPr>
                <w:bCs/>
                <w:iCs/>
                <w:color w:val="000000"/>
                <w:lang w:eastAsia="x-none"/>
              </w:rPr>
              <w:t>Scheme 2: A CPE starting position is randomly selected among one or multiple CPE starting candidate positions (pre-)configured per priority of the PSCCH/PSSCH transmission</w:t>
            </w:r>
          </w:p>
          <w:p w14:paraId="011B464A"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lastRenderedPageBreak/>
              <w:t>The mapping one or multiple CPE starting positions per priority can be up to (pre-)configuration.</w:t>
            </w:r>
          </w:p>
          <w:p w14:paraId="0E643571"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t>FFS: whether the priority should be the L1 priority or CAPC (to be down-selected in RAN1#114)</w:t>
            </w:r>
          </w:p>
          <w:p w14:paraId="3562EF23" w14:textId="77777777" w:rsidR="00341CF5" w:rsidRPr="00341CF5" w:rsidRDefault="00341CF5" w:rsidP="00341CF5">
            <w:pPr>
              <w:numPr>
                <w:ilvl w:val="0"/>
                <w:numId w:val="14"/>
              </w:numPr>
              <w:spacing w:beforeLines="0" w:before="0" w:afterLines="0" w:after="0"/>
              <w:rPr>
                <w:bCs/>
                <w:color w:val="000000"/>
                <w:szCs w:val="22"/>
              </w:rPr>
            </w:pPr>
            <w:r w:rsidRPr="00341CF5">
              <w:rPr>
                <w:bCs/>
                <w:color w:val="000000"/>
                <w:szCs w:val="22"/>
              </w:rPr>
              <w:t>For partial and full RB set resource allocations</w:t>
            </w:r>
          </w:p>
          <w:p w14:paraId="2F7CD62F"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t>If a resource reservation is transmitted or resource reservations is detected for the slot and the RB set(s) of the intended PSCCH/PSSCH transmission, Scheme 1 is applied; otherwise, Scheme 2 is applied</w:t>
            </w:r>
          </w:p>
          <w:p w14:paraId="6331852A"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t>FFS: other conditions to determine whether to use scheme 1 or scheme 2</w:t>
            </w:r>
          </w:p>
          <w:p w14:paraId="63E62ADC" w14:textId="6060D70A" w:rsidR="009C7136" w:rsidRPr="00051F7F" w:rsidRDefault="00341CF5" w:rsidP="009C3E5D">
            <w:pPr>
              <w:pStyle w:val="a3"/>
              <w:numPr>
                <w:ilvl w:val="1"/>
                <w:numId w:val="15"/>
              </w:numPr>
              <w:ind w:firstLineChars="0"/>
              <w:jc w:val="left"/>
              <w:rPr>
                <w:rFonts w:eastAsiaTheme="minorEastAsia"/>
              </w:rPr>
            </w:pPr>
            <w:r w:rsidRPr="00341CF5">
              <w:rPr>
                <w:bCs/>
                <w:color w:val="000000"/>
                <w:szCs w:val="22"/>
              </w:rPr>
              <w:t>FFS: further enhancements for the full RB set case</w:t>
            </w:r>
          </w:p>
          <w:p w14:paraId="7E267B36" w14:textId="77777777" w:rsidR="00051F7F" w:rsidRPr="00051F7F" w:rsidRDefault="00051F7F" w:rsidP="00051F7F">
            <w:pPr>
              <w:pStyle w:val="a3"/>
              <w:ind w:left="1077" w:firstLineChars="0" w:firstLine="0"/>
              <w:jc w:val="left"/>
              <w:rPr>
                <w:rFonts w:eastAsiaTheme="minorEastAsia"/>
              </w:rPr>
            </w:pPr>
          </w:p>
          <w:p w14:paraId="76A3561C" w14:textId="77777777" w:rsidR="00051F7F" w:rsidRDefault="00051F7F" w:rsidP="00051F7F">
            <w:pPr>
              <w:autoSpaceDE w:val="0"/>
              <w:autoSpaceDN w:val="0"/>
              <w:spacing w:beforeLines="0" w:before="0" w:afterLines="0" w:after="0"/>
              <w:rPr>
                <w:lang w:eastAsia="en-US"/>
              </w:rPr>
            </w:pPr>
            <w:r>
              <w:rPr>
                <w:b/>
                <w:bCs/>
                <w:highlight w:val="green"/>
              </w:rPr>
              <w:t>Agreement</w:t>
            </w:r>
          </w:p>
          <w:p w14:paraId="732B631C" w14:textId="77777777" w:rsidR="00051F7F" w:rsidRPr="00051F7F" w:rsidRDefault="00051F7F" w:rsidP="00051F7F">
            <w:pPr>
              <w:spacing w:beforeLines="0" w:before="0" w:afterLines="0" w:after="0"/>
              <w:rPr>
                <w:color w:val="000000"/>
                <w:szCs w:val="28"/>
              </w:rPr>
            </w:pPr>
            <w:r>
              <w:rPr>
                <w:color w:val="000000"/>
                <w:szCs w:val="28"/>
              </w:rPr>
              <w:t>A set of one or more candidate CPE starting position(s) that can be used for PSCCH/PSSCH transmission within a COT (for the case of sharing a COT) and outside a COT (for the case of initiating a COT) is separately (pre-)configur</w:t>
            </w:r>
            <w:r w:rsidRPr="00051F7F">
              <w:rPr>
                <w:color w:val="000000"/>
                <w:szCs w:val="28"/>
              </w:rPr>
              <w:t>ed per resource pool based on the pre-</w:t>
            </w:r>
            <w:r w:rsidRPr="00051F7F">
              <w:rPr>
                <w:bCs/>
                <w:iCs/>
                <w:color w:val="000000"/>
              </w:rPr>
              <w:t>defined</w:t>
            </w:r>
            <w:r w:rsidRPr="00051F7F">
              <w:rPr>
                <w:color w:val="000000"/>
                <w:szCs w:val="28"/>
              </w:rPr>
              <w:t xml:space="preserve"> set of all </w:t>
            </w:r>
            <w:r w:rsidRPr="00051F7F">
              <w:t>candidate CPE starting positions.</w:t>
            </w:r>
          </w:p>
          <w:p w14:paraId="62861B96" w14:textId="77777777" w:rsidR="00051F7F" w:rsidRPr="00051F7F" w:rsidRDefault="00051F7F" w:rsidP="00051F7F">
            <w:pPr>
              <w:numPr>
                <w:ilvl w:val="0"/>
                <w:numId w:val="14"/>
              </w:numPr>
              <w:spacing w:beforeLines="0" w:before="0" w:afterLines="0" w:after="0"/>
              <w:rPr>
                <w:bCs/>
                <w:iCs/>
                <w:color w:val="000000"/>
                <w:lang w:eastAsia="x-none"/>
              </w:rPr>
            </w:pPr>
            <w:r w:rsidRPr="00051F7F">
              <w:rPr>
                <w:bCs/>
                <w:iCs/>
                <w:color w:val="000000"/>
                <w:lang w:eastAsia="x-none"/>
              </w:rPr>
              <w:t>Note: for the case of sharing a COT, the CPE occurs after LBT gap for type 2A/2B/2C</w:t>
            </w:r>
          </w:p>
          <w:p w14:paraId="4DDD316B" w14:textId="77777777" w:rsidR="00051F7F" w:rsidRDefault="00051F7F" w:rsidP="00051F7F">
            <w:pPr>
              <w:numPr>
                <w:ilvl w:val="0"/>
                <w:numId w:val="14"/>
              </w:numPr>
              <w:spacing w:beforeLines="0" w:before="0" w:afterLines="0" w:after="0"/>
              <w:rPr>
                <w:bCs/>
                <w:iCs/>
                <w:color w:val="000000"/>
                <w:lang w:eastAsia="x-none"/>
              </w:rPr>
            </w:pPr>
            <w:r>
              <w:rPr>
                <w:bCs/>
                <w:iCs/>
                <w:color w:val="000000"/>
                <w:lang w:eastAsia="x-none"/>
              </w:rPr>
              <w:t>FFS whether a subset of candidate CPE starting position(s) that can be used for PSCCH/PSSCH transmission within a COT is indicated by SCI carrying COT sharing information</w:t>
            </w:r>
          </w:p>
          <w:p w14:paraId="04496053" w14:textId="130CFD36" w:rsidR="00051F7F" w:rsidRPr="007A5215" w:rsidRDefault="00051F7F" w:rsidP="00051F7F">
            <w:pPr>
              <w:numPr>
                <w:ilvl w:val="0"/>
                <w:numId w:val="14"/>
              </w:numPr>
              <w:spacing w:beforeLines="0" w:before="0" w:afterLines="0" w:after="0"/>
              <w:rPr>
                <w:rFonts w:eastAsiaTheme="minorEastAsia"/>
              </w:rPr>
            </w:pPr>
            <w:r>
              <w:rPr>
                <w:bCs/>
                <w:iCs/>
                <w:color w:val="000000"/>
                <w:lang w:eastAsia="x-none"/>
              </w:rPr>
              <w:t>FFS whether default starting position is included in each set</w:t>
            </w:r>
          </w:p>
          <w:p w14:paraId="745AC6AC" w14:textId="77777777" w:rsidR="007A5215" w:rsidRPr="00156BA7" w:rsidRDefault="007A5215" w:rsidP="007A5215">
            <w:pPr>
              <w:spacing w:beforeLines="0" w:before="0" w:afterLines="0" w:after="0"/>
              <w:ind w:left="720"/>
              <w:rPr>
                <w:rFonts w:eastAsiaTheme="minorEastAsia"/>
              </w:rPr>
            </w:pPr>
          </w:p>
          <w:p w14:paraId="4B16A53E" w14:textId="77777777" w:rsidR="007A5215" w:rsidRDefault="007A5215" w:rsidP="007A5215">
            <w:pPr>
              <w:spacing w:beforeLines="0" w:before="0" w:afterLines="0" w:after="0"/>
              <w:rPr>
                <w:lang w:eastAsia="x-none"/>
              </w:rPr>
            </w:pPr>
            <w:r>
              <w:rPr>
                <w:b/>
                <w:bCs/>
                <w:highlight w:val="green"/>
                <w:lang w:eastAsia="x-none"/>
              </w:rPr>
              <w:t>Agreement</w:t>
            </w:r>
          </w:p>
          <w:p w14:paraId="3ECE18CF" w14:textId="77777777" w:rsidR="007A5215" w:rsidRDefault="007A5215" w:rsidP="007A5215">
            <w:pPr>
              <w:pStyle w:val="a3"/>
              <w:ind w:firstLineChars="0" w:firstLine="0"/>
              <w:rPr>
                <w:lang w:eastAsia="x-none"/>
              </w:rPr>
            </w:pPr>
            <w:r>
              <w:t>Specification supports that CPE can be transmitted between any two consecutive SL transmissions by the same UE to reduce the gap between the two transmissions so that it does not exceed 16µs.</w:t>
            </w:r>
          </w:p>
          <w:p w14:paraId="039A9C83" w14:textId="77777777" w:rsidR="007A5215" w:rsidRDefault="007A5215" w:rsidP="007A5215">
            <w:pPr>
              <w:numPr>
                <w:ilvl w:val="0"/>
                <w:numId w:val="14"/>
              </w:numPr>
              <w:spacing w:beforeLines="0" w:before="0" w:afterLines="0" w:after="0"/>
            </w:pPr>
            <w:r>
              <w:t>Note: for this case, the CPE length should not be longer than up to 2 symbols, as per previous agreements</w:t>
            </w:r>
          </w:p>
          <w:p w14:paraId="5D7302DD" w14:textId="77777777" w:rsidR="007A5215" w:rsidRDefault="007A5215" w:rsidP="007A5215">
            <w:pPr>
              <w:numPr>
                <w:ilvl w:val="0"/>
                <w:numId w:val="14"/>
              </w:numPr>
              <w:spacing w:beforeLines="0" w:before="0" w:afterLines="0" w:after="0"/>
            </w:pPr>
            <w:r>
              <w:t>FFS: details if needed (e.g., considering outcome of discussion on PSFCH-like signal in PHY agenda)</w:t>
            </w:r>
          </w:p>
          <w:p w14:paraId="2041B7BF" w14:textId="77777777" w:rsidR="007A5215" w:rsidRDefault="007A5215" w:rsidP="007A5215">
            <w:pPr>
              <w:numPr>
                <w:ilvl w:val="0"/>
                <w:numId w:val="14"/>
              </w:numPr>
              <w:spacing w:beforeLines="0" w:before="0" w:afterLines="0" w:after="0"/>
            </w:pPr>
            <w:r>
              <w:t>FFS whether PSSCH can be transmitted instead of or in addition to CPE</w:t>
            </w:r>
          </w:p>
          <w:p w14:paraId="5FFFDAF6" w14:textId="79978484" w:rsidR="00156BA7" w:rsidRPr="00051F7F" w:rsidRDefault="007A5215" w:rsidP="00E927E6">
            <w:pPr>
              <w:numPr>
                <w:ilvl w:val="0"/>
                <w:numId w:val="14"/>
              </w:numPr>
              <w:spacing w:beforeLines="0" w:before="0" w:afterLines="0" w:after="0"/>
              <w:rPr>
                <w:rFonts w:eastAsiaTheme="minorEastAsia"/>
              </w:rPr>
            </w:pPr>
            <w:r>
              <w:t>FFS: how to determine the CPE starting position</w:t>
            </w:r>
          </w:p>
        </w:tc>
      </w:tr>
    </w:tbl>
    <w:p w14:paraId="5F68E265" w14:textId="5ACBB331" w:rsidR="00A309EE" w:rsidRPr="00B07328" w:rsidRDefault="006173E9" w:rsidP="00640A18">
      <w:pPr>
        <w:spacing w:before="156" w:after="156"/>
        <w:rPr>
          <w:rFonts w:eastAsia="宋体" w:cs="Times New Roman"/>
        </w:rPr>
      </w:pPr>
      <w:r>
        <w:rPr>
          <w:rFonts w:eastAsia="宋体" w:cs="Times New Roman"/>
        </w:rPr>
        <w:lastRenderedPageBreak/>
        <w:t xml:space="preserve">Within a sharing CO, </w:t>
      </w:r>
      <w:r w:rsidR="00460220">
        <w:rPr>
          <w:rFonts w:eastAsia="宋体" w:cs="Times New Roman"/>
        </w:rPr>
        <w:t xml:space="preserve">as </w:t>
      </w:r>
      <w:r w:rsidR="006B4943">
        <w:rPr>
          <w:rFonts w:eastAsia="宋体" w:cs="Times New Roman"/>
        </w:rPr>
        <w:t xml:space="preserve">the allowed </w:t>
      </w:r>
      <w:r w:rsidR="00460220">
        <w:rPr>
          <w:rFonts w:eastAsia="宋体" w:cs="Times New Roman"/>
        </w:rPr>
        <w:t>responding UE</w:t>
      </w:r>
      <w:r w:rsidR="002A6573">
        <w:rPr>
          <w:rFonts w:eastAsia="宋体" w:cs="Times New Roman"/>
        </w:rPr>
        <w:t>(</w:t>
      </w:r>
      <w:r w:rsidR="00460220">
        <w:rPr>
          <w:rFonts w:eastAsia="宋体" w:cs="Times New Roman"/>
        </w:rPr>
        <w:t>s</w:t>
      </w:r>
      <w:r w:rsidR="002A6573">
        <w:rPr>
          <w:rFonts w:eastAsia="宋体" w:cs="Times New Roman"/>
        </w:rPr>
        <w:t>)</w:t>
      </w:r>
      <w:r w:rsidR="00460220">
        <w:rPr>
          <w:rFonts w:eastAsia="宋体" w:cs="Times New Roman"/>
        </w:rPr>
        <w:t xml:space="preserve"> </w:t>
      </w:r>
      <w:r w:rsidR="006B4943">
        <w:rPr>
          <w:rFonts w:eastAsia="宋体" w:cs="Times New Roman"/>
        </w:rPr>
        <w:t>and</w:t>
      </w:r>
      <w:r w:rsidR="00742C28">
        <w:rPr>
          <w:rFonts w:eastAsia="宋体" w:cs="Times New Roman"/>
        </w:rPr>
        <w:t xml:space="preserve"> priority of PSCCH/PSSCH are</w:t>
      </w:r>
      <w:r w:rsidR="00F52065">
        <w:rPr>
          <w:rFonts w:eastAsia="宋体" w:cs="Times New Roman"/>
        </w:rPr>
        <w:t xml:space="preserve"> related to the initia</w:t>
      </w:r>
      <w:r w:rsidR="003254EF">
        <w:rPr>
          <w:rFonts w:eastAsia="宋体" w:cs="Times New Roman"/>
        </w:rPr>
        <w:t>ting</w:t>
      </w:r>
      <w:r w:rsidR="00F52065">
        <w:rPr>
          <w:rFonts w:eastAsia="宋体" w:cs="Times New Roman"/>
        </w:rPr>
        <w:t xml:space="preserve"> UE</w:t>
      </w:r>
      <w:r w:rsidR="00DA09EF">
        <w:rPr>
          <w:rFonts w:eastAsia="宋体" w:cs="Times New Roman"/>
        </w:rPr>
        <w:t xml:space="preserve"> and its transmission, </w:t>
      </w:r>
      <w:r w:rsidR="00C84EDA">
        <w:rPr>
          <w:rFonts w:eastAsia="宋体" w:cs="Times New Roman"/>
        </w:rPr>
        <w:t xml:space="preserve">the number of available starting positions of CPE in the CO is limited. </w:t>
      </w:r>
      <w:r w:rsidR="00BA54DA">
        <w:rPr>
          <w:rFonts w:eastAsia="宋体" w:cs="Times New Roman"/>
        </w:rPr>
        <w:t xml:space="preserve">To avoid unnecessary </w:t>
      </w:r>
      <w:r w:rsidR="00677CCF">
        <w:rPr>
          <w:rFonts w:eastAsia="宋体" w:cs="Times New Roman"/>
        </w:rPr>
        <w:t xml:space="preserve">resource contention and </w:t>
      </w:r>
      <w:r w:rsidR="00E77476">
        <w:rPr>
          <w:rFonts w:eastAsia="宋体" w:cs="Times New Roman"/>
        </w:rPr>
        <w:t xml:space="preserve">mitigate </w:t>
      </w:r>
      <w:r w:rsidR="00677CCF">
        <w:rPr>
          <w:rFonts w:eastAsia="宋体" w:cs="Times New Roman"/>
        </w:rPr>
        <w:t xml:space="preserve">potential </w:t>
      </w:r>
      <w:r w:rsidR="00133D44">
        <w:rPr>
          <w:rFonts w:eastAsia="宋体" w:cs="Times New Roman"/>
        </w:rPr>
        <w:t xml:space="preserve">conflict, </w:t>
      </w:r>
      <w:r w:rsidR="00764EA3">
        <w:rPr>
          <w:rFonts w:eastAsia="宋体" w:cs="Times New Roman"/>
        </w:rPr>
        <w:t xml:space="preserve">the </w:t>
      </w:r>
      <w:r w:rsidR="000811EC">
        <w:rPr>
          <w:rFonts w:eastAsia="宋体" w:cs="Times New Roman"/>
        </w:rPr>
        <w:t>default starting position</w:t>
      </w:r>
      <w:r w:rsidR="00623A66">
        <w:rPr>
          <w:rFonts w:eastAsia="宋体" w:cs="Times New Roman"/>
        </w:rPr>
        <w:t xml:space="preserve"> of CPE</w:t>
      </w:r>
      <w:r w:rsidR="000811EC">
        <w:rPr>
          <w:rFonts w:eastAsia="宋体" w:cs="Times New Roman"/>
        </w:rPr>
        <w:t xml:space="preserve"> should be </w:t>
      </w:r>
      <w:r w:rsidR="00B80C96">
        <w:rPr>
          <w:rFonts w:eastAsia="宋体" w:cs="Times New Roman"/>
        </w:rPr>
        <w:t>the same</w:t>
      </w:r>
      <w:r w:rsidR="000811EC">
        <w:rPr>
          <w:rFonts w:eastAsia="宋体" w:cs="Times New Roman"/>
        </w:rPr>
        <w:t xml:space="preserve"> in the subset </w:t>
      </w:r>
      <w:r w:rsidR="00B80C96">
        <w:rPr>
          <w:rFonts w:eastAsia="宋体" w:cs="Times New Roman"/>
        </w:rPr>
        <w:t xml:space="preserve">for </w:t>
      </w:r>
      <w:r w:rsidR="00D4606C">
        <w:rPr>
          <w:rFonts w:eastAsia="宋体" w:cs="Times New Roman"/>
        </w:rPr>
        <w:t xml:space="preserve">CPE </w:t>
      </w:r>
      <w:r w:rsidR="00B80C96">
        <w:rPr>
          <w:rFonts w:eastAsia="宋体" w:cs="Times New Roman"/>
        </w:rPr>
        <w:t xml:space="preserve">within CO and </w:t>
      </w:r>
      <w:r w:rsidR="005C61D6">
        <w:rPr>
          <w:rFonts w:eastAsia="宋体" w:cs="Times New Roman"/>
        </w:rPr>
        <w:t>initiating</w:t>
      </w:r>
      <w:r w:rsidR="00B80C96">
        <w:rPr>
          <w:rFonts w:eastAsia="宋体" w:cs="Times New Roman"/>
        </w:rPr>
        <w:t xml:space="preserve"> CO</w:t>
      </w:r>
      <w:r w:rsidR="000811EC">
        <w:rPr>
          <w:rFonts w:eastAsia="宋体" w:cs="Times New Roman"/>
        </w:rPr>
        <w:t>.</w:t>
      </w:r>
      <w:r w:rsidR="00FB02D7">
        <w:rPr>
          <w:rFonts w:eastAsia="宋体" w:cs="Times New Roman"/>
        </w:rPr>
        <w:t xml:space="preserve"> Besides, </w:t>
      </w:r>
      <w:r w:rsidR="00F979C9">
        <w:rPr>
          <w:rFonts w:eastAsia="宋体" w:cs="Times New Roman"/>
        </w:rPr>
        <w:t>the working assumption of CPE selection rules for Ty</w:t>
      </w:r>
      <w:r w:rsidR="00D4606C">
        <w:rPr>
          <w:rFonts w:eastAsia="宋体" w:cs="Times New Roman"/>
        </w:rPr>
        <w:t>pe 2 channel access within a CO</w:t>
      </w:r>
      <w:r w:rsidR="00F979C9">
        <w:rPr>
          <w:rFonts w:eastAsia="宋体" w:cs="Times New Roman"/>
        </w:rPr>
        <w:t xml:space="preserve"> should be confirmed.</w:t>
      </w:r>
    </w:p>
    <w:p w14:paraId="0B092798" w14:textId="64934AEA" w:rsidR="001F7A51" w:rsidRPr="00966842" w:rsidRDefault="00E1428A" w:rsidP="00966842">
      <w:pPr>
        <w:pStyle w:val="1st-Proposal-YJ"/>
        <w:numPr>
          <w:ilvl w:val="0"/>
          <w:numId w:val="5"/>
        </w:numPr>
        <w:spacing w:before="156" w:after="156"/>
        <w:rPr>
          <w:rFonts w:eastAsia="宋体"/>
        </w:rPr>
      </w:pPr>
      <w:bookmarkStart w:id="551" w:name="_Toc140068963"/>
      <w:bookmarkStart w:id="552" w:name="_Toc140068987"/>
      <w:bookmarkStart w:id="553" w:name="_Toc140069022"/>
      <w:bookmarkStart w:id="554" w:name="_Toc140069045"/>
      <w:bookmarkStart w:id="555" w:name="_Toc140069068"/>
      <w:bookmarkStart w:id="556" w:name="_Toc140069091"/>
      <w:bookmarkStart w:id="557" w:name="_Toc141884718"/>
      <w:bookmarkStart w:id="558" w:name="_Toc141884742"/>
      <w:bookmarkStart w:id="559" w:name="_Toc141885710"/>
      <w:bookmarkStart w:id="560" w:name="_Toc141885733"/>
      <w:bookmarkStart w:id="561" w:name="_Toc141886117"/>
      <w:bookmarkStart w:id="562" w:name="_Toc141886209"/>
      <w:bookmarkStart w:id="563" w:name="_Toc141886905"/>
      <w:bookmarkStart w:id="564" w:name="_Toc141887094"/>
      <w:bookmarkStart w:id="565" w:name="_Toc141887117"/>
      <w:bookmarkStart w:id="566" w:name="_Toc141887238"/>
      <w:bookmarkStart w:id="567" w:name="_Toc141887261"/>
      <w:bookmarkStart w:id="568" w:name="_Toc141887954"/>
      <w:bookmarkStart w:id="569" w:name="_Toc141887977"/>
      <w:bookmarkStart w:id="570" w:name="_Toc141888009"/>
      <w:bookmarkStart w:id="571" w:name="_Toc141888032"/>
      <w:bookmarkStart w:id="572" w:name="_Toc141888095"/>
      <w:bookmarkStart w:id="573" w:name="_Toc141888118"/>
      <w:bookmarkStart w:id="574" w:name="_Toc141888684"/>
      <w:bookmarkStart w:id="575" w:name="_Toc141888707"/>
      <w:bookmarkStart w:id="576" w:name="_Toc142058424"/>
      <w:bookmarkStart w:id="577" w:name="_Toc142058450"/>
      <w:bookmarkStart w:id="578" w:name="_Toc142058476"/>
      <w:bookmarkStart w:id="579" w:name="_Toc142058502"/>
      <w:bookmarkStart w:id="580" w:name="_Toc142059446"/>
      <w:bookmarkStart w:id="581" w:name="_Toc142059472"/>
      <w:bookmarkStart w:id="582" w:name="_Toc142059696"/>
      <w:bookmarkStart w:id="583" w:name="_Toc142059722"/>
      <w:bookmarkStart w:id="584" w:name="_Toc142293307"/>
      <w:bookmarkStart w:id="585" w:name="_Toc142555178"/>
      <w:bookmarkStart w:id="586" w:name="_Toc142555203"/>
      <w:bookmarkStart w:id="587" w:name="_Toc142555435"/>
      <w:bookmarkStart w:id="588" w:name="_Toc142555460"/>
      <w:bookmarkStart w:id="589" w:name="_Toc142555709"/>
      <w:bookmarkStart w:id="590" w:name="_Toc142555734"/>
      <w:bookmarkStart w:id="591" w:name="_Toc142555759"/>
      <w:bookmarkStart w:id="592" w:name="_Toc145938622"/>
      <w:bookmarkStart w:id="593" w:name="_Toc145949079"/>
      <w:bookmarkStart w:id="594" w:name="_Toc145949101"/>
      <w:bookmarkStart w:id="595" w:name="_Toc146029889"/>
      <w:bookmarkStart w:id="596" w:name="_Toc146029908"/>
      <w:bookmarkStart w:id="597" w:name="_Toc146029952"/>
      <w:bookmarkStart w:id="598" w:name="_Toc146029971"/>
      <w:bookmarkStart w:id="599" w:name="_Toc146030039"/>
      <w:bookmarkStart w:id="600" w:name="_Toc146030058"/>
      <w:bookmarkStart w:id="601" w:name="_Toc146032480"/>
      <w:bookmarkStart w:id="602" w:name="_Toc146032499"/>
      <w:bookmarkStart w:id="603" w:name="_Toc146032796"/>
      <w:bookmarkStart w:id="604" w:name="_Toc146032815"/>
      <w:bookmarkStart w:id="605" w:name="_Toc146111104"/>
      <w:bookmarkStart w:id="606" w:name="_Toc146111124"/>
      <w:bookmarkStart w:id="607" w:name="_Toc146111155"/>
      <w:bookmarkStart w:id="608" w:name="_Toc146111175"/>
      <w:bookmarkStart w:id="609" w:name="_Toc146111550"/>
      <w:bookmarkStart w:id="610" w:name="_Toc146111592"/>
      <w:bookmarkStart w:id="611" w:name="_Toc146112118"/>
      <w:bookmarkStart w:id="612" w:name="_Toc146112247"/>
      <w:bookmarkStart w:id="613" w:name="_Toc146112267"/>
      <w:bookmarkStart w:id="614" w:name="_Toc146112629"/>
      <w:bookmarkStart w:id="615" w:name="_Toc146112649"/>
      <w:bookmarkStart w:id="616" w:name="_Toc146112742"/>
      <w:bookmarkStart w:id="617" w:name="_Toc146112762"/>
      <w:bookmarkStart w:id="618" w:name="_Toc146113562"/>
      <w:bookmarkStart w:id="619" w:name="_Toc146113582"/>
      <w:bookmarkStart w:id="620" w:name="_Toc146529509"/>
      <w:bookmarkStart w:id="621" w:name="_Toc146529530"/>
      <w:bookmarkStart w:id="622" w:name="_Toc146529739"/>
      <w:bookmarkStart w:id="623" w:name="_Toc146529760"/>
      <w:bookmarkStart w:id="624" w:name="_Toc146529800"/>
      <w:bookmarkStart w:id="625" w:name="_Toc146529821"/>
      <w:bookmarkStart w:id="626" w:name="_Toc146532971"/>
      <w:bookmarkStart w:id="627" w:name="_Toc146532992"/>
      <w:bookmarkStart w:id="628" w:name="_Toc146533072"/>
      <w:bookmarkStart w:id="629" w:name="_Toc146533093"/>
      <w:bookmarkStart w:id="630" w:name="_Toc146533114"/>
      <w:bookmarkStart w:id="631" w:name="_Toc146533135"/>
      <w:bookmarkStart w:id="632" w:name="_Toc146533156"/>
      <w:bookmarkStart w:id="633" w:name="_Toc146533177"/>
      <w:bookmarkStart w:id="634" w:name="_Toc134109218"/>
      <w:bookmarkStart w:id="635" w:name="_Toc134109466"/>
      <w:bookmarkStart w:id="636" w:name="_Toc134109534"/>
      <w:bookmarkStart w:id="637" w:name="_Toc134109571"/>
      <w:bookmarkStart w:id="638" w:name="_Toc134112589"/>
      <w:bookmarkStart w:id="639" w:name="_Toc134112618"/>
      <w:bookmarkStart w:id="640" w:name="_Toc134112647"/>
      <w:bookmarkStart w:id="641" w:name="_Toc134112676"/>
      <w:bookmarkStart w:id="642" w:name="_Toc134436104"/>
      <w:bookmarkStart w:id="643" w:name="_Toc134436133"/>
      <w:bookmarkStart w:id="644" w:name="_Toc134438748"/>
      <w:bookmarkStart w:id="645" w:name="_Toc134438777"/>
      <w:bookmarkStart w:id="646" w:name="_Toc134439007"/>
      <w:bookmarkStart w:id="647" w:name="_Toc134439036"/>
      <w:bookmarkStart w:id="648" w:name="_Toc134439255"/>
      <w:bookmarkStart w:id="649" w:name="_Toc134439284"/>
      <w:bookmarkStart w:id="650" w:name="_Toc134439803"/>
      <w:bookmarkStart w:id="651" w:name="_Toc134439832"/>
      <w:bookmarkStart w:id="652" w:name="_Toc134439887"/>
      <w:bookmarkStart w:id="653" w:name="_Toc134717013"/>
      <w:bookmarkStart w:id="654" w:name="_Toc134717042"/>
      <w:bookmarkStart w:id="655" w:name="_Toc134779484"/>
      <w:bookmarkStart w:id="656" w:name="_Toc134779513"/>
      <w:bookmarkStart w:id="657" w:name="_Toc134780190"/>
      <w:bookmarkStart w:id="658" w:name="_Toc134780219"/>
      <w:bookmarkStart w:id="659" w:name="_Toc134784157"/>
      <w:bookmarkStart w:id="660" w:name="_Toc129097403"/>
      <w:bookmarkStart w:id="661" w:name="_Toc129097442"/>
      <w:bookmarkStart w:id="662" w:name="_Toc131411206"/>
      <w:bookmarkStart w:id="663" w:name="_Toc131411245"/>
      <w:bookmarkStart w:id="664" w:name="_Toc131411284"/>
      <w:bookmarkStart w:id="665" w:name="_Toc131411323"/>
      <w:bookmarkStart w:id="666" w:name="_Toc131411715"/>
      <w:bookmarkStart w:id="667" w:name="_Toc131411931"/>
      <w:bookmarkStart w:id="668" w:name="_Toc131762637"/>
      <w:bookmarkStart w:id="669" w:name="_Toc131762676"/>
      <w:bookmarkStart w:id="670" w:name="_Toc131762811"/>
      <w:bookmarkStart w:id="671" w:name="_Toc131762850"/>
      <w:bookmarkStart w:id="672" w:name="_Toc131763289"/>
      <w:bookmarkStart w:id="673" w:name="_Toc146701033"/>
      <w:bookmarkStart w:id="674" w:name="_Toc146701054"/>
      <w:bookmarkStart w:id="675" w:name="_Toc146701898"/>
      <w:bookmarkStart w:id="676" w:name="_Toc146701919"/>
      <w:bookmarkStart w:id="677" w:name="_Toc146701953"/>
      <w:bookmarkStart w:id="678" w:name="_Toc146701974"/>
      <w:r>
        <w:rPr>
          <w:rFonts w:eastAsia="宋体"/>
        </w:rPr>
        <w:t>The d</w:t>
      </w:r>
      <w:r w:rsidR="001F7A51" w:rsidRPr="002F730C">
        <w:rPr>
          <w:rFonts w:eastAsia="宋体"/>
        </w:rPr>
        <w:t xml:space="preserve">efault </w:t>
      </w:r>
      <w:r w:rsidR="00F36277">
        <w:rPr>
          <w:kern w:val="0"/>
          <w:lang w:eastAsia="x-none"/>
        </w:rPr>
        <w:t>starting position</w:t>
      </w:r>
      <w:r w:rsidR="000B20CC">
        <w:rPr>
          <w:kern w:val="0"/>
          <w:lang w:eastAsia="x-none"/>
        </w:rPr>
        <w:t xml:space="preserve"> of CPE</w:t>
      </w:r>
      <w:r w:rsidR="00291DEA">
        <w:rPr>
          <w:kern w:val="0"/>
          <w:lang w:eastAsia="x-none"/>
        </w:rPr>
        <w:t xml:space="preserve"> should be</w:t>
      </w:r>
      <w:r w:rsidR="001F7A51" w:rsidRPr="002F730C">
        <w:rPr>
          <w:kern w:val="0"/>
          <w:lang w:eastAsia="x-none"/>
        </w:rPr>
        <w:t xml:space="preserve"> the same in the sets for </w:t>
      </w:r>
      <w:r w:rsidR="0033387F">
        <w:rPr>
          <w:kern w:val="0"/>
          <w:lang w:eastAsia="x-none"/>
        </w:rPr>
        <w:t xml:space="preserve">CPE </w:t>
      </w:r>
      <w:r w:rsidR="001F7A51" w:rsidRPr="002F730C">
        <w:rPr>
          <w:kern w:val="0"/>
          <w:lang w:eastAsia="x-none"/>
        </w:rPr>
        <w:t xml:space="preserve">within </w:t>
      </w:r>
      <w:r w:rsidR="00D678F6">
        <w:rPr>
          <w:kern w:val="0"/>
          <w:lang w:eastAsia="x-none"/>
        </w:rPr>
        <w:t xml:space="preserve">a </w:t>
      </w:r>
      <w:r w:rsidR="001F7A51" w:rsidRPr="002F730C">
        <w:rPr>
          <w:kern w:val="0"/>
          <w:lang w:eastAsia="x-none"/>
        </w:rPr>
        <w:t>COT and outside of a COT</w:t>
      </w:r>
      <w:r w:rsidR="00F65BE0">
        <w:rPr>
          <w:kern w:val="0"/>
          <w:lang w:eastAsia="x-none"/>
        </w:rPr>
        <w: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73"/>
      <w:bookmarkEnd w:id="674"/>
      <w:bookmarkEnd w:id="675"/>
      <w:bookmarkEnd w:id="676"/>
      <w:bookmarkEnd w:id="677"/>
      <w:bookmarkEnd w:id="678"/>
    </w:p>
    <w:p w14:paraId="423E70F6" w14:textId="6994A7B9" w:rsidR="0083508C" w:rsidRPr="0083508C" w:rsidRDefault="00B652C2" w:rsidP="0083508C">
      <w:pPr>
        <w:pStyle w:val="1st-Proposal-YJ"/>
        <w:numPr>
          <w:ilvl w:val="0"/>
          <w:numId w:val="5"/>
        </w:numPr>
        <w:spacing w:before="156" w:after="156"/>
      </w:pPr>
      <w:bookmarkStart w:id="679" w:name="_Toc140068964"/>
      <w:bookmarkStart w:id="680" w:name="_Toc140068988"/>
      <w:bookmarkStart w:id="681" w:name="_Toc140069023"/>
      <w:bookmarkStart w:id="682" w:name="_Toc140069046"/>
      <w:bookmarkStart w:id="683" w:name="_Toc140069069"/>
      <w:bookmarkStart w:id="684" w:name="_Toc140069092"/>
      <w:bookmarkStart w:id="685" w:name="_Toc141884719"/>
      <w:bookmarkStart w:id="686" w:name="_Toc141884743"/>
      <w:bookmarkStart w:id="687" w:name="_Toc141885711"/>
      <w:bookmarkStart w:id="688" w:name="_Toc141885734"/>
      <w:bookmarkStart w:id="689" w:name="_Toc141886118"/>
      <w:bookmarkStart w:id="690" w:name="_Toc141886210"/>
      <w:bookmarkStart w:id="691" w:name="_Toc141886906"/>
      <w:bookmarkStart w:id="692" w:name="_Toc141887095"/>
      <w:bookmarkStart w:id="693" w:name="_Toc141887118"/>
      <w:bookmarkStart w:id="694" w:name="_Toc141887239"/>
      <w:bookmarkStart w:id="695" w:name="_Toc141887262"/>
      <w:bookmarkStart w:id="696" w:name="_Toc141887955"/>
      <w:bookmarkStart w:id="697" w:name="_Toc141887978"/>
      <w:bookmarkStart w:id="698" w:name="_Toc141888010"/>
      <w:bookmarkStart w:id="699" w:name="_Toc141888033"/>
      <w:bookmarkStart w:id="700" w:name="_Toc141888096"/>
      <w:bookmarkStart w:id="701" w:name="_Toc141888119"/>
      <w:bookmarkStart w:id="702" w:name="_Toc141888685"/>
      <w:bookmarkStart w:id="703" w:name="_Toc141888708"/>
      <w:bookmarkStart w:id="704" w:name="_Toc142058425"/>
      <w:bookmarkStart w:id="705" w:name="_Toc142058451"/>
      <w:bookmarkStart w:id="706" w:name="_Toc142058477"/>
      <w:bookmarkStart w:id="707" w:name="_Toc142058503"/>
      <w:bookmarkStart w:id="708" w:name="_Toc142059447"/>
      <w:bookmarkStart w:id="709" w:name="_Toc142059473"/>
      <w:bookmarkStart w:id="710" w:name="_Toc142059697"/>
      <w:bookmarkStart w:id="711" w:name="_Toc142059723"/>
      <w:bookmarkStart w:id="712" w:name="_Toc142293308"/>
      <w:bookmarkStart w:id="713" w:name="_Toc142555179"/>
      <w:bookmarkStart w:id="714" w:name="_Toc142555204"/>
      <w:bookmarkStart w:id="715" w:name="_Toc142555436"/>
      <w:bookmarkStart w:id="716" w:name="_Toc142555461"/>
      <w:bookmarkStart w:id="717" w:name="_Toc142555710"/>
      <w:bookmarkStart w:id="718" w:name="_Toc142555735"/>
      <w:bookmarkStart w:id="719" w:name="_Toc142555760"/>
      <w:bookmarkStart w:id="720" w:name="_Toc145938623"/>
      <w:bookmarkStart w:id="721" w:name="_Toc145949080"/>
      <w:bookmarkStart w:id="722" w:name="_Toc145949102"/>
      <w:bookmarkStart w:id="723" w:name="_Toc146029890"/>
      <w:bookmarkStart w:id="724" w:name="_Toc146029909"/>
      <w:bookmarkStart w:id="725" w:name="_Toc146029953"/>
      <w:bookmarkStart w:id="726" w:name="_Toc146029972"/>
      <w:bookmarkStart w:id="727" w:name="_Toc146030040"/>
      <w:bookmarkStart w:id="728" w:name="_Toc146030059"/>
      <w:bookmarkStart w:id="729" w:name="_Toc146032481"/>
      <w:bookmarkStart w:id="730" w:name="_Toc146032500"/>
      <w:bookmarkStart w:id="731" w:name="_Toc146032797"/>
      <w:bookmarkStart w:id="732" w:name="_Toc146032816"/>
      <w:bookmarkStart w:id="733" w:name="_Toc146111105"/>
      <w:bookmarkStart w:id="734" w:name="_Toc146111125"/>
      <w:bookmarkStart w:id="735" w:name="_Toc146111156"/>
      <w:bookmarkStart w:id="736" w:name="_Toc146111176"/>
      <w:bookmarkStart w:id="737" w:name="_Toc146111551"/>
      <w:bookmarkStart w:id="738" w:name="_Toc146111593"/>
      <w:bookmarkStart w:id="739" w:name="_Toc146112119"/>
      <w:bookmarkStart w:id="740" w:name="_Toc146112248"/>
      <w:bookmarkStart w:id="741" w:name="_Toc146112268"/>
      <w:bookmarkStart w:id="742" w:name="_Toc146112630"/>
      <w:bookmarkStart w:id="743" w:name="_Toc146112650"/>
      <w:bookmarkStart w:id="744" w:name="_Toc146112743"/>
      <w:bookmarkStart w:id="745" w:name="_Toc146112763"/>
      <w:bookmarkStart w:id="746" w:name="_Toc146113563"/>
      <w:bookmarkStart w:id="747" w:name="_Toc146113583"/>
      <w:bookmarkStart w:id="748" w:name="_Toc146529510"/>
      <w:bookmarkStart w:id="749" w:name="_Toc146529531"/>
      <w:bookmarkStart w:id="750" w:name="_Toc146529740"/>
      <w:bookmarkStart w:id="751" w:name="_Toc146529761"/>
      <w:bookmarkStart w:id="752" w:name="_Toc146529801"/>
      <w:bookmarkStart w:id="753" w:name="_Toc146529822"/>
      <w:bookmarkStart w:id="754" w:name="_Toc146532972"/>
      <w:bookmarkStart w:id="755" w:name="_Toc146532993"/>
      <w:bookmarkStart w:id="756" w:name="_Toc146533073"/>
      <w:bookmarkStart w:id="757" w:name="_Toc146533094"/>
      <w:bookmarkStart w:id="758" w:name="_Toc146533115"/>
      <w:bookmarkStart w:id="759" w:name="_Toc146533136"/>
      <w:bookmarkStart w:id="760" w:name="_Toc146533157"/>
      <w:bookmarkStart w:id="761" w:name="_Toc146533178"/>
      <w:bookmarkStart w:id="762" w:name="_Toc146701034"/>
      <w:bookmarkStart w:id="763" w:name="_Toc146701055"/>
      <w:bookmarkStart w:id="764" w:name="_Toc146701899"/>
      <w:bookmarkStart w:id="765" w:name="_Toc146701920"/>
      <w:bookmarkStart w:id="766" w:name="_Toc146701954"/>
      <w:bookmarkStart w:id="767" w:name="_Toc146701975"/>
      <w:r>
        <w:rPr>
          <w:rFonts w:eastAsia="宋体"/>
        </w:rPr>
        <w:t>To c</w:t>
      </w:r>
      <w:r w:rsidR="0083508C">
        <w:rPr>
          <w:rFonts w:eastAsia="宋体" w:hint="eastAsia"/>
        </w:rPr>
        <w:t>on</w:t>
      </w:r>
      <w:r w:rsidR="0083508C">
        <w:rPr>
          <w:rFonts w:eastAsia="宋体"/>
        </w:rPr>
        <w:t xml:space="preserve">firm the working assumption in RAN1 #114 meeting: </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rsidR="0083508C">
        <w:rPr>
          <w:rFonts w:eastAsia="宋体" w:hint="eastAsia"/>
        </w:rPr>
        <w:t>w</w:t>
      </w:r>
      <w:r w:rsidR="0083508C" w:rsidRPr="0083508C">
        <w:rPr>
          <w:color w:val="000000"/>
          <w:szCs w:val="22"/>
        </w:rPr>
        <w:t>hen UE performs Type 2 channel access to transmit PSCCH/PSSCH within a COT: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80549F" w14:textId="77777777" w:rsidR="0083508C" w:rsidRPr="00434AE6" w:rsidRDefault="0083508C" w:rsidP="00434AE6">
      <w:pPr>
        <w:pStyle w:val="2nd-proposal-YJ"/>
        <w:numPr>
          <w:ilvl w:val="1"/>
          <w:numId w:val="5"/>
        </w:numPr>
        <w:spacing w:before="156" w:after="156"/>
        <w:jc w:val="left"/>
        <w:rPr>
          <w:color w:val="000000"/>
          <w:szCs w:val="22"/>
        </w:rPr>
      </w:pPr>
      <w:bookmarkStart w:id="768" w:name="_Toc145949081"/>
      <w:bookmarkStart w:id="769" w:name="_Toc145949103"/>
      <w:bookmarkStart w:id="770" w:name="_Toc146029891"/>
      <w:bookmarkStart w:id="771" w:name="_Toc146029910"/>
      <w:bookmarkStart w:id="772" w:name="_Toc146029954"/>
      <w:bookmarkStart w:id="773" w:name="_Toc146029973"/>
      <w:bookmarkStart w:id="774" w:name="_Toc146030041"/>
      <w:bookmarkStart w:id="775" w:name="_Toc146030060"/>
      <w:bookmarkStart w:id="776" w:name="_Toc146032482"/>
      <w:bookmarkStart w:id="777" w:name="_Toc146032501"/>
      <w:bookmarkStart w:id="778" w:name="_Toc146032798"/>
      <w:bookmarkStart w:id="779" w:name="_Toc146032817"/>
      <w:bookmarkStart w:id="780" w:name="_Toc146111106"/>
      <w:bookmarkStart w:id="781" w:name="_Toc146111126"/>
      <w:bookmarkStart w:id="782" w:name="_Toc146111157"/>
      <w:bookmarkStart w:id="783" w:name="_Toc146111177"/>
      <w:bookmarkStart w:id="784" w:name="_Toc146111552"/>
      <w:bookmarkStart w:id="785" w:name="_Toc146111594"/>
      <w:bookmarkStart w:id="786" w:name="_Toc146112120"/>
      <w:bookmarkStart w:id="787" w:name="_Toc146112249"/>
      <w:bookmarkStart w:id="788" w:name="_Toc146112269"/>
      <w:bookmarkStart w:id="789" w:name="_Toc146112631"/>
      <w:bookmarkStart w:id="790" w:name="_Toc146112651"/>
      <w:bookmarkStart w:id="791" w:name="_Toc146112744"/>
      <w:bookmarkStart w:id="792" w:name="_Toc146112764"/>
      <w:bookmarkStart w:id="793" w:name="_Toc146113564"/>
      <w:bookmarkStart w:id="794" w:name="_Toc146113584"/>
      <w:bookmarkStart w:id="795" w:name="_Toc146529511"/>
      <w:bookmarkStart w:id="796" w:name="_Toc146529532"/>
      <w:bookmarkStart w:id="797" w:name="_Toc146529741"/>
      <w:bookmarkStart w:id="798" w:name="_Toc146529762"/>
      <w:bookmarkStart w:id="799" w:name="_Toc146529802"/>
      <w:bookmarkStart w:id="800" w:name="_Toc146529823"/>
      <w:bookmarkStart w:id="801" w:name="_Toc146532973"/>
      <w:bookmarkStart w:id="802" w:name="_Toc146532994"/>
      <w:bookmarkStart w:id="803" w:name="_Toc146533074"/>
      <w:bookmarkStart w:id="804" w:name="_Toc146533095"/>
      <w:bookmarkStart w:id="805" w:name="_Toc146533116"/>
      <w:bookmarkStart w:id="806" w:name="_Toc146533137"/>
      <w:bookmarkStart w:id="807" w:name="_Toc146533158"/>
      <w:bookmarkStart w:id="808" w:name="_Toc146533179"/>
      <w:bookmarkStart w:id="809" w:name="_Toc146701035"/>
      <w:bookmarkStart w:id="810" w:name="_Toc146701056"/>
      <w:bookmarkStart w:id="811" w:name="_Toc146701900"/>
      <w:bookmarkStart w:id="812" w:name="_Toc146701921"/>
      <w:bookmarkStart w:id="813" w:name="_Toc146701955"/>
      <w:bookmarkStart w:id="814" w:name="_Toc146701976"/>
      <w:r w:rsidRPr="00434AE6">
        <w:rPr>
          <w:color w:val="000000"/>
          <w:szCs w:val="22"/>
        </w:rPr>
        <w:t>By default, only one value is (pre-)configured for the set of CPE starting position for inside COT</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63B4E01" w14:textId="77777777" w:rsidR="0083508C" w:rsidRPr="00434AE6" w:rsidRDefault="0083508C" w:rsidP="00434AE6">
      <w:pPr>
        <w:pStyle w:val="3nd-proposal-YJ"/>
        <w:numPr>
          <w:ilvl w:val="2"/>
          <w:numId w:val="5"/>
        </w:numPr>
        <w:spacing w:before="156" w:after="156"/>
        <w:jc w:val="left"/>
        <w:rPr>
          <w:color w:val="000000"/>
          <w:szCs w:val="22"/>
        </w:rPr>
      </w:pPr>
      <w:bookmarkStart w:id="815" w:name="_Toc145949082"/>
      <w:bookmarkStart w:id="816" w:name="_Toc145949104"/>
      <w:bookmarkStart w:id="817" w:name="_Toc146029892"/>
      <w:bookmarkStart w:id="818" w:name="_Toc146029911"/>
      <w:bookmarkStart w:id="819" w:name="_Toc146029955"/>
      <w:bookmarkStart w:id="820" w:name="_Toc146029974"/>
      <w:bookmarkStart w:id="821" w:name="_Toc146030042"/>
      <w:bookmarkStart w:id="822" w:name="_Toc146030061"/>
      <w:bookmarkStart w:id="823" w:name="_Toc146032483"/>
      <w:bookmarkStart w:id="824" w:name="_Toc146032502"/>
      <w:bookmarkStart w:id="825" w:name="_Toc146032799"/>
      <w:bookmarkStart w:id="826" w:name="_Toc146032818"/>
      <w:bookmarkStart w:id="827" w:name="_Toc146111107"/>
      <w:bookmarkStart w:id="828" w:name="_Toc146111127"/>
      <w:bookmarkStart w:id="829" w:name="_Toc146111158"/>
      <w:bookmarkStart w:id="830" w:name="_Toc146111178"/>
      <w:bookmarkStart w:id="831" w:name="_Toc146111553"/>
      <w:bookmarkStart w:id="832" w:name="_Toc146111595"/>
      <w:bookmarkStart w:id="833" w:name="_Toc146112121"/>
      <w:bookmarkStart w:id="834" w:name="_Toc146112250"/>
      <w:bookmarkStart w:id="835" w:name="_Toc146112270"/>
      <w:bookmarkStart w:id="836" w:name="_Toc146112632"/>
      <w:bookmarkStart w:id="837" w:name="_Toc146112652"/>
      <w:bookmarkStart w:id="838" w:name="_Toc146112745"/>
      <w:bookmarkStart w:id="839" w:name="_Toc146112765"/>
      <w:bookmarkStart w:id="840" w:name="_Toc146113565"/>
      <w:bookmarkStart w:id="841" w:name="_Toc146113585"/>
      <w:bookmarkStart w:id="842" w:name="_Toc146529512"/>
      <w:bookmarkStart w:id="843" w:name="_Toc146529533"/>
      <w:bookmarkStart w:id="844" w:name="_Toc146529742"/>
      <w:bookmarkStart w:id="845" w:name="_Toc146529763"/>
      <w:bookmarkStart w:id="846" w:name="_Toc146529803"/>
      <w:bookmarkStart w:id="847" w:name="_Toc146529824"/>
      <w:bookmarkStart w:id="848" w:name="_Toc146532974"/>
      <w:bookmarkStart w:id="849" w:name="_Toc146532995"/>
      <w:bookmarkStart w:id="850" w:name="_Toc146533075"/>
      <w:bookmarkStart w:id="851" w:name="_Toc146533096"/>
      <w:bookmarkStart w:id="852" w:name="_Toc146533117"/>
      <w:bookmarkStart w:id="853" w:name="_Toc146533138"/>
      <w:bookmarkStart w:id="854" w:name="_Toc146533159"/>
      <w:bookmarkStart w:id="855" w:name="_Toc146533180"/>
      <w:bookmarkStart w:id="856" w:name="_Toc146701036"/>
      <w:bookmarkStart w:id="857" w:name="_Toc146701057"/>
      <w:bookmarkStart w:id="858" w:name="_Toc146701901"/>
      <w:bookmarkStart w:id="859" w:name="_Toc146701922"/>
      <w:bookmarkStart w:id="860" w:name="_Toc146701956"/>
      <w:bookmarkStart w:id="861" w:name="_Toc146701977"/>
      <w:r w:rsidRPr="00434AE6">
        <w:rPr>
          <w:color w:val="000000"/>
          <w:szCs w:val="22"/>
        </w:rPr>
        <w:t>The value is the default CPE starting position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2C2C21C1" w14:textId="77777777" w:rsidR="0083508C" w:rsidRPr="00434AE6" w:rsidRDefault="0083508C" w:rsidP="00434AE6">
      <w:pPr>
        <w:pStyle w:val="3nd-proposal-YJ"/>
        <w:numPr>
          <w:ilvl w:val="2"/>
          <w:numId w:val="5"/>
        </w:numPr>
        <w:spacing w:before="156" w:after="156"/>
        <w:jc w:val="left"/>
        <w:rPr>
          <w:color w:val="000000"/>
          <w:szCs w:val="22"/>
        </w:rPr>
      </w:pPr>
      <w:bookmarkStart w:id="862" w:name="_Toc145949083"/>
      <w:bookmarkStart w:id="863" w:name="_Toc145949105"/>
      <w:bookmarkStart w:id="864" w:name="_Toc146029893"/>
      <w:bookmarkStart w:id="865" w:name="_Toc146029912"/>
      <w:bookmarkStart w:id="866" w:name="_Toc146029956"/>
      <w:bookmarkStart w:id="867" w:name="_Toc146029975"/>
      <w:bookmarkStart w:id="868" w:name="_Toc146030043"/>
      <w:bookmarkStart w:id="869" w:name="_Toc146030062"/>
      <w:bookmarkStart w:id="870" w:name="_Toc146032484"/>
      <w:bookmarkStart w:id="871" w:name="_Toc146032503"/>
      <w:bookmarkStart w:id="872" w:name="_Toc146032800"/>
      <w:bookmarkStart w:id="873" w:name="_Toc146032819"/>
      <w:bookmarkStart w:id="874" w:name="_Toc146111108"/>
      <w:bookmarkStart w:id="875" w:name="_Toc146111128"/>
      <w:bookmarkStart w:id="876" w:name="_Toc146111159"/>
      <w:bookmarkStart w:id="877" w:name="_Toc146111179"/>
      <w:bookmarkStart w:id="878" w:name="_Toc146111554"/>
      <w:bookmarkStart w:id="879" w:name="_Toc146111596"/>
      <w:bookmarkStart w:id="880" w:name="_Toc146112122"/>
      <w:bookmarkStart w:id="881" w:name="_Toc146112251"/>
      <w:bookmarkStart w:id="882" w:name="_Toc146112271"/>
      <w:bookmarkStart w:id="883" w:name="_Toc146112633"/>
      <w:bookmarkStart w:id="884" w:name="_Toc146112653"/>
      <w:bookmarkStart w:id="885" w:name="_Toc146112746"/>
      <w:bookmarkStart w:id="886" w:name="_Toc146112766"/>
      <w:bookmarkStart w:id="887" w:name="_Toc146113566"/>
      <w:bookmarkStart w:id="888" w:name="_Toc146113586"/>
      <w:bookmarkStart w:id="889" w:name="_Toc146529513"/>
      <w:bookmarkStart w:id="890" w:name="_Toc146529534"/>
      <w:bookmarkStart w:id="891" w:name="_Toc146529743"/>
      <w:bookmarkStart w:id="892" w:name="_Toc146529764"/>
      <w:bookmarkStart w:id="893" w:name="_Toc146529804"/>
      <w:bookmarkStart w:id="894" w:name="_Toc146529825"/>
      <w:bookmarkStart w:id="895" w:name="_Toc146532975"/>
      <w:bookmarkStart w:id="896" w:name="_Toc146532996"/>
      <w:bookmarkStart w:id="897" w:name="_Toc146533076"/>
      <w:bookmarkStart w:id="898" w:name="_Toc146533097"/>
      <w:bookmarkStart w:id="899" w:name="_Toc146533118"/>
      <w:bookmarkStart w:id="900" w:name="_Toc146533139"/>
      <w:bookmarkStart w:id="901" w:name="_Toc146533160"/>
      <w:bookmarkStart w:id="902" w:name="_Toc146533181"/>
      <w:bookmarkStart w:id="903" w:name="_Toc146701037"/>
      <w:bookmarkStart w:id="904" w:name="_Toc146701058"/>
      <w:bookmarkStart w:id="905" w:name="_Toc146701902"/>
      <w:bookmarkStart w:id="906" w:name="_Toc146701923"/>
      <w:bookmarkStart w:id="907" w:name="_Toc146701957"/>
      <w:bookmarkStart w:id="908" w:name="_Toc146701978"/>
      <w:r w:rsidRPr="00434AE6">
        <w:rPr>
          <w:color w:val="000000"/>
          <w:szCs w:val="22"/>
        </w:rPr>
        <w:t>UE only use the (pre-)configured default CPE starting position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3417B517" w14:textId="77777777" w:rsidR="0083508C" w:rsidRPr="00434AE6" w:rsidRDefault="0083508C" w:rsidP="00434AE6">
      <w:pPr>
        <w:pStyle w:val="2nd-proposal-YJ"/>
        <w:numPr>
          <w:ilvl w:val="1"/>
          <w:numId w:val="5"/>
        </w:numPr>
        <w:spacing w:before="156" w:after="156"/>
        <w:jc w:val="left"/>
        <w:rPr>
          <w:color w:val="000000"/>
          <w:szCs w:val="22"/>
        </w:rPr>
      </w:pPr>
      <w:bookmarkStart w:id="909" w:name="_Toc145949084"/>
      <w:bookmarkStart w:id="910" w:name="_Toc145949106"/>
      <w:bookmarkStart w:id="911" w:name="_Toc146029894"/>
      <w:bookmarkStart w:id="912" w:name="_Toc146029913"/>
      <w:bookmarkStart w:id="913" w:name="_Toc146029957"/>
      <w:bookmarkStart w:id="914" w:name="_Toc146029976"/>
      <w:bookmarkStart w:id="915" w:name="_Toc146030044"/>
      <w:bookmarkStart w:id="916" w:name="_Toc146030063"/>
      <w:bookmarkStart w:id="917" w:name="_Toc146032485"/>
      <w:bookmarkStart w:id="918" w:name="_Toc146032504"/>
      <w:bookmarkStart w:id="919" w:name="_Toc146032801"/>
      <w:bookmarkStart w:id="920" w:name="_Toc146032820"/>
      <w:bookmarkStart w:id="921" w:name="_Toc146111109"/>
      <w:bookmarkStart w:id="922" w:name="_Toc146111129"/>
      <w:bookmarkStart w:id="923" w:name="_Toc146111160"/>
      <w:bookmarkStart w:id="924" w:name="_Toc146111180"/>
      <w:bookmarkStart w:id="925" w:name="_Toc146111555"/>
      <w:bookmarkStart w:id="926" w:name="_Toc146111597"/>
      <w:bookmarkStart w:id="927" w:name="_Toc146112123"/>
      <w:bookmarkStart w:id="928" w:name="_Toc146112252"/>
      <w:bookmarkStart w:id="929" w:name="_Toc146112272"/>
      <w:bookmarkStart w:id="930" w:name="_Toc146112634"/>
      <w:bookmarkStart w:id="931" w:name="_Toc146112654"/>
      <w:bookmarkStart w:id="932" w:name="_Toc146112747"/>
      <w:bookmarkStart w:id="933" w:name="_Toc146112767"/>
      <w:bookmarkStart w:id="934" w:name="_Toc146113567"/>
      <w:bookmarkStart w:id="935" w:name="_Toc146113587"/>
      <w:bookmarkStart w:id="936" w:name="_Toc146529514"/>
      <w:bookmarkStart w:id="937" w:name="_Toc146529535"/>
      <w:bookmarkStart w:id="938" w:name="_Toc146529744"/>
      <w:bookmarkStart w:id="939" w:name="_Toc146529765"/>
      <w:bookmarkStart w:id="940" w:name="_Toc146529805"/>
      <w:bookmarkStart w:id="941" w:name="_Toc146529826"/>
      <w:bookmarkStart w:id="942" w:name="_Toc146532976"/>
      <w:bookmarkStart w:id="943" w:name="_Toc146532997"/>
      <w:bookmarkStart w:id="944" w:name="_Toc146533077"/>
      <w:bookmarkStart w:id="945" w:name="_Toc146533098"/>
      <w:bookmarkStart w:id="946" w:name="_Toc146533119"/>
      <w:bookmarkStart w:id="947" w:name="_Toc146533140"/>
      <w:bookmarkStart w:id="948" w:name="_Toc146533161"/>
      <w:bookmarkStart w:id="949" w:name="_Toc146533182"/>
      <w:bookmarkStart w:id="950" w:name="_Toc146701038"/>
      <w:bookmarkStart w:id="951" w:name="_Toc146701059"/>
      <w:bookmarkStart w:id="952" w:name="_Toc146701903"/>
      <w:bookmarkStart w:id="953" w:name="_Toc146701924"/>
      <w:bookmarkStart w:id="954" w:name="_Toc146701958"/>
      <w:bookmarkStart w:id="955" w:name="_Toc146701979"/>
      <w:r w:rsidRPr="00434AE6">
        <w:rPr>
          <w:color w:val="000000"/>
          <w:szCs w:val="22"/>
        </w:rPr>
        <w:t>When more than one values are (pre-)configured for the set of CPE starting position for inside COT</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0C8B143E" w14:textId="77777777" w:rsidR="0083508C" w:rsidRPr="00434AE6" w:rsidRDefault="0083508C" w:rsidP="00434AE6">
      <w:pPr>
        <w:pStyle w:val="3nd-proposal-YJ"/>
        <w:numPr>
          <w:ilvl w:val="2"/>
          <w:numId w:val="5"/>
        </w:numPr>
        <w:spacing w:before="156" w:after="156"/>
        <w:jc w:val="left"/>
        <w:rPr>
          <w:color w:val="000000"/>
          <w:szCs w:val="22"/>
        </w:rPr>
      </w:pPr>
      <w:bookmarkStart w:id="956" w:name="_Toc145949085"/>
      <w:bookmarkStart w:id="957" w:name="_Toc145949107"/>
      <w:bookmarkStart w:id="958" w:name="_Toc146029895"/>
      <w:bookmarkStart w:id="959" w:name="_Toc146029914"/>
      <w:bookmarkStart w:id="960" w:name="_Toc146029958"/>
      <w:bookmarkStart w:id="961" w:name="_Toc146029977"/>
      <w:bookmarkStart w:id="962" w:name="_Toc146030045"/>
      <w:bookmarkStart w:id="963" w:name="_Toc146030064"/>
      <w:bookmarkStart w:id="964" w:name="_Toc146032486"/>
      <w:bookmarkStart w:id="965" w:name="_Toc146032505"/>
      <w:bookmarkStart w:id="966" w:name="_Toc146032802"/>
      <w:bookmarkStart w:id="967" w:name="_Toc146032821"/>
      <w:bookmarkStart w:id="968" w:name="_Toc146111110"/>
      <w:bookmarkStart w:id="969" w:name="_Toc146111130"/>
      <w:bookmarkStart w:id="970" w:name="_Toc146111161"/>
      <w:bookmarkStart w:id="971" w:name="_Toc146111181"/>
      <w:bookmarkStart w:id="972" w:name="_Toc146111556"/>
      <w:bookmarkStart w:id="973" w:name="_Toc146111598"/>
      <w:bookmarkStart w:id="974" w:name="_Toc146112124"/>
      <w:bookmarkStart w:id="975" w:name="_Toc146112253"/>
      <w:bookmarkStart w:id="976" w:name="_Toc146112273"/>
      <w:bookmarkStart w:id="977" w:name="_Toc146112635"/>
      <w:bookmarkStart w:id="978" w:name="_Toc146112655"/>
      <w:bookmarkStart w:id="979" w:name="_Toc146112748"/>
      <w:bookmarkStart w:id="980" w:name="_Toc146112768"/>
      <w:bookmarkStart w:id="981" w:name="_Toc146113568"/>
      <w:bookmarkStart w:id="982" w:name="_Toc146113588"/>
      <w:bookmarkStart w:id="983" w:name="_Toc146529515"/>
      <w:bookmarkStart w:id="984" w:name="_Toc146529536"/>
      <w:bookmarkStart w:id="985" w:name="_Toc146529745"/>
      <w:bookmarkStart w:id="986" w:name="_Toc146529766"/>
      <w:bookmarkStart w:id="987" w:name="_Toc146529806"/>
      <w:bookmarkStart w:id="988" w:name="_Toc146529827"/>
      <w:bookmarkStart w:id="989" w:name="_Toc146532977"/>
      <w:bookmarkStart w:id="990" w:name="_Toc146532998"/>
      <w:bookmarkStart w:id="991" w:name="_Toc146533078"/>
      <w:bookmarkStart w:id="992" w:name="_Toc146533099"/>
      <w:bookmarkStart w:id="993" w:name="_Toc146533120"/>
      <w:bookmarkStart w:id="994" w:name="_Toc146533141"/>
      <w:bookmarkStart w:id="995" w:name="_Toc146533162"/>
      <w:bookmarkStart w:id="996" w:name="_Toc146533183"/>
      <w:bookmarkStart w:id="997" w:name="_Toc146701039"/>
      <w:bookmarkStart w:id="998" w:name="_Toc146701060"/>
      <w:bookmarkStart w:id="999" w:name="_Toc146701904"/>
      <w:bookmarkStart w:id="1000" w:name="_Toc146701925"/>
      <w:bookmarkStart w:id="1001" w:name="_Toc146701959"/>
      <w:bookmarkStart w:id="1002" w:name="_Toc146701980"/>
      <w:r w:rsidRPr="00434AE6">
        <w:rPr>
          <w:color w:val="000000"/>
          <w:szCs w:val="22"/>
        </w:rPr>
        <w:t>One of these values is the default CPE starting position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FA80107" w14:textId="5346312A" w:rsidR="002F730C" w:rsidRPr="00E70ECB" w:rsidRDefault="0083508C" w:rsidP="0059064F">
      <w:pPr>
        <w:pStyle w:val="3nd-proposal-YJ"/>
        <w:numPr>
          <w:ilvl w:val="2"/>
          <w:numId w:val="5"/>
        </w:numPr>
        <w:spacing w:before="156" w:after="156"/>
        <w:jc w:val="left"/>
      </w:pPr>
      <w:bookmarkStart w:id="1003" w:name="_Toc145949086"/>
      <w:bookmarkStart w:id="1004" w:name="_Toc145949108"/>
      <w:bookmarkStart w:id="1005" w:name="_Toc146029896"/>
      <w:bookmarkStart w:id="1006" w:name="_Toc146029915"/>
      <w:bookmarkStart w:id="1007" w:name="_Toc146029959"/>
      <w:bookmarkStart w:id="1008" w:name="_Toc146029978"/>
      <w:bookmarkStart w:id="1009" w:name="_Toc146030046"/>
      <w:bookmarkStart w:id="1010" w:name="_Toc146030065"/>
      <w:bookmarkStart w:id="1011" w:name="_Toc146032487"/>
      <w:bookmarkStart w:id="1012" w:name="_Toc146032506"/>
      <w:bookmarkStart w:id="1013" w:name="_Toc146032803"/>
      <w:bookmarkStart w:id="1014" w:name="_Toc146032822"/>
      <w:bookmarkStart w:id="1015" w:name="_Toc146111111"/>
      <w:bookmarkStart w:id="1016" w:name="_Toc146111131"/>
      <w:bookmarkStart w:id="1017" w:name="_Toc146111162"/>
      <w:bookmarkStart w:id="1018" w:name="_Toc146111182"/>
      <w:bookmarkStart w:id="1019" w:name="_Toc146111557"/>
      <w:bookmarkStart w:id="1020" w:name="_Toc146111599"/>
      <w:bookmarkStart w:id="1021" w:name="_Toc146112125"/>
      <w:bookmarkStart w:id="1022" w:name="_Toc146112254"/>
      <w:bookmarkStart w:id="1023" w:name="_Toc146112274"/>
      <w:bookmarkStart w:id="1024" w:name="_Toc146112636"/>
      <w:bookmarkStart w:id="1025" w:name="_Toc146112656"/>
      <w:bookmarkStart w:id="1026" w:name="_Toc146112749"/>
      <w:bookmarkStart w:id="1027" w:name="_Toc146112769"/>
      <w:bookmarkStart w:id="1028" w:name="_Toc146113569"/>
      <w:bookmarkStart w:id="1029" w:name="_Toc146113589"/>
      <w:bookmarkStart w:id="1030" w:name="_Toc146529516"/>
      <w:bookmarkStart w:id="1031" w:name="_Toc146529537"/>
      <w:bookmarkStart w:id="1032" w:name="_Toc146529746"/>
      <w:bookmarkStart w:id="1033" w:name="_Toc146529767"/>
      <w:bookmarkStart w:id="1034" w:name="_Toc146529807"/>
      <w:bookmarkStart w:id="1035" w:name="_Toc146529828"/>
      <w:bookmarkStart w:id="1036" w:name="_Toc146532978"/>
      <w:bookmarkStart w:id="1037" w:name="_Toc146532999"/>
      <w:bookmarkStart w:id="1038" w:name="_Toc146533079"/>
      <w:bookmarkStart w:id="1039" w:name="_Toc146533100"/>
      <w:bookmarkStart w:id="1040" w:name="_Toc146533121"/>
      <w:bookmarkStart w:id="1041" w:name="_Toc146533142"/>
      <w:bookmarkStart w:id="1042" w:name="_Toc146533163"/>
      <w:bookmarkStart w:id="1043" w:name="_Toc146533184"/>
      <w:bookmarkStart w:id="1044" w:name="_Toc146701040"/>
      <w:bookmarkStart w:id="1045" w:name="_Toc146701061"/>
      <w:bookmarkStart w:id="1046" w:name="_Toc146701905"/>
      <w:bookmarkStart w:id="1047" w:name="_Toc146701926"/>
      <w:bookmarkStart w:id="1048" w:name="_Toc146701960"/>
      <w:bookmarkStart w:id="1049" w:name="_Toc146701981"/>
      <w:r w:rsidRPr="0059064F">
        <w:rPr>
          <w:color w:val="000000"/>
          <w:szCs w:val="22"/>
        </w:rPr>
        <w:t>UE use the same method for using CPE for the case when UE performs Type 1 channel access to initiate a COT for PSCCH/PSSCH transmission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0059064F" w:rsidRPr="0059064F">
        <w:rPr>
          <w:color w:val="000000"/>
          <w:szCs w:val="22"/>
        </w:rPr>
        <w:tab/>
      </w:r>
    </w:p>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14:paraId="39414375" w14:textId="377A3769" w:rsidR="00D002EB" w:rsidRDefault="00D002EB" w:rsidP="00D002EB">
      <w:pPr>
        <w:spacing w:before="156" w:after="156"/>
        <w:rPr>
          <w:rFonts w:eastAsia="宋体"/>
        </w:rPr>
      </w:pPr>
      <w:r>
        <w:rPr>
          <w:rFonts w:eastAsia="宋体"/>
        </w:rPr>
        <w:lastRenderedPageBreak/>
        <w:t>According to the agreement, CPE can be transmitted between two consecutive sidelink transmission</w:t>
      </w:r>
      <w:r w:rsidR="00805C17">
        <w:rPr>
          <w:rFonts w:eastAsia="宋体"/>
        </w:rPr>
        <w:t>s</w:t>
      </w:r>
      <w:r>
        <w:rPr>
          <w:rFonts w:eastAsia="宋体"/>
        </w:rPr>
        <w:t xml:space="preserve"> by the same UE to reduce the gap between the transmissions which should be no more than 16 </w:t>
      </w:r>
      <w:r w:rsidRPr="00966842">
        <w:rPr>
          <w:rFonts w:eastAsia="宋体"/>
        </w:rPr>
        <w:t xml:space="preserve">µs. </w:t>
      </w:r>
      <w:r w:rsidR="0036705C">
        <w:rPr>
          <w:rFonts w:eastAsia="宋体"/>
        </w:rPr>
        <w:t xml:space="preserve">It is available for the case that all symbols in a slot are assigned as sidelink symbols, and the GP symbole between slots can be filled by CPE. </w:t>
      </w:r>
      <w:r w:rsidR="00FA0698">
        <w:rPr>
          <w:rFonts w:eastAsia="宋体"/>
        </w:rPr>
        <w:t xml:space="preserve">As the </w:t>
      </w:r>
      <w:r w:rsidR="0054237B">
        <w:rPr>
          <w:rFonts w:eastAsia="宋体"/>
        </w:rPr>
        <w:t>1</w:t>
      </w:r>
      <w:r w:rsidR="0054237B" w:rsidRPr="00966842">
        <w:rPr>
          <w:rFonts w:eastAsia="宋体"/>
          <w:vertAlign w:val="superscript"/>
        </w:rPr>
        <w:t>st</w:t>
      </w:r>
      <w:r w:rsidR="0054237B">
        <w:rPr>
          <w:rFonts w:eastAsia="宋体"/>
        </w:rPr>
        <w:t xml:space="preserve"> starting symbol </w:t>
      </w:r>
      <w:r w:rsidR="00FA0698">
        <w:rPr>
          <w:rFonts w:eastAsia="宋体"/>
        </w:rPr>
        <w:t xml:space="preserve">for sidelink </w:t>
      </w:r>
      <w:r w:rsidR="0054237B">
        <w:rPr>
          <w:rFonts w:eastAsia="宋体"/>
        </w:rPr>
        <w:t xml:space="preserve">can be assigned in </w:t>
      </w:r>
      <w:r w:rsidR="00CF2C6A">
        <w:rPr>
          <w:kern w:val="0"/>
        </w:rPr>
        <w:t xml:space="preserve">{#0,#1,#2,#3,#4,#5,#6}, </w:t>
      </w:r>
      <w:r w:rsidR="002B040C">
        <w:rPr>
          <w:kern w:val="0"/>
        </w:rPr>
        <w:t xml:space="preserve">i.e., the number of symbols in a slot for sidelink can be one of </w:t>
      </w:r>
      <w:r w:rsidR="002B040C" w:rsidRPr="00966842">
        <w:rPr>
          <w:kern w:val="0"/>
        </w:rPr>
        <w:t>[8,9,10,11,12,13,14].</w:t>
      </w:r>
      <w:r w:rsidR="00B93032">
        <w:rPr>
          <w:kern w:val="0"/>
        </w:rPr>
        <w:t xml:space="preserve"> </w:t>
      </w:r>
      <w:r w:rsidR="009B296C">
        <w:rPr>
          <w:kern w:val="0"/>
        </w:rPr>
        <w:t>In</w:t>
      </w:r>
      <w:r w:rsidR="00FD4F47">
        <w:rPr>
          <w:kern w:val="0"/>
        </w:rPr>
        <w:t xml:space="preserve"> the case that more than two symbols are not assigned for sidelink, the gap between </w:t>
      </w:r>
      <w:r w:rsidR="00FD4F47">
        <w:rPr>
          <w:rFonts w:eastAsia="宋体"/>
        </w:rPr>
        <w:t>two consecutive sidelink slot</w:t>
      </w:r>
      <w:r w:rsidR="005C5CE4">
        <w:rPr>
          <w:rFonts w:eastAsia="宋体"/>
        </w:rPr>
        <w:t>s</w:t>
      </w:r>
      <w:r w:rsidR="00FD4F47">
        <w:rPr>
          <w:rFonts w:eastAsia="宋体"/>
        </w:rPr>
        <w:t xml:space="preserve"> cannot be filled by CPE, an example</w:t>
      </w:r>
      <w:r w:rsidR="00602E2B">
        <w:rPr>
          <w:rFonts w:eastAsia="宋体"/>
        </w:rPr>
        <w:t xml:space="preserve"> is</w:t>
      </w:r>
      <w:r w:rsidR="00FD4F47">
        <w:rPr>
          <w:rFonts w:eastAsia="宋体"/>
        </w:rPr>
        <w:t xml:space="preserve"> shown in</w:t>
      </w:r>
      <w:r w:rsidR="00517C32">
        <w:rPr>
          <w:rFonts w:eastAsia="宋体"/>
        </w:rPr>
        <w:t xml:space="preserve"> </w:t>
      </w:r>
      <w:r w:rsidR="00517C32">
        <w:rPr>
          <w:rFonts w:eastAsia="宋体"/>
        </w:rPr>
        <w:fldChar w:fldCharType="begin"/>
      </w:r>
      <w:r w:rsidR="00517C32">
        <w:rPr>
          <w:rFonts w:eastAsia="宋体"/>
        </w:rPr>
        <w:instrText xml:space="preserve"> REF _Ref139900368 </w:instrText>
      </w:r>
      <w:r w:rsidR="00517C32">
        <w:rPr>
          <w:rFonts w:eastAsia="宋体"/>
        </w:rPr>
        <w:fldChar w:fldCharType="separate"/>
      </w:r>
      <w:r w:rsidR="00E52A2E" w:rsidRPr="00966842">
        <w:rPr>
          <w:rFonts w:cs="Times New Roman"/>
        </w:rPr>
        <w:t xml:space="preserve">Figure </w:t>
      </w:r>
      <w:r w:rsidR="00E52A2E">
        <w:rPr>
          <w:rFonts w:cs="Times New Roman"/>
          <w:noProof/>
        </w:rPr>
        <w:t>1</w:t>
      </w:r>
      <w:r w:rsidR="00517C32">
        <w:rPr>
          <w:rFonts w:eastAsia="宋体"/>
        </w:rPr>
        <w:fldChar w:fldCharType="end"/>
      </w:r>
      <w:r w:rsidR="00FD4F47">
        <w:rPr>
          <w:rFonts w:eastAsia="宋体"/>
        </w:rPr>
        <w:t xml:space="preserve">. </w:t>
      </w:r>
    </w:p>
    <w:p w14:paraId="5FC4BE4A" w14:textId="7481542B" w:rsidR="00EB1E58" w:rsidRDefault="00EB1E58" w:rsidP="00D002EB">
      <w:pPr>
        <w:spacing w:before="156" w:after="156"/>
        <w:rPr>
          <w:rFonts w:eastAsia="宋体"/>
        </w:rPr>
      </w:pPr>
      <w:r>
        <w:rPr>
          <w:rFonts w:eastAsia="宋体" w:hint="eastAsia"/>
        </w:rPr>
        <w:t>As</w:t>
      </w:r>
      <w:r>
        <w:rPr>
          <w:rFonts w:eastAsia="宋体"/>
        </w:rPr>
        <w:t xml:space="preserve"> the candidate CPE starting position</w:t>
      </w:r>
      <w:r w:rsidR="002E4113">
        <w:rPr>
          <w:rFonts w:eastAsia="宋体"/>
        </w:rPr>
        <w:t>s</w:t>
      </w:r>
      <w:r>
        <w:rPr>
          <w:rFonts w:eastAsia="宋体"/>
        </w:rPr>
        <w:t xml:space="preserve"> are defined within one or two symbols before </w:t>
      </w:r>
      <w:r w:rsidR="00FF35CD">
        <w:rPr>
          <w:rFonts w:eastAsia="宋体"/>
        </w:rPr>
        <w:t xml:space="preserve">the </w:t>
      </w:r>
      <w:r>
        <w:rPr>
          <w:rFonts w:eastAsia="宋体"/>
        </w:rPr>
        <w:t xml:space="preserve">AGC symbol, </w:t>
      </w:r>
      <w:r w:rsidR="00C20D49">
        <w:rPr>
          <w:rFonts w:eastAsia="宋体"/>
        </w:rPr>
        <w:t xml:space="preserve">when the gap symbols are more than the maximum length </w:t>
      </w:r>
      <w:r w:rsidR="00497E26">
        <w:rPr>
          <w:rFonts w:eastAsia="宋体"/>
        </w:rPr>
        <w:t xml:space="preserve">that </w:t>
      </w:r>
      <w:r w:rsidR="00C20D49">
        <w:rPr>
          <w:rFonts w:eastAsia="宋体"/>
        </w:rPr>
        <w:t xml:space="preserve">can be filled by CPE, </w:t>
      </w:r>
      <w:r w:rsidR="00DB0BE6">
        <w:rPr>
          <w:rFonts w:eastAsia="宋体"/>
        </w:rPr>
        <w:t xml:space="preserve">consecutive slots for sidelink may be not available for MCSt. Meanwhile, </w:t>
      </w:r>
      <w:r w:rsidR="00B23B40">
        <w:rPr>
          <w:rFonts w:eastAsia="宋体"/>
        </w:rPr>
        <w:t xml:space="preserve">it is reasonable and a common understanding to (pre-)configure all the symbols in a slot for sidelink transmission on </w:t>
      </w:r>
      <w:r w:rsidR="00613D2E">
        <w:rPr>
          <w:rFonts w:eastAsia="宋体"/>
        </w:rPr>
        <w:t xml:space="preserve">an </w:t>
      </w:r>
      <w:r w:rsidR="00B23B40">
        <w:rPr>
          <w:rFonts w:eastAsia="宋体"/>
        </w:rPr>
        <w:t>unlicensed spectrum. B</w:t>
      </w:r>
      <w:r w:rsidR="00DB0BE6">
        <w:rPr>
          <w:rFonts w:eastAsia="宋体"/>
        </w:rPr>
        <w:t>ased on that</w:t>
      </w:r>
      <w:r w:rsidR="00677010">
        <w:rPr>
          <w:rFonts w:eastAsia="宋体"/>
        </w:rPr>
        <w:t>, it is prefer</w:t>
      </w:r>
      <w:r w:rsidR="0088712E">
        <w:rPr>
          <w:rFonts w:eastAsia="宋体"/>
        </w:rPr>
        <w:t>red</w:t>
      </w:r>
      <w:r w:rsidR="00677010">
        <w:rPr>
          <w:rFonts w:eastAsia="宋体"/>
        </w:rPr>
        <w:t xml:space="preserve"> to </w:t>
      </w:r>
      <w:r w:rsidR="002E4113">
        <w:rPr>
          <w:rFonts w:eastAsia="宋体"/>
        </w:rPr>
        <w:t xml:space="preserve">define resources for MCSt only when </w:t>
      </w:r>
      <w:r w:rsidR="00DE14C6">
        <w:rPr>
          <w:rFonts w:eastAsia="宋体"/>
        </w:rPr>
        <w:t xml:space="preserve">the gap between </w:t>
      </w:r>
      <w:r w:rsidR="00200EC7">
        <w:rPr>
          <w:rFonts w:eastAsia="宋体"/>
        </w:rPr>
        <w:t xml:space="preserve">any </w:t>
      </w:r>
      <w:r w:rsidR="00DE14C6">
        <w:rPr>
          <w:rFonts w:eastAsia="宋体"/>
        </w:rPr>
        <w:t>two consecutive slots</w:t>
      </w:r>
      <w:r w:rsidR="00200EC7">
        <w:rPr>
          <w:rFonts w:eastAsia="宋体"/>
        </w:rPr>
        <w:t xml:space="preserve"> can be filled by the (pre-)configured CPE</w:t>
      </w:r>
      <w:r w:rsidR="005D12D6">
        <w:rPr>
          <w:rFonts w:eastAsia="宋体"/>
        </w:rPr>
        <w:t xml:space="preserve">, e.g., </w:t>
      </w:r>
      <w:r w:rsidR="002E4113">
        <w:rPr>
          <w:rFonts w:eastAsia="宋体"/>
        </w:rPr>
        <w:t>all symbols in a slot are (pre-)configured for the sidelink.</w:t>
      </w:r>
    </w:p>
    <w:p w14:paraId="69E13EB7" w14:textId="77777777" w:rsidR="00057CED" w:rsidRDefault="00057CED" w:rsidP="00966842">
      <w:pPr>
        <w:keepNext/>
        <w:spacing w:before="156" w:after="156"/>
        <w:jc w:val="center"/>
      </w:pPr>
      <w:r w:rsidRPr="00057CED">
        <w:rPr>
          <w:rFonts w:eastAsia="宋体"/>
          <w:noProof/>
        </w:rPr>
        <w:drawing>
          <wp:inline distT="0" distB="0" distL="0" distR="0" wp14:anchorId="31AB2155" wp14:editId="67B62ADA">
            <wp:extent cx="3919528" cy="232077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RAN 1\#114\NEC\MCSt example.em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929491" cy="2326673"/>
                    </a:xfrm>
                    <a:prstGeom prst="rect">
                      <a:avLst/>
                    </a:prstGeom>
                    <a:noFill/>
                    <a:ln>
                      <a:noFill/>
                    </a:ln>
                  </pic:spPr>
                </pic:pic>
              </a:graphicData>
            </a:graphic>
          </wp:inline>
        </w:drawing>
      </w:r>
    </w:p>
    <w:p w14:paraId="2A7C079D" w14:textId="28187ED4" w:rsidR="003F2825" w:rsidRPr="003E6F76" w:rsidRDefault="00057CED" w:rsidP="00966842">
      <w:pPr>
        <w:pStyle w:val="af6"/>
        <w:spacing w:before="156" w:after="156"/>
        <w:jc w:val="center"/>
        <w:rPr>
          <w:rFonts w:eastAsia="宋体" w:cs="Times New Roman"/>
        </w:rPr>
      </w:pPr>
      <w:bookmarkStart w:id="1050" w:name="_Ref139900368"/>
      <w:r w:rsidRPr="00966842">
        <w:rPr>
          <w:rFonts w:ascii="Times New Roman" w:hAnsi="Times New Roman" w:cs="Times New Roman"/>
        </w:rPr>
        <w:t xml:space="preserve">Figure </w:t>
      </w:r>
      <w:r w:rsidRPr="00966842">
        <w:rPr>
          <w:rFonts w:ascii="Times New Roman" w:hAnsi="Times New Roman" w:cs="Times New Roman"/>
        </w:rPr>
        <w:fldChar w:fldCharType="begin"/>
      </w:r>
      <w:r w:rsidRPr="00966842">
        <w:rPr>
          <w:rFonts w:ascii="Times New Roman" w:hAnsi="Times New Roman" w:cs="Times New Roman"/>
        </w:rPr>
        <w:instrText xml:space="preserve"> SEQ Figure \* ARABIC </w:instrText>
      </w:r>
      <w:r w:rsidRPr="00966842">
        <w:rPr>
          <w:rFonts w:ascii="Times New Roman" w:hAnsi="Times New Roman" w:cs="Times New Roman"/>
        </w:rPr>
        <w:fldChar w:fldCharType="separate"/>
      </w:r>
      <w:r w:rsidR="00E52A2E">
        <w:rPr>
          <w:rFonts w:ascii="Times New Roman" w:hAnsi="Times New Roman" w:cs="Times New Roman"/>
          <w:noProof/>
        </w:rPr>
        <w:t>1</w:t>
      </w:r>
      <w:r w:rsidRPr="00966842">
        <w:rPr>
          <w:rFonts w:ascii="Times New Roman" w:hAnsi="Times New Roman" w:cs="Times New Roman"/>
        </w:rPr>
        <w:fldChar w:fldCharType="end"/>
      </w:r>
      <w:bookmarkEnd w:id="1050"/>
      <w:r w:rsidRPr="00966842">
        <w:rPr>
          <w:rFonts w:ascii="Times New Roman" w:hAnsi="Times New Roman" w:cs="Times New Roman"/>
        </w:rPr>
        <w:t xml:space="preserve"> symbol gap between sidelink slots</w:t>
      </w:r>
    </w:p>
    <w:p w14:paraId="43E34814" w14:textId="251AA385" w:rsidR="00D002EB" w:rsidRPr="00D002EB" w:rsidRDefault="00BB4A46" w:rsidP="00F4633F">
      <w:pPr>
        <w:pStyle w:val="1st-Proposal-YJ"/>
        <w:numPr>
          <w:ilvl w:val="0"/>
          <w:numId w:val="5"/>
        </w:numPr>
        <w:spacing w:before="156" w:after="156"/>
        <w:rPr>
          <w:rFonts w:eastAsia="宋体"/>
        </w:rPr>
      </w:pPr>
      <w:bookmarkStart w:id="1051" w:name="_Toc140068968"/>
      <w:bookmarkStart w:id="1052" w:name="_Toc140068992"/>
      <w:bookmarkStart w:id="1053" w:name="_Toc141886121"/>
      <w:bookmarkStart w:id="1054" w:name="_Toc141886213"/>
      <w:bookmarkStart w:id="1055" w:name="_Toc141886909"/>
      <w:bookmarkStart w:id="1056" w:name="_Toc141887098"/>
      <w:bookmarkStart w:id="1057" w:name="_Toc141887121"/>
      <w:bookmarkStart w:id="1058" w:name="_Toc141887242"/>
      <w:bookmarkStart w:id="1059" w:name="_Toc141887265"/>
      <w:bookmarkStart w:id="1060" w:name="_Toc141887958"/>
      <w:bookmarkStart w:id="1061" w:name="_Toc141887981"/>
      <w:bookmarkStart w:id="1062" w:name="_Toc141888013"/>
      <w:bookmarkStart w:id="1063" w:name="_Toc141888036"/>
      <w:bookmarkStart w:id="1064" w:name="_Toc141888099"/>
      <w:bookmarkStart w:id="1065" w:name="_Toc141888122"/>
      <w:bookmarkStart w:id="1066" w:name="_Toc141888688"/>
      <w:bookmarkStart w:id="1067" w:name="_Toc141888711"/>
      <w:bookmarkStart w:id="1068" w:name="_Toc142058428"/>
      <w:bookmarkStart w:id="1069" w:name="_Toc142058454"/>
      <w:bookmarkStart w:id="1070" w:name="_Toc142058480"/>
      <w:bookmarkStart w:id="1071" w:name="_Toc142058506"/>
      <w:bookmarkStart w:id="1072" w:name="_Toc142059450"/>
      <w:bookmarkStart w:id="1073" w:name="_Toc142059476"/>
      <w:bookmarkStart w:id="1074" w:name="_Toc142059700"/>
      <w:bookmarkStart w:id="1075" w:name="_Toc142059726"/>
      <w:bookmarkStart w:id="1076" w:name="_Toc142293311"/>
      <w:bookmarkStart w:id="1077" w:name="_Toc142555182"/>
      <w:bookmarkStart w:id="1078" w:name="_Toc142555207"/>
      <w:bookmarkStart w:id="1079" w:name="_Toc142555439"/>
      <w:bookmarkStart w:id="1080" w:name="_Toc142555464"/>
      <w:bookmarkStart w:id="1081" w:name="_Toc142555713"/>
      <w:bookmarkStart w:id="1082" w:name="_Toc142555738"/>
      <w:bookmarkStart w:id="1083" w:name="_Toc142555763"/>
      <w:bookmarkStart w:id="1084" w:name="_Toc145938626"/>
      <w:bookmarkStart w:id="1085" w:name="_Toc145949087"/>
      <w:bookmarkStart w:id="1086" w:name="_Toc145949109"/>
      <w:bookmarkStart w:id="1087" w:name="_Toc146029897"/>
      <w:bookmarkStart w:id="1088" w:name="_Toc146029916"/>
      <w:bookmarkStart w:id="1089" w:name="_Toc146029960"/>
      <w:bookmarkStart w:id="1090" w:name="_Toc146029979"/>
      <w:bookmarkStart w:id="1091" w:name="_Toc146030047"/>
      <w:bookmarkStart w:id="1092" w:name="_Toc146030066"/>
      <w:bookmarkStart w:id="1093" w:name="_Toc146032488"/>
      <w:bookmarkStart w:id="1094" w:name="_Toc146032507"/>
      <w:bookmarkStart w:id="1095" w:name="_Toc146032804"/>
      <w:bookmarkStart w:id="1096" w:name="_Toc146032823"/>
      <w:bookmarkStart w:id="1097" w:name="_Toc146111112"/>
      <w:bookmarkStart w:id="1098" w:name="_Toc146111132"/>
      <w:bookmarkStart w:id="1099" w:name="_Toc146111163"/>
      <w:bookmarkStart w:id="1100" w:name="_Toc146111183"/>
      <w:bookmarkStart w:id="1101" w:name="_Toc146111558"/>
      <w:bookmarkStart w:id="1102" w:name="_Toc146111600"/>
      <w:bookmarkStart w:id="1103" w:name="_Toc146112126"/>
      <w:bookmarkStart w:id="1104" w:name="_Toc146112255"/>
      <w:bookmarkStart w:id="1105" w:name="_Toc146112275"/>
      <w:bookmarkStart w:id="1106" w:name="_Toc146112637"/>
      <w:bookmarkStart w:id="1107" w:name="_Toc146112657"/>
      <w:bookmarkStart w:id="1108" w:name="_Toc146112750"/>
      <w:bookmarkStart w:id="1109" w:name="_Toc146112770"/>
      <w:bookmarkStart w:id="1110" w:name="_Toc146113570"/>
      <w:bookmarkStart w:id="1111" w:name="_Toc146113590"/>
      <w:bookmarkStart w:id="1112" w:name="_Toc146529517"/>
      <w:bookmarkStart w:id="1113" w:name="_Toc146529538"/>
      <w:bookmarkStart w:id="1114" w:name="_Toc146529747"/>
      <w:bookmarkStart w:id="1115" w:name="_Toc146529768"/>
      <w:bookmarkStart w:id="1116" w:name="_Toc146529808"/>
      <w:bookmarkStart w:id="1117" w:name="_Toc146529829"/>
      <w:bookmarkStart w:id="1118" w:name="_Toc146532979"/>
      <w:bookmarkStart w:id="1119" w:name="_Toc146533000"/>
      <w:bookmarkStart w:id="1120" w:name="_Toc146533080"/>
      <w:bookmarkStart w:id="1121" w:name="_Toc146533101"/>
      <w:bookmarkStart w:id="1122" w:name="_Toc146533122"/>
      <w:bookmarkStart w:id="1123" w:name="_Toc146533143"/>
      <w:bookmarkStart w:id="1124" w:name="_Toc146533164"/>
      <w:bookmarkStart w:id="1125" w:name="_Toc146533185"/>
      <w:bookmarkStart w:id="1126" w:name="_Toc146701041"/>
      <w:bookmarkStart w:id="1127" w:name="_Toc146701062"/>
      <w:bookmarkStart w:id="1128" w:name="_Toc146701906"/>
      <w:bookmarkStart w:id="1129" w:name="_Toc146701927"/>
      <w:bookmarkStart w:id="1130" w:name="_Toc146701961"/>
      <w:bookmarkStart w:id="1131" w:name="_Toc146701982"/>
      <w:r>
        <w:rPr>
          <w:rFonts w:eastAsia="宋体"/>
        </w:rPr>
        <w:t>S</w:t>
      </w:r>
      <w:r w:rsidR="002E5556" w:rsidRPr="005B2252">
        <w:rPr>
          <w:rFonts w:eastAsia="宋体"/>
        </w:rPr>
        <w:t xml:space="preserve">upport MCSt only </w:t>
      </w:r>
      <w:r w:rsidR="00777A2C">
        <w:rPr>
          <w:rFonts w:eastAsia="宋体"/>
        </w:rPr>
        <w:t>in</w:t>
      </w:r>
      <w:r w:rsidR="00BE2757" w:rsidRPr="005B2252">
        <w:rPr>
          <w:rFonts w:eastAsia="宋体"/>
        </w:rPr>
        <w:t xml:space="preserve"> the case that the gap between two consecutive sidelink slots </w:t>
      </w:r>
      <w:r w:rsidR="00D9671F">
        <w:rPr>
          <w:rFonts w:eastAsia="宋体"/>
        </w:rPr>
        <w:t>doe</w:t>
      </w:r>
      <w:r w:rsidR="000D194A">
        <w:rPr>
          <w:rFonts w:eastAsia="宋体"/>
        </w:rPr>
        <w:t>s</w:t>
      </w:r>
      <w:r w:rsidR="00D9671F">
        <w:rPr>
          <w:rFonts w:eastAsia="宋体"/>
        </w:rPr>
        <w:t xml:space="preserve"> </w:t>
      </w:r>
      <w:r w:rsidR="00BE2757" w:rsidRPr="005B2252">
        <w:rPr>
          <w:rFonts w:eastAsia="宋体"/>
        </w:rPr>
        <w:t>not exceed</w:t>
      </w:r>
      <w:r w:rsidR="00323494" w:rsidRPr="005B2252">
        <w:rPr>
          <w:rFonts w:eastAsia="宋体"/>
        </w:rPr>
        <w:t xml:space="preserve"> </w:t>
      </w:r>
      <w:r w:rsidR="00323494" w:rsidRPr="00F4633F">
        <w:rPr>
          <w:rFonts w:eastAsia="宋体"/>
        </w:rPr>
        <w:t>16µs</w:t>
      </w:r>
      <w:r w:rsidR="00BE2757" w:rsidRPr="000D2C8B">
        <w:rPr>
          <w:rFonts w:eastAsia="宋体"/>
        </w:rPr>
        <w:t xml:space="preserve"> by using</w:t>
      </w:r>
      <w:r w:rsidR="002E5556" w:rsidRPr="000523FC">
        <w:rPr>
          <w:rFonts w:eastAsia="宋体"/>
        </w:rPr>
        <w:t xml:space="preserve"> </w:t>
      </w:r>
      <w:r w:rsidR="00B35E45">
        <w:rPr>
          <w:rFonts w:eastAsia="宋体"/>
        </w:rPr>
        <w:t>an</w:t>
      </w:r>
      <w:r w:rsidR="00BE2757" w:rsidRPr="00A25986">
        <w:rPr>
          <w:rFonts w:eastAsia="宋体"/>
        </w:rPr>
        <w:t xml:space="preserve"> available CPE starting position</w:t>
      </w:r>
      <w:r w:rsidR="00BE2757" w:rsidRPr="005B2252">
        <w:rPr>
          <w:rFonts w:eastAsia="宋体"/>
        </w:rPr>
        <w:t>.</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D19B5E4" w14:textId="439AD115" w:rsidR="00594207" w:rsidRPr="000D2C8B" w:rsidRDefault="00594207" w:rsidP="00756AF8">
      <w:pPr>
        <w:pStyle w:val="1"/>
        <w:numPr>
          <w:ilvl w:val="0"/>
          <w:numId w:val="1"/>
        </w:numPr>
        <w:spacing w:before="156" w:after="156"/>
        <w:rPr>
          <w:rFonts w:eastAsia="宋体"/>
          <w:sz w:val="28"/>
          <w:szCs w:val="28"/>
        </w:rPr>
      </w:pPr>
      <w:r w:rsidRPr="000D2C8B">
        <w:rPr>
          <w:rFonts w:eastAsia="宋体"/>
          <w:sz w:val="28"/>
          <w:szCs w:val="28"/>
        </w:rPr>
        <w:t xml:space="preserve">Mode 1 </w:t>
      </w:r>
    </w:p>
    <w:p w14:paraId="5434090F" w14:textId="77777777" w:rsidR="00B44A85" w:rsidRDefault="00041DC1" w:rsidP="00041DC1">
      <w:pPr>
        <w:spacing w:before="156" w:after="156"/>
        <w:rPr>
          <w:rFonts w:eastAsiaTheme="minorEastAsia" w:cs="Times New Roman"/>
        </w:rPr>
      </w:pPr>
      <w:r>
        <w:rPr>
          <w:rFonts w:eastAsiaTheme="minorEastAsia" w:cs="Times New Roman"/>
        </w:rPr>
        <w:t xml:space="preserve">From the perspective of system allocation, mode 1 sidelink resource pools </w:t>
      </w:r>
      <w:r w:rsidR="00E6092C">
        <w:rPr>
          <w:rFonts w:eastAsiaTheme="minorEastAsia" w:cs="Times New Roman"/>
        </w:rPr>
        <w:t>may be</w:t>
      </w:r>
      <w:r>
        <w:rPr>
          <w:rFonts w:eastAsiaTheme="minorEastAsia" w:cs="Times New Roman"/>
        </w:rPr>
        <w:t xml:space="preserve"> assigned in both licensed spectrum and unlicensed spectrum. In </w:t>
      </w:r>
      <w:r w:rsidR="00950D3F">
        <w:rPr>
          <w:rFonts w:eastAsiaTheme="minorEastAsia" w:cs="Times New Roman"/>
        </w:rPr>
        <w:t>this case</w:t>
      </w:r>
      <w:r>
        <w:rPr>
          <w:rFonts w:eastAsiaTheme="minorEastAsia" w:cs="Times New Roman"/>
        </w:rPr>
        <w:t xml:space="preserve">, gNB may schedule sidelink resources for a UE in the licensed resources or the unlicensed resources. </w:t>
      </w:r>
      <w:r w:rsidR="002B2987">
        <w:rPr>
          <w:rFonts w:eastAsiaTheme="minorEastAsia" w:cs="Times New Roman"/>
        </w:rPr>
        <w:t xml:space="preserve">To identify the sidelink </w:t>
      </w:r>
      <w:r w:rsidR="000A0C28">
        <w:rPr>
          <w:rFonts w:eastAsiaTheme="minorEastAsia" w:cs="Times New Roman"/>
        </w:rPr>
        <w:t>sched</w:t>
      </w:r>
      <w:r w:rsidR="002B2987">
        <w:rPr>
          <w:rFonts w:eastAsiaTheme="minorEastAsia" w:cs="Times New Roman"/>
        </w:rPr>
        <w:t>uling indication,</w:t>
      </w:r>
      <w:r w:rsidR="00070B34">
        <w:rPr>
          <w:rFonts w:eastAsiaTheme="minorEastAsia" w:cs="Times New Roman"/>
        </w:rPr>
        <w:t xml:space="preserve"> </w:t>
      </w:r>
      <w:r w:rsidR="00566154">
        <w:rPr>
          <w:rFonts w:eastAsiaTheme="minorEastAsia" w:cs="Times New Roman"/>
        </w:rPr>
        <w:t xml:space="preserve">a carrier index indicator should be added in </w:t>
      </w:r>
      <w:r w:rsidR="00070B34">
        <w:t xml:space="preserve">legacy DCI format 3_0 </w:t>
      </w:r>
      <w:r w:rsidR="00566154">
        <w:t>to assign the sidelink resource allocation</w:t>
      </w:r>
      <w:r>
        <w:rPr>
          <w:rFonts w:eastAsiaTheme="minorEastAsia" w:cs="Times New Roman"/>
        </w:rPr>
        <w:t>.</w:t>
      </w:r>
      <w:r w:rsidR="00B44A85">
        <w:rPr>
          <w:rFonts w:eastAsiaTheme="minorEastAsia" w:cs="Times New Roman"/>
        </w:rPr>
        <w:t xml:space="preserve"> </w:t>
      </w:r>
    </w:p>
    <w:p w14:paraId="2FFE9EC0" w14:textId="745E8D44" w:rsidR="00041DC1" w:rsidRDefault="00B44A85" w:rsidP="00041DC1">
      <w:pPr>
        <w:spacing w:before="156" w:after="156"/>
        <w:rPr>
          <w:rFonts w:eastAsiaTheme="minorEastAsia" w:cs="Times New Roman"/>
        </w:rPr>
      </w:pPr>
      <w:r>
        <w:rPr>
          <w:rFonts w:eastAsiaTheme="minorEastAsia" w:cs="Times New Roman"/>
        </w:rPr>
        <w:t>Besides, in the case that multiple RB sets are configured for sidelink communication, the RB set(s) indicator should be involved in DCI format 3_0</w:t>
      </w:r>
      <w:r w:rsidR="001F2022">
        <w:rPr>
          <w:rFonts w:eastAsiaTheme="minorEastAsia" w:cs="Times New Roman"/>
        </w:rPr>
        <w:t>.</w:t>
      </w:r>
    </w:p>
    <w:p w14:paraId="17C896DB" w14:textId="44F38DD3" w:rsidR="0057133F" w:rsidRPr="0057133F" w:rsidRDefault="00215CE8" w:rsidP="00F51784">
      <w:pPr>
        <w:pStyle w:val="1st-Proposal-YJ"/>
        <w:numPr>
          <w:ilvl w:val="0"/>
          <w:numId w:val="5"/>
        </w:numPr>
        <w:spacing w:before="156" w:after="156"/>
        <w:rPr>
          <w:rFonts w:eastAsiaTheme="minorEastAsia"/>
        </w:rPr>
      </w:pPr>
      <w:bookmarkStart w:id="1132" w:name="_Toc134784164"/>
      <w:bookmarkStart w:id="1133" w:name="_Toc134780226"/>
      <w:bookmarkStart w:id="1134" w:name="_Toc134780197"/>
      <w:bookmarkStart w:id="1135" w:name="_Toc134779520"/>
      <w:bookmarkStart w:id="1136" w:name="_Toc134779491"/>
      <w:bookmarkStart w:id="1137" w:name="_Toc134717049"/>
      <w:bookmarkStart w:id="1138" w:name="_Toc134717020"/>
      <w:bookmarkStart w:id="1139" w:name="_Toc134439894"/>
      <w:bookmarkStart w:id="1140" w:name="_Toc134439839"/>
      <w:bookmarkStart w:id="1141" w:name="_Toc134439810"/>
      <w:bookmarkStart w:id="1142" w:name="_Toc134439291"/>
      <w:bookmarkStart w:id="1143" w:name="_Toc134439262"/>
      <w:bookmarkStart w:id="1144" w:name="_Toc134439043"/>
      <w:bookmarkStart w:id="1145" w:name="_Toc134439014"/>
      <w:bookmarkStart w:id="1146" w:name="_Toc134438784"/>
      <w:bookmarkStart w:id="1147" w:name="_Toc134438755"/>
      <w:bookmarkStart w:id="1148" w:name="_Toc134436140"/>
      <w:bookmarkStart w:id="1149" w:name="_Toc134436111"/>
      <w:bookmarkStart w:id="1150" w:name="_Toc134112683"/>
      <w:bookmarkStart w:id="1151" w:name="_Toc134112654"/>
      <w:bookmarkStart w:id="1152" w:name="_Toc134112625"/>
      <w:bookmarkStart w:id="1153" w:name="_Toc134112596"/>
      <w:bookmarkStart w:id="1154" w:name="_Toc134109578"/>
      <w:bookmarkStart w:id="1155" w:name="_Toc134109541"/>
      <w:bookmarkStart w:id="1156" w:name="_Toc134109473"/>
      <w:bookmarkStart w:id="1157" w:name="_Toc134109225"/>
      <w:bookmarkStart w:id="1158" w:name="_Toc131763296"/>
      <w:bookmarkStart w:id="1159" w:name="_Toc131762857"/>
      <w:bookmarkStart w:id="1160" w:name="_Toc131762818"/>
      <w:bookmarkStart w:id="1161" w:name="_Toc131762683"/>
      <w:bookmarkStart w:id="1162" w:name="_Toc131762644"/>
      <w:bookmarkStart w:id="1163" w:name="_Toc131411938"/>
      <w:bookmarkStart w:id="1164" w:name="_Toc131411722"/>
      <w:bookmarkStart w:id="1165" w:name="_Toc131411330"/>
      <w:bookmarkStart w:id="1166" w:name="_Toc131411291"/>
      <w:bookmarkStart w:id="1167" w:name="_Toc131411252"/>
      <w:bookmarkStart w:id="1168" w:name="_Toc131411213"/>
      <w:bookmarkStart w:id="1169" w:name="_Toc129097449"/>
      <w:bookmarkStart w:id="1170" w:name="_Toc129097410"/>
      <w:bookmarkStart w:id="1171" w:name="_Toc129082060"/>
      <w:bookmarkStart w:id="1172" w:name="_Toc129082024"/>
      <w:bookmarkStart w:id="1173" w:name="_Toc129010192"/>
      <w:bookmarkStart w:id="1174" w:name="_Toc129010157"/>
      <w:bookmarkStart w:id="1175" w:name="_Toc127449683"/>
      <w:bookmarkStart w:id="1176" w:name="_Toc127449646"/>
      <w:bookmarkStart w:id="1177" w:name="_Toc127449493"/>
      <w:bookmarkStart w:id="1178" w:name="_Toc127449456"/>
      <w:bookmarkStart w:id="1179" w:name="_Toc127449050"/>
      <w:bookmarkStart w:id="1180" w:name="_Toc127449013"/>
      <w:bookmarkStart w:id="1181" w:name="_Toc127448839"/>
      <w:bookmarkStart w:id="1182" w:name="_Toc127448802"/>
      <w:bookmarkStart w:id="1183" w:name="_Toc127447445"/>
      <w:bookmarkStart w:id="1184" w:name="_Toc127447408"/>
      <w:bookmarkStart w:id="1185" w:name="_Toc127447331"/>
      <w:bookmarkStart w:id="1186" w:name="_Toc127447294"/>
      <w:bookmarkStart w:id="1187" w:name="_Toc127447152"/>
      <w:bookmarkStart w:id="1188" w:name="_Toc127447049"/>
      <w:bookmarkStart w:id="1189" w:name="_Toc127447012"/>
      <w:bookmarkStart w:id="1190" w:name="_Toc126746567"/>
      <w:bookmarkStart w:id="1191" w:name="_Toc126746530"/>
      <w:bookmarkStart w:id="1192" w:name="_Toc126746348"/>
      <w:bookmarkStart w:id="1193" w:name="_Toc126744900"/>
      <w:bookmarkStart w:id="1194" w:name="_Toc126744863"/>
      <w:bookmarkStart w:id="1195" w:name="_Toc126744826"/>
      <w:bookmarkStart w:id="1196" w:name="_Toc126744789"/>
      <w:bookmarkStart w:id="1197" w:name="_Toc126744752"/>
      <w:bookmarkStart w:id="1198" w:name="_Toc126744715"/>
      <w:bookmarkStart w:id="1199" w:name="_Toc126248893"/>
      <w:bookmarkStart w:id="1200" w:name="_Toc126248853"/>
      <w:bookmarkStart w:id="1201" w:name="_Toc126248565"/>
      <w:bookmarkStart w:id="1202" w:name="_Toc126248525"/>
      <w:bookmarkStart w:id="1203" w:name="_Toc118704655"/>
      <w:bookmarkStart w:id="1204" w:name="_Toc118704608"/>
      <w:bookmarkStart w:id="1205" w:name="_Toc118704561"/>
      <w:bookmarkStart w:id="1206" w:name="_Toc118704484"/>
      <w:bookmarkStart w:id="1207" w:name="_Toc118704436"/>
      <w:bookmarkStart w:id="1208" w:name="_Toc118703811"/>
      <w:bookmarkStart w:id="1209" w:name="_Toc118375141"/>
      <w:bookmarkStart w:id="1210" w:name="_Toc118375094"/>
      <w:bookmarkStart w:id="1211" w:name="_Toc118374678"/>
      <w:bookmarkStart w:id="1212" w:name="_Toc118374631"/>
      <w:bookmarkStart w:id="1213" w:name="_Toc118374466"/>
      <w:bookmarkStart w:id="1214" w:name="_Toc118374419"/>
      <w:bookmarkStart w:id="1215" w:name="_Toc118374330"/>
      <w:bookmarkStart w:id="1216" w:name="_Toc118304429"/>
      <w:bookmarkStart w:id="1217" w:name="_Toc118304382"/>
      <w:bookmarkStart w:id="1218" w:name="_Toc118296965"/>
      <w:bookmarkStart w:id="1219" w:name="_Toc118275016"/>
      <w:bookmarkStart w:id="1220" w:name="_Toc118274971"/>
      <w:bookmarkStart w:id="1221" w:name="_Toc118274926"/>
      <w:bookmarkStart w:id="1222" w:name="_Toc118274881"/>
      <w:bookmarkStart w:id="1223" w:name="_Toc118274836"/>
      <w:bookmarkStart w:id="1224" w:name="_Toc118274791"/>
      <w:bookmarkStart w:id="1225" w:name="_Toc118274674"/>
      <w:bookmarkStart w:id="1226" w:name="_Toc118274629"/>
      <w:bookmarkStart w:id="1227" w:name="_Toc118273785"/>
      <w:bookmarkStart w:id="1228" w:name="_Toc118273740"/>
      <w:bookmarkStart w:id="1229" w:name="_Toc118273695"/>
      <w:bookmarkStart w:id="1230" w:name="_Toc118273291"/>
      <w:bookmarkStart w:id="1231" w:name="_Toc118272118"/>
      <w:bookmarkStart w:id="1232" w:name="_Toc118215250"/>
      <w:bookmarkStart w:id="1233" w:name="_Toc118215205"/>
      <w:bookmarkStart w:id="1234" w:name="_Toc118215160"/>
      <w:bookmarkStart w:id="1235" w:name="_Toc118215102"/>
      <w:bookmarkStart w:id="1236" w:name="_Toc118215054"/>
      <w:bookmarkStart w:id="1237" w:name="_Toc118215009"/>
      <w:bookmarkStart w:id="1238" w:name="_Toc118214964"/>
      <w:bookmarkStart w:id="1239" w:name="_Toc118214919"/>
      <w:bookmarkStart w:id="1240" w:name="_Toc118214874"/>
      <w:bookmarkStart w:id="1241" w:name="_Toc118213676"/>
      <w:bookmarkStart w:id="1242" w:name="_Toc118213631"/>
      <w:bookmarkStart w:id="1243" w:name="_Toc118213265"/>
      <w:bookmarkStart w:id="1244" w:name="_Toc118212835"/>
      <w:bookmarkStart w:id="1245" w:name="_Toc118212790"/>
      <w:bookmarkStart w:id="1246" w:name="_Toc118203234"/>
      <w:bookmarkStart w:id="1247" w:name="_Toc118203195"/>
      <w:bookmarkStart w:id="1248" w:name="_Toc118201082"/>
      <w:bookmarkStart w:id="1249" w:name="_Toc118201043"/>
      <w:bookmarkStart w:id="1250" w:name="_Toc118143748"/>
      <w:bookmarkStart w:id="1251" w:name="_Toc118143709"/>
      <w:bookmarkStart w:id="1252" w:name="_Toc118143619"/>
      <w:bookmarkStart w:id="1253" w:name="_Toc118143579"/>
      <w:bookmarkStart w:id="1254" w:name="_Toc118138861"/>
      <w:bookmarkStart w:id="1255" w:name="_Toc118138821"/>
      <w:bookmarkStart w:id="1256" w:name="_Toc118138781"/>
      <w:bookmarkStart w:id="1257" w:name="_Toc118137436"/>
      <w:bookmarkStart w:id="1258" w:name="_Toc118137396"/>
      <w:bookmarkStart w:id="1259" w:name="_Toc118136897"/>
      <w:bookmarkStart w:id="1260" w:name="_Toc118136749"/>
      <w:bookmarkStart w:id="1261" w:name="_Toc118131402"/>
      <w:bookmarkStart w:id="1262" w:name="_Toc118131362"/>
      <w:bookmarkStart w:id="1263" w:name="_Toc118130495"/>
      <w:bookmarkStart w:id="1264" w:name="_Toc118130100"/>
      <w:bookmarkStart w:id="1265" w:name="_Toc118130061"/>
      <w:bookmarkStart w:id="1266" w:name="_Toc118129779"/>
      <w:bookmarkStart w:id="1267" w:name="_Toc118129736"/>
      <w:bookmarkStart w:id="1268" w:name="_Toc118129673"/>
      <w:bookmarkStart w:id="1269" w:name="_Toc118129632"/>
      <w:bookmarkStart w:id="1270" w:name="_Toc118127973"/>
      <w:bookmarkStart w:id="1271" w:name="_Toc118127932"/>
      <w:bookmarkStart w:id="1272" w:name="_Toc118127891"/>
      <w:bookmarkStart w:id="1273" w:name="_Toc117865617"/>
      <w:bookmarkStart w:id="1274" w:name="_Toc117862180"/>
      <w:bookmarkStart w:id="1275" w:name="_Toc117862155"/>
      <w:bookmarkStart w:id="1276" w:name="_Toc117862130"/>
      <w:bookmarkStart w:id="1277" w:name="_Toc117862105"/>
      <w:bookmarkStart w:id="1278" w:name="_Toc117862080"/>
      <w:bookmarkStart w:id="1279" w:name="_Toc117844126"/>
      <w:bookmarkStart w:id="1280" w:name="_Toc115342200"/>
      <w:bookmarkStart w:id="1281" w:name="_Toc115342172"/>
      <w:bookmarkStart w:id="1282" w:name="_Toc115169854"/>
      <w:bookmarkStart w:id="1283" w:name="_Toc115169826"/>
      <w:bookmarkStart w:id="1284" w:name="_Toc115169746"/>
      <w:bookmarkStart w:id="1285" w:name="_Toc115169421"/>
      <w:bookmarkStart w:id="1286" w:name="_Toc115169393"/>
      <w:bookmarkStart w:id="1287" w:name="_Toc115168127"/>
      <w:bookmarkStart w:id="1288" w:name="_Toc115168099"/>
      <w:bookmarkStart w:id="1289" w:name="_Toc115165232"/>
      <w:bookmarkStart w:id="1290" w:name="_Toc115165204"/>
      <w:bookmarkStart w:id="1291" w:name="_Toc115094868"/>
      <w:bookmarkStart w:id="1292" w:name="_Toc115094840"/>
      <w:bookmarkStart w:id="1293" w:name="_Toc115094812"/>
      <w:bookmarkStart w:id="1294" w:name="_Toc115094784"/>
      <w:bookmarkStart w:id="1295" w:name="_Toc114649775"/>
      <w:bookmarkStart w:id="1296" w:name="_Toc114649748"/>
      <w:bookmarkStart w:id="1297" w:name="_Toc114649721"/>
      <w:bookmarkStart w:id="1298" w:name="_Toc114649694"/>
      <w:bookmarkStart w:id="1299" w:name="_Toc113548188"/>
      <w:bookmarkStart w:id="1300" w:name="_Toc113548161"/>
      <w:bookmarkStart w:id="1301" w:name="_Toc113366778"/>
      <w:bookmarkStart w:id="1302" w:name="_Toc113366754"/>
      <w:bookmarkStart w:id="1303" w:name="_Toc113366730"/>
      <w:bookmarkStart w:id="1304" w:name="_Toc113365534"/>
      <w:bookmarkStart w:id="1305" w:name="_Toc113365509"/>
      <w:bookmarkStart w:id="1306" w:name="_Toc111104336"/>
      <w:bookmarkStart w:id="1307" w:name="_Toc111104311"/>
      <w:bookmarkStart w:id="1308" w:name="_Toc111103404"/>
      <w:bookmarkStart w:id="1309" w:name="_Toc110851715"/>
      <w:bookmarkStart w:id="1310" w:name="_Toc110850922"/>
      <w:bookmarkStart w:id="1311" w:name="_Toc110850897"/>
      <w:bookmarkStart w:id="1312" w:name="_Toc110848609"/>
      <w:bookmarkStart w:id="1313" w:name="_Toc110848584"/>
      <w:bookmarkStart w:id="1314" w:name="_Toc110848273"/>
      <w:bookmarkStart w:id="1315" w:name="_Toc110848248"/>
      <w:bookmarkStart w:id="1316" w:name="_Toc110845408"/>
      <w:bookmarkStart w:id="1317" w:name="_Toc110845383"/>
      <w:bookmarkStart w:id="1318" w:name="_Toc110254603"/>
      <w:bookmarkStart w:id="1319" w:name="_Toc110254578"/>
      <w:bookmarkStart w:id="1320" w:name="_Toc110244628"/>
      <w:bookmarkStart w:id="1321" w:name="_Toc110244602"/>
      <w:bookmarkStart w:id="1322" w:name="_Toc110242978"/>
      <w:bookmarkStart w:id="1323" w:name="_Toc110240843"/>
      <w:bookmarkStart w:id="1324" w:name="_Toc110240817"/>
      <w:bookmarkStart w:id="1325" w:name="_Toc109388611"/>
      <w:bookmarkStart w:id="1326" w:name="_Toc109388587"/>
      <w:bookmarkStart w:id="1327" w:name="_Toc109388563"/>
      <w:bookmarkStart w:id="1328" w:name="_Toc109388539"/>
      <w:bookmarkStart w:id="1329" w:name="_Toc109385644"/>
      <w:bookmarkStart w:id="1330" w:name="_Toc109385620"/>
      <w:bookmarkStart w:id="1331" w:name="_Toc109384750"/>
      <w:bookmarkStart w:id="1332" w:name="_Toc109384726"/>
      <w:bookmarkStart w:id="1333" w:name="_Toc109384422"/>
      <w:bookmarkStart w:id="1334" w:name="_Toc109375304"/>
      <w:bookmarkStart w:id="1335" w:name="_Toc109375280"/>
      <w:bookmarkStart w:id="1336" w:name="_Toc109318160"/>
      <w:bookmarkStart w:id="1337" w:name="_Toc109296572"/>
      <w:bookmarkStart w:id="1338" w:name="_Toc109295096"/>
      <w:bookmarkStart w:id="1339" w:name="_Toc109295120"/>
      <w:bookmarkStart w:id="1340" w:name="_Toc146029898"/>
      <w:bookmarkStart w:id="1341" w:name="_Toc146029917"/>
      <w:bookmarkStart w:id="1342" w:name="_Toc146029961"/>
      <w:bookmarkStart w:id="1343" w:name="_Toc146029980"/>
      <w:bookmarkStart w:id="1344" w:name="_Toc146030048"/>
      <w:bookmarkStart w:id="1345" w:name="_Toc146030067"/>
      <w:bookmarkStart w:id="1346" w:name="_Toc146032489"/>
      <w:bookmarkStart w:id="1347" w:name="_Toc146032508"/>
      <w:bookmarkStart w:id="1348" w:name="_Toc146032805"/>
      <w:bookmarkStart w:id="1349" w:name="_Toc146032824"/>
      <w:bookmarkStart w:id="1350" w:name="_Toc146111113"/>
      <w:bookmarkStart w:id="1351" w:name="_Toc146111133"/>
      <w:bookmarkStart w:id="1352" w:name="_Toc146111164"/>
      <w:bookmarkStart w:id="1353" w:name="_Toc146111184"/>
      <w:bookmarkStart w:id="1354" w:name="_Toc146111559"/>
      <w:bookmarkStart w:id="1355" w:name="_Toc146111601"/>
      <w:bookmarkStart w:id="1356" w:name="_Toc146112127"/>
      <w:bookmarkStart w:id="1357" w:name="_Toc146112256"/>
      <w:bookmarkStart w:id="1358" w:name="_Toc146112276"/>
      <w:bookmarkStart w:id="1359" w:name="_Toc146112638"/>
      <w:bookmarkStart w:id="1360" w:name="_Toc146112658"/>
      <w:bookmarkStart w:id="1361" w:name="_Toc146112751"/>
      <w:bookmarkStart w:id="1362" w:name="_Toc146112771"/>
      <w:bookmarkStart w:id="1363" w:name="_Toc146113571"/>
      <w:bookmarkStart w:id="1364" w:name="_Toc146113591"/>
      <w:bookmarkStart w:id="1365" w:name="_Toc146529518"/>
      <w:bookmarkStart w:id="1366" w:name="_Toc146529539"/>
      <w:bookmarkStart w:id="1367" w:name="_Toc146529748"/>
      <w:bookmarkStart w:id="1368" w:name="_Toc146529769"/>
      <w:bookmarkStart w:id="1369" w:name="_Toc146529809"/>
      <w:bookmarkStart w:id="1370" w:name="_Toc146529830"/>
      <w:bookmarkStart w:id="1371" w:name="_Toc146532980"/>
      <w:bookmarkStart w:id="1372" w:name="_Toc146533001"/>
      <w:bookmarkStart w:id="1373" w:name="_Toc146533081"/>
      <w:bookmarkStart w:id="1374" w:name="_Toc146533102"/>
      <w:bookmarkStart w:id="1375" w:name="_Toc146533123"/>
      <w:bookmarkStart w:id="1376" w:name="_Toc146533144"/>
      <w:bookmarkStart w:id="1377" w:name="_Toc146533165"/>
      <w:bookmarkStart w:id="1378" w:name="_Toc146533186"/>
      <w:bookmarkStart w:id="1379" w:name="_Toc146701042"/>
      <w:bookmarkStart w:id="1380" w:name="_Toc146701063"/>
      <w:bookmarkStart w:id="1381" w:name="_Toc146701907"/>
      <w:bookmarkStart w:id="1382" w:name="_Toc146701928"/>
      <w:bookmarkStart w:id="1383" w:name="_Toc146701962"/>
      <w:bookmarkStart w:id="1384" w:name="_Toc146701983"/>
      <w:r>
        <w:rPr>
          <w:rFonts w:eastAsia="宋体"/>
        </w:rPr>
        <w:t>To identify</w:t>
      </w:r>
      <w:r w:rsidR="00F204E7">
        <w:rPr>
          <w:rFonts w:eastAsia="宋体"/>
        </w:rPr>
        <w:t xml:space="preserve"> gNB scheduling</w:t>
      </w:r>
      <w:r w:rsidR="0057133F">
        <w:rPr>
          <w:rFonts w:eastAsia="宋体"/>
        </w:rPr>
        <w:t xml:space="preserve"> indication for sidelink on</w:t>
      </w:r>
      <w:r w:rsidR="00041DC1" w:rsidRPr="00382913">
        <w:rPr>
          <w:rFonts w:eastAsia="宋体"/>
        </w:rPr>
        <w:t xml:space="preserve"> licensed </w:t>
      </w:r>
      <w:r w:rsidR="0057133F">
        <w:rPr>
          <w:rFonts w:eastAsia="宋体"/>
        </w:rPr>
        <w:t>spectr</w:t>
      </w:r>
      <w:r w:rsidR="00F6698D">
        <w:rPr>
          <w:rFonts w:eastAsia="宋体"/>
        </w:rPr>
        <w:t>u</w:t>
      </w:r>
      <w:r w:rsidR="0057133F">
        <w:rPr>
          <w:rFonts w:eastAsia="宋体"/>
        </w:rPr>
        <w:t>m and</w:t>
      </w:r>
      <w:r w:rsidR="00467DA4">
        <w:rPr>
          <w:rFonts w:eastAsia="宋体"/>
        </w:rPr>
        <w:t xml:space="preserve"> unlicensed spectrum</w:t>
      </w:r>
      <w:r w:rsidR="0057133F">
        <w:rPr>
          <w:rFonts w:eastAsia="宋体"/>
        </w:rPr>
        <w:t xml:space="preserve">, </w:t>
      </w:r>
      <w:r w:rsidR="001F2022">
        <w:rPr>
          <w:rFonts w:eastAsia="宋体"/>
        </w:rPr>
        <w:t xml:space="preserve">a carrier index </w:t>
      </w:r>
      <w:r w:rsidR="0057133F">
        <w:rPr>
          <w:rFonts w:eastAsia="宋体"/>
        </w:rPr>
        <w:t xml:space="preserve">should be </w:t>
      </w:r>
      <w:r w:rsidR="00263F7E">
        <w:rPr>
          <w:rFonts w:eastAsia="宋体"/>
        </w:rPr>
        <w:t>added in DCI format 3_0</w:t>
      </w:r>
      <w:r w:rsidR="00041DC1" w:rsidRPr="00382913">
        <w:rPr>
          <w:rFonts w:eastAsia="宋体"/>
        </w:rPr>
        <w: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3578E14E" w14:textId="73FB9620" w:rsidR="001C2E5B" w:rsidRPr="00382913" w:rsidRDefault="00DC69F3" w:rsidP="00F51784">
      <w:pPr>
        <w:pStyle w:val="1st-Proposal-YJ"/>
        <w:numPr>
          <w:ilvl w:val="0"/>
          <w:numId w:val="5"/>
        </w:numPr>
        <w:spacing w:before="156" w:after="156"/>
        <w:rPr>
          <w:rFonts w:eastAsiaTheme="minorEastAsia"/>
        </w:rPr>
      </w:pPr>
      <w:bookmarkStart w:id="1385" w:name="_Toc146029899"/>
      <w:bookmarkStart w:id="1386" w:name="_Toc146029918"/>
      <w:bookmarkStart w:id="1387" w:name="_Toc146029962"/>
      <w:bookmarkStart w:id="1388" w:name="_Toc146029981"/>
      <w:bookmarkStart w:id="1389" w:name="_Toc146030049"/>
      <w:bookmarkStart w:id="1390" w:name="_Toc146030068"/>
      <w:bookmarkStart w:id="1391" w:name="_Toc146032490"/>
      <w:bookmarkStart w:id="1392" w:name="_Toc146032509"/>
      <w:bookmarkStart w:id="1393" w:name="_Toc146032806"/>
      <w:bookmarkStart w:id="1394" w:name="_Toc146032825"/>
      <w:bookmarkStart w:id="1395" w:name="_Toc146111114"/>
      <w:bookmarkStart w:id="1396" w:name="_Toc146111134"/>
      <w:bookmarkStart w:id="1397" w:name="_Toc146111165"/>
      <w:bookmarkStart w:id="1398" w:name="_Toc146111185"/>
      <w:bookmarkStart w:id="1399" w:name="_Toc146111560"/>
      <w:bookmarkStart w:id="1400" w:name="_Toc146111602"/>
      <w:bookmarkStart w:id="1401" w:name="_Toc146112128"/>
      <w:bookmarkStart w:id="1402" w:name="_Toc146112257"/>
      <w:bookmarkStart w:id="1403" w:name="_Toc146112277"/>
      <w:bookmarkStart w:id="1404" w:name="_Toc146112639"/>
      <w:bookmarkStart w:id="1405" w:name="_Toc146112659"/>
      <w:bookmarkStart w:id="1406" w:name="_Toc146112752"/>
      <w:bookmarkStart w:id="1407" w:name="_Toc146112772"/>
      <w:bookmarkStart w:id="1408" w:name="_Toc146113572"/>
      <w:bookmarkStart w:id="1409" w:name="_Toc146113592"/>
      <w:bookmarkStart w:id="1410" w:name="_Toc146529519"/>
      <w:bookmarkStart w:id="1411" w:name="_Toc146529540"/>
      <w:bookmarkStart w:id="1412" w:name="_Toc146529749"/>
      <w:bookmarkStart w:id="1413" w:name="_Toc146529770"/>
      <w:bookmarkStart w:id="1414" w:name="_Toc146529810"/>
      <w:bookmarkStart w:id="1415" w:name="_Toc146529831"/>
      <w:bookmarkStart w:id="1416" w:name="_Toc146532981"/>
      <w:bookmarkStart w:id="1417" w:name="_Toc146533002"/>
      <w:bookmarkStart w:id="1418" w:name="_Toc146533082"/>
      <w:bookmarkStart w:id="1419" w:name="_Toc146533103"/>
      <w:bookmarkStart w:id="1420" w:name="_Toc146533124"/>
      <w:bookmarkStart w:id="1421" w:name="_Toc146533145"/>
      <w:bookmarkStart w:id="1422" w:name="_Toc146533166"/>
      <w:bookmarkStart w:id="1423" w:name="_Toc146533187"/>
      <w:bookmarkStart w:id="1424" w:name="_Toc146701043"/>
      <w:bookmarkStart w:id="1425" w:name="_Toc146701064"/>
      <w:bookmarkStart w:id="1426" w:name="_Toc146701908"/>
      <w:bookmarkStart w:id="1427" w:name="_Toc146701929"/>
      <w:bookmarkStart w:id="1428" w:name="_Toc146701963"/>
      <w:bookmarkStart w:id="1429" w:name="_Toc146701984"/>
      <w:r>
        <w:rPr>
          <w:rFonts w:eastAsia="宋体"/>
        </w:rPr>
        <w:t>T</w:t>
      </w:r>
      <w:r w:rsidR="00B13991">
        <w:rPr>
          <w:rFonts w:eastAsia="宋体"/>
        </w:rPr>
        <w:t>he</w:t>
      </w:r>
      <w:r w:rsidR="005D7A9A">
        <w:rPr>
          <w:rFonts w:eastAsia="宋体"/>
        </w:rPr>
        <w:t xml:space="preserve"> </w:t>
      </w:r>
      <w:r w:rsidR="00000D41">
        <w:rPr>
          <w:rFonts w:eastAsia="宋体"/>
        </w:rPr>
        <w:t>RB set(s) indicator should be added</w:t>
      </w:r>
      <w:r>
        <w:rPr>
          <w:rFonts w:eastAsia="宋体"/>
        </w:rPr>
        <w:t xml:space="preserve"> in DCI </w:t>
      </w:r>
      <w:r>
        <w:rPr>
          <w:rFonts w:eastAsia="宋体" w:hint="eastAsia"/>
        </w:rPr>
        <w:t>f</w:t>
      </w:r>
      <w:r>
        <w:rPr>
          <w:rFonts w:eastAsia="宋体"/>
        </w:rPr>
        <w:t>ormat 3_0</w:t>
      </w:r>
      <w:r w:rsidR="00000D41">
        <w:rPr>
          <w:rFonts w:eastAsia="宋体"/>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r w:rsidR="00041DC1" w:rsidRPr="00382913">
        <w:rPr>
          <w:rFonts w:eastAsia="宋体"/>
        </w:rPr>
        <w:t xml:space="preserve"> </w:t>
      </w:r>
    </w:p>
    <w:p w14:paraId="71D439D9" w14:textId="77777777" w:rsidR="00594207" w:rsidRPr="00B55118" w:rsidRDefault="00594207" w:rsidP="00F61FFF">
      <w:pPr>
        <w:pStyle w:val="1"/>
        <w:numPr>
          <w:ilvl w:val="0"/>
          <w:numId w:val="1"/>
        </w:numPr>
        <w:spacing w:before="156" w:after="156"/>
        <w:rPr>
          <w:rFonts w:eastAsia="宋体"/>
          <w:sz w:val="28"/>
          <w:szCs w:val="28"/>
        </w:rPr>
      </w:pPr>
      <w:bookmarkStart w:id="1430" w:name="_Toc101345875"/>
      <w:bookmarkStart w:id="1431" w:name="_Toc101345991"/>
      <w:bookmarkStart w:id="1432" w:name="_Toc101361932"/>
      <w:bookmarkStart w:id="1433" w:name="_Toc101363681"/>
      <w:bookmarkStart w:id="1434" w:name="_Toc101366112"/>
      <w:bookmarkStart w:id="1435" w:name="_Toc101366132"/>
      <w:bookmarkStart w:id="1436" w:name="_Toc101371096"/>
      <w:bookmarkStart w:id="1437" w:name="_Toc101373015"/>
      <w:bookmarkStart w:id="1438" w:name="_Toc101373656"/>
      <w:bookmarkStart w:id="1439" w:name="_Toc101376910"/>
      <w:bookmarkStart w:id="1440" w:name="_Toc101448185"/>
      <w:bookmarkEnd w:id="38"/>
      <w:bookmarkEnd w:id="1430"/>
      <w:bookmarkEnd w:id="1431"/>
      <w:bookmarkEnd w:id="1432"/>
      <w:bookmarkEnd w:id="1433"/>
      <w:bookmarkEnd w:id="1434"/>
      <w:bookmarkEnd w:id="1435"/>
      <w:bookmarkEnd w:id="1436"/>
      <w:bookmarkEnd w:id="1437"/>
      <w:bookmarkEnd w:id="1438"/>
      <w:bookmarkEnd w:id="1439"/>
      <w:bookmarkEnd w:id="1440"/>
      <w:r w:rsidRPr="00B55118">
        <w:rPr>
          <w:rFonts w:eastAsia="宋体"/>
          <w:sz w:val="28"/>
          <w:szCs w:val="28"/>
        </w:rPr>
        <w:lastRenderedPageBreak/>
        <w:t>COT Sharing in SL-U</w:t>
      </w:r>
    </w:p>
    <w:tbl>
      <w:tblPr>
        <w:tblStyle w:val="aa"/>
        <w:tblW w:w="0" w:type="auto"/>
        <w:tblLook w:val="04A0" w:firstRow="1" w:lastRow="0" w:firstColumn="1" w:lastColumn="0" w:noHBand="0" w:noVBand="1"/>
      </w:tblPr>
      <w:tblGrid>
        <w:gridCol w:w="9346"/>
      </w:tblGrid>
      <w:tr w:rsidR="007D6419" w:rsidRPr="00416B14" w14:paraId="27092869" w14:textId="77777777" w:rsidTr="007D6419">
        <w:tc>
          <w:tcPr>
            <w:tcW w:w="9346" w:type="dxa"/>
          </w:tcPr>
          <w:p w14:paraId="0D1CAB10" w14:textId="77777777" w:rsidR="007E06D7" w:rsidRDefault="007E06D7" w:rsidP="004F5662">
            <w:pPr>
              <w:autoSpaceDE w:val="0"/>
              <w:autoSpaceDN w:val="0"/>
              <w:spacing w:beforeLines="0" w:before="0" w:afterLines="0" w:after="0"/>
              <w:rPr>
                <w:bCs/>
                <w:highlight w:val="green"/>
                <w:lang w:eastAsia="en-US"/>
              </w:rPr>
            </w:pPr>
            <w:r>
              <w:rPr>
                <w:bCs/>
                <w:highlight w:val="green"/>
              </w:rPr>
              <w:t>Agreement</w:t>
            </w:r>
          </w:p>
          <w:p w14:paraId="1FDB4447" w14:textId="77777777" w:rsidR="007E06D7" w:rsidRDefault="007E06D7" w:rsidP="004F5662">
            <w:pPr>
              <w:autoSpaceDE w:val="0"/>
              <w:autoSpaceDN w:val="0"/>
              <w:spacing w:beforeLines="0" w:before="0" w:afterLines="0" w:after="0"/>
            </w:pPr>
            <w:r>
              <w:t>“CAPC level of the initiated channel occupancy”, the payload size is 2 bits and it is carried in the 2</w:t>
            </w:r>
            <w:r>
              <w:rPr>
                <w:vertAlign w:val="superscript"/>
              </w:rPr>
              <w:t>nd</w:t>
            </w:r>
            <w:r>
              <w:t xml:space="preserve"> stage SCI.</w:t>
            </w:r>
          </w:p>
          <w:p w14:paraId="0EBA8F7C" w14:textId="77777777" w:rsidR="007E06D7" w:rsidRDefault="007E06D7" w:rsidP="004F5662">
            <w:pPr>
              <w:autoSpaceDE w:val="0"/>
              <w:autoSpaceDN w:val="0"/>
              <w:spacing w:beforeLines="0" w:before="0" w:afterLines="0" w:after="0"/>
              <w:rPr>
                <w:bCs/>
                <w:lang w:eastAsia="en-US"/>
              </w:rPr>
            </w:pPr>
            <w:r>
              <w:rPr>
                <w:bCs/>
                <w:highlight w:val="green"/>
              </w:rPr>
              <w:t>Agreement</w:t>
            </w:r>
          </w:p>
          <w:p w14:paraId="261F457D" w14:textId="77777777" w:rsidR="007E06D7" w:rsidRDefault="007E06D7" w:rsidP="004F5662">
            <w:pPr>
              <w:autoSpaceDE w:val="0"/>
              <w:autoSpaceDN w:val="0"/>
              <w:spacing w:beforeLines="0" w:before="0" w:afterLines="0" w:after="0"/>
            </w:pPr>
            <w:r>
              <w:t>The applicable RB set(s) for COT sharing is derived based on the “Frequency resource assignment” field in the 1</w:t>
            </w:r>
            <w:r>
              <w:rPr>
                <w:vertAlign w:val="superscript"/>
              </w:rPr>
              <w:t>st</w:t>
            </w:r>
            <w:r>
              <w:t xml:space="preserve"> stage SCI corresponding to PSSCH with COT sharing.</w:t>
            </w:r>
          </w:p>
          <w:p w14:paraId="24DB3A8C" w14:textId="77777777" w:rsidR="007E06D7" w:rsidRDefault="007E06D7" w:rsidP="004F5662">
            <w:pPr>
              <w:autoSpaceDE w:val="0"/>
              <w:autoSpaceDN w:val="0"/>
              <w:spacing w:beforeLines="0" w:before="0" w:afterLines="0" w:after="0"/>
              <w:rPr>
                <w:bCs/>
                <w:highlight w:val="darkYellow"/>
                <w:lang w:eastAsia="en-US"/>
              </w:rPr>
            </w:pPr>
            <w:r>
              <w:rPr>
                <w:bCs/>
                <w:highlight w:val="darkYellow"/>
              </w:rPr>
              <w:t>Working assumption</w:t>
            </w:r>
          </w:p>
          <w:p w14:paraId="0961C030" w14:textId="77777777" w:rsidR="007E06D7" w:rsidRDefault="007E06D7" w:rsidP="004F5662">
            <w:pPr>
              <w:autoSpaceDE w:val="0"/>
              <w:autoSpaceDN w:val="0"/>
              <w:spacing w:beforeLines="0" w:before="0" w:afterLines="0" w:after="0"/>
            </w:pPr>
            <w:r>
              <w:t>An “Additional ID(s)” field is supported for unicast, groupcast and broadcast, and it is carried in the 2</w:t>
            </w:r>
            <w:r>
              <w:rPr>
                <w:vertAlign w:val="superscript"/>
              </w:rPr>
              <w:t>nd</w:t>
            </w:r>
            <w:r>
              <w:t xml:space="preserve"> stage SCI.</w:t>
            </w:r>
          </w:p>
          <w:p w14:paraId="0616B52D" w14:textId="77777777" w:rsidR="007E06D7" w:rsidRDefault="007E06D7" w:rsidP="004F5662">
            <w:pPr>
              <w:pStyle w:val="a3"/>
              <w:numPr>
                <w:ilvl w:val="0"/>
                <w:numId w:val="31"/>
              </w:numPr>
              <w:ind w:left="720" w:firstLineChars="0"/>
              <w:jc w:val="left"/>
            </w:pPr>
            <w:r>
              <w:t>One pair of L1 source and destination IDs of 24 bits for all cast types + 2 bits for the cast type</w:t>
            </w:r>
          </w:p>
          <w:p w14:paraId="30313A9E" w14:textId="77777777" w:rsidR="007E06D7" w:rsidRDefault="007E06D7" w:rsidP="004F5662">
            <w:pPr>
              <w:pStyle w:val="a3"/>
              <w:numPr>
                <w:ilvl w:val="1"/>
                <w:numId w:val="31"/>
              </w:numPr>
              <w:ind w:left="1440" w:firstLineChars="0"/>
              <w:jc w:val="left"/>
            </w:pPr>
            <w:r>
              <w:t>At least for unicast, the source ID is set to the source ID of the COT initiator corresponding to the intended destination</w:t>
            </w:r>
          </w:p>
          <w:p w14:paraId="1763FA7E" w14:textId="77777777" w:rsidR="007E06D7" w:rsidRDefault="007E06D7" w:rsidP="004F5662">
            <w:pPr>
              <w:autoSpaceDE w:val="0"/>
              <w:autoSpaceDN w:val="0"/>
              <w:spacing w:beforeLines="0" w:before="0" w:afterLines="0" w:after="0"/>
              <w:rPr>
                <w:bCs/>
                <w:lang w:eastAsia="en-US"/>
              </w:rPr>
            </w:pPr>
            <w:r>
              <w:rPr>
                <w:bCs/>
                <w:highlight w:val="green"/>
              </w:rPr>
              <w:t>Agreement</w:t>
            </w:r>
          </w:p>
          <w:p w14:paraId="718D6287" w14:textId="77777777" w:rsidR="007E06D7" w:rsidRPr="007E74DF" w:rsidRDefault="007E06D7" w:rsidP="004F5662">
            <w:pPr>
              <w:autoSpaceDE w:val="0"/>
              <w:autoSpaceDN w:val="0"/>
              <w:spacing w:beforeLines="0" w:before="0" w:afterLines="0" w:after="0"/>
            </w:pPr>
            <w:r w:rsidRPr="007E74DF">
              <w:t>“Remaining COT duration” is expressed in physical slots and it is carried in the 2</w:t>
            </w:r>
            <w:r w:rsidRPr="007E74DF">
              <w:rPr>
                <w:vertAlign w:val="superscript"/>
              </w:rPr>
              <w:t>nd</w:t>
            </w:r>
            <w:r w:rsidRPr="007E74DF">
              <w:t xml:space="preserve"> stage SCI. The payload size is 4 bits in 15kHz, 5 bits in 30kHz and 6 bits in 60kHz</w:t>
            </w:r>
          </w:p>
          <w:p w14:paraId="5809BC11" w14:textId="77777777" w:rsidR="007E06D7" w:rsidRDefault="007E06D7" w:rsidP="004F5662">
            <w:pPr>
              <w:pStyle w:val="a3"/>
              <w:numPr>
                <w:ilvl w:val="0"/>
                <w:numId w:val="31"/>
              </w:numPr>
              <w:ind w:left="720" w:firstLineChars="0"/>
              <w:jc w:val="left"/>
            </w:pPr>
            <w:r w:rsidRPr="007E74DF">
              <w:t>If the indicated remaining COT duration is 0 sl</w:t>
            </w:r>
            <w:r>
              <w:t>ot, then the COT is not shared by the initiator UE.</w:t>
            </w:r>
          </w:p>
          <w:p w14:paraId="0880CF17" w14:textId="77777777" w:rsidR="007E06D7" w:rsidRDefault="007E06D7" w:rsidP="004F5662">
            <w:pPr>
              <w:pStyle w:val="a3"/>
              <w:numPr>
                <w:ilvl w:val="0"/>
                <w:numId w:val="31"/>
              </w:numPr>
              <w:ind w:left="720" w:firstLineChars="0"/>
              <w:jc w:val="left"/>
            </w:pPr>
            <w:r>
              <w:t>The starting slot for the remaining COT duration is the slot in which the COT-SI is transmitted.</w:t>
            </w:r>
          </w:p>
          <w:p w14:paraId="509562F2" w14:textId="77777777" w:rsidR="007E06D7" w:rsidRDefault="007E06D7" w:rsidP="004F5662">
            <w:pPr>
              <w:pStyle w:val="a3"/>
              <w:numPr>
                <w:ilvl w:val="1"/>
                <w:numId w:val="31"/>
              </w:numPr>
              <w:ind w:left="1440" w:firstLineChars="0"/>
              <w:jc w:val="left"/>
              <w:rPr>
                <w:color w:val="000000"/>
              </w:rPr>
            </w:pPr>
            <w:r>
              <w:rPr>
                <w:color w:val="000000"/>
              </w:rPr>
              <w:t>Note, when the COT-SI is transmitted in slot n, and if the remaining COT duration is set to K, then the end of the COT duration to share is slot n+K.</w:t>
            </w:r>
          </w:p>
          <w:p w14:paraId="0E01C398" w14:textId="77777777" w:rsidR="007E06D7" w:rsidRDefault="007E06D7" w:rsidP="004F5662">
            <w:pPr>
              <w:pStyle w:val="a3"/>
              <w:autoSpaceDE w:val="0"/>
              <w:autoSpaceDN w:val="0"/>
              <w:ind w:firstLine="400"/>
              <w:rPr>
                <w:color w:val="000000"/>
              </w:rPr>
            </w:pPr>
            <w:r>
              <w:rPr>
                <w:color w:val="000000"/>
              </w:rPr>
              <w:t xml:space="preserve">Note: </w:t>
            </w:r>
            <w:r>
              <w:t>“Remaining COT duration” cannot be such that the COT exceeds the maximum COT duration.</w:t>
            </w:r>
          </w:p>
          <w:p w14:paraId="6940A941" w14:textId="77777777" w:rsidR="007E06D7" w:rsidRPr="007E06D7" w:rsidRDefault="007E06D7" w:rsidP="004F5662">
            <w:pPr>
              <w:spacing w:beforeLines="0" w:before="0" w:afterLines="0" w:after="0"/>
              <w:rPr>
                <w:rStyle w:val="af3"/>
                <w:highlight w:val="green"/>
              </w:rPr>
            </w:pPr>
          </w:p>
          <w:p w14:paraId="3B0826F0" w14:textId="1435A67C" w:rsidR="007E06D7" w:rsidRDefault="007E06D7" w:rsidP="004F5662">
            <w:pPr>
              <w:spacing w:beforeLines="0" w:before="0" w:afterLines="0" w:after="0"/>
              <w:rPr>
                <w:b/>
              </w:rPr>
            </w:pPr>
            <w:r>
              <w:rPr>
                <w:rStyle w:val="af3"/>
                <w:highlight w:val="green"/>
              </w:rPr>
              <w:t>Agreement</w:t>
            </w:r>
          </w:p>
          <w:p w14:paraId="42CAA7B8" w14:textId="77777777" w:rsidR="007E06D7" w:rsidRDefault="007E06D7" w:rsidP="004F5662">
            <w:pPr>
              <w:autoSpaceDE w:val="0"/>
              <w:autoSpaceDN w:val="0"/>
              <w:spacing w:beforeLines="0" w:before="0" w:afterLines="0" w:after="0"/>
              <w:rPr>
                <w:szCs w:val="22"/>
                <w:lang w:eastAsia="en-US"/>
              </w:rPr>
            </w:pPr>
            <w:r>
              <w:rPr>
                <w:szCs w:val="22"/>
              </w:rPr>
              <w:t>For the additional ID, where one pair of L1 source and destination IDs of 24 bits for all cast types:</w:t>
            </w:r>
          </w:p>
          <w:p w14:paraId="25D63DAF" w14:textId="3F2952E7" w:rsidR="00C91891" w:rsidRPr="00966842" w:rsidRDefault="007E06D7" w:rsidP="004F5662">
            <w:pPr>
              <w:pStyle w:val="a3"/>
              <w:numPr>
                <w:ilvl w:val="0"/>
                <w:numId w:val="34"/>
              </w:numPr>
              <w:autoSpaceDE w:val="0"/>
              <w:autoSpaceDN w:val="0"/>
              <w:ind w:firstLineChars="0" w:firstLine="0"/>
              <w:jc w:val="left"/>
              <w:rPr>
                <w:rFonts w:eastAsiaTheme="minorEastAsia" w:cs="Times New Roman"/>
                <w:b/>
              </w:rPr>
            </w:pPr>
            <w:r w:rsidRPr="007E06D7">
              <w:rPr>
                <w:szCs w:val="22"/>
              </w:rPr>
              <w:t>For groupcast and broadcast, only L1 destination ID is provided, and source ID bits are reserved.</w:t>
            </w:r>
          </w:p>
        </w:tc>
      </w:tr>
    </w:tbl>
    <w:p w14:paraId="70A0041A" w14:textId="6B400477" w:rsidR="00B61AA2" w:rsidRDefault="00C46D67" w:rsidP="00AC13E1">
      <w:pPr>
        <w:spacing w:before="156" w:after="156"/>
        <w:rPr>
          <w:rFonts w:eastAsia="宋体" w:cs="Times New Roman"/>
        </w:rPr>
      </w:pPr>
      <w:r w:rsidRPr="00B55118">
        <w:rPr>
          <w:rFonts w:eastAsia="宋体" w:cs="Times New Roman"/>
        </w:rPr>
        <w:t>According to the agreement o</w:t>
      </w:r>
      <w:r>
        <w:rPr>
          <w:rFonts w:eastAsia="宋体" w:cs="Times New Roman"/>
        </w:rPr>
        <w:t>f</w:t>
      </w:r>
      <w:r w:rsidRPr="00B55118">
        <w:rPr>
          <w:rFonts w:eastAsia="宋体" w:cs="Times New Roman"/>
        </w:rPr>
        <w:t xml:space="preserve"> </w:t>
      </w:r>
      <w:r w:rsidR="00BC7B75">
        <w:rPr>
          <w:rFonts w:eastAsia="宋体" w:cs="Times New Roman"/>
        </w:rPr>
        <w:t xml:space="preserve">the </w:t>
      </w:r>
      <w:r>
        <w:rPr>
          <w:rFonts w:eastAsia="宋体" w:cs="Times New Roman"/>
        </w:rPr>
        <w:t xml:space="preserve">COT sharing indication above, the indicator and relevant overhead are shown in </w:t>
      </w:r>
      <w:r w:rsidR="00B61AA2">
        <w:rPr>
          <w:rFonts w:eastAsia="宋体" w:cs="Times New Roman"/>
        </w:rPr>
        <w:fldChar w:fldCharType="begin"/>
      </w:r>
      <w:r w:rsidR="00B61AA2">
        <w:rPr>
          <w:rFonts w:eastAsia="宋体" w:cs="Times New Roman"/>
        </w:rPr>
        <w:instrText xml:space="preserve"> REF _Ref140063347 \h </w:instrText>
      </w:r>
      <w:r w:rsidR="00B61AA2">
        <w:rPr>
          <w:rFonts w:eastAsia="宋体" w:cs="Times New Roman"/>
        </w:rPr>
      </w:r>
      <w:r w:rsidR="00B61AA2">
        <w:rPr>
          <w:rFonts w:eastAsia="宋体" w:cs="Times New Roman"/>
        </w:rPr>
        <w:fldChar w:fldCharType="separate"/>
      </w:r>
      <w:r w:rsidR="00E52A2E" w:rsidRPr="00966842">
        <w:rPr>
          <w:rFonts w:cs="Times New Roman"/>
        </w:rPr>
        <w:t xml:space="preserve">Table </w:t>
      </w:r>
      <w:r w:rsidR="00E52A2E">
        <w:rPr>
          <w:rFonts w:cs="Times New Roman"/>
          <w:noProof/>
        </w:rPr>
        <w:t>1</w:t>
      </w:r>
      <w:r w:rsidR="00B61AA2">
        <w:rPr>
          <w:rFonts w:eastAsia="宋体" w:cs="Times New Roman"/>
        </w:rPr>
        <w:fldChar w:fldCharType="end"/>
      </w:r>
      <w:r w:rsidR="00974C89">
        <w:rPr>
          <w:rFonts w:eastAsia="宋体" w:cs="Times New Roman"/>
        </w:rPr>
        <w:t xml:space="preserve">, and </w:t>
      </w:r>
      <w:r w:rsidR="0066615D">
        <w:rPr>
          <w:rFonts w:eastAsia="宋体" w:cs="Times New Roman"/>
        </w:rPr>
        <w:t>the total overhead of the COT-SI is more than 30 bits</w:t>
      </w:r>
      <w:r w:rsidR="00916CCA">
        <w:rPr>
          <w:rFonts w:eastAsia="宋体" w:cs="Times New Roman"/>
        </w:rPr>
        <w:t>.</w:t>
      </w:r>
      <w:r w:rsidR="0066615D">
        <w:rPr>
          <w:rFonts w:eastAsia="宋体" w:cs="Times New Roman"/>
        </w:rPr>
        <w:t xml:space="preserve"> </w:t>
      </w:r>
      <w:r w:rsidR="005D5144">
        <w:rPr>
          <w:rFonts w:eastAsia="宋体" w:cs="Times New Roman"/>
        </w:rPr>
        <w:t>In</w:t>
      </w:r>
      <w:r w:rsidR="0066615D">
        <w:rPr>
          <w:rFonts w:eastAsia="宋体" w:cs="Times New Roman"/>
        </w:rPr>
        <w:t xml:space="preserve"> the case that the init</w:t>
      </w:r>
      <w:r w:rsidR="005D5144">
        <w:rPr>
          <w:rFonts w:eastAsia="宋体" w:cs="Times New Roman"/>
        </w:rPr>
        <w:t>i</w:t>
      </w:r>
      <w:r w:rsidR="0066615D">
        <w:rPr>
          <w:rFonts w:eastAsia="宋体" w:cs="Times New Roman"/>
        </w:rPr>
        <w:t>ating UE does not</w:t>
      </w:r>
      <w:r w:rsidR="001807A6">
        <w:rPr>
          <w:rFonts w:eastAsia="宋体" w:cs="Times New Roman"/>
        </w:rPr>
        <w:t xml:space="preserve"> want to</w:t>
      </w:r>
      <w:r w:rsidR="0066615D">
        <w:rPr>
          <w:rFonts w:eastAsia="宋体" w:cs="Times New Roman"/>
        </w:rPr>
        <w:t xml:space="preserve"> share the CO or</w:t>
      </w:r>
      <w:r w:rsidR="00916CCA">
        <w:rPr>
          <w:rFonts w:eastAsia="宋体" w:cs="Times New Roman"/>
        </w:rPr>
        <w:t xml:space="preserve"> </w:t>
      </w:r>
      <w:r w:rsidR="00613FA5">
        <w:rPr>
          <w:rFonts w:eastAsia="宋体" w:cs="Times New Roman"/>
        </w:rPr>
        <w:t xml:space="preserve">tends to </w:t>
      </w:r>
      <w:r w:rsidR="0066615D">
        <w:rPr>
          <w:rFonts w:eastAsia="宋体" w:cs="Times New Roman"/>
        </w:rPr>
        <w:t>indicate the COT-SI in a later slot</w:t>
      </w:r>
      <w:r w:rsidR="00FD67F6">
        <w:rPr>
          <w:rFonts w:eastAsia="宋体" w:cs="Times New Roman"/>
        </w:rPr>
        <w:t xml:space="preserve"> within a CO</w:t>
      </w:r>
      <w:r w:rsidR="0066615D">
        <w:rPr>
          <w:rFonts w:eastAsia="宋体" w:cs="Times New Roman"/>
        </w:rPr>
        <w:t xml:space="preserve">, </w:t>
      </w:r>
      <w:r w:rsidR="00FA234C">
        <w:rPr>
          <w:rFonts w:eastAsia="宋体" w:cs="Times New Roman"/>
        </w:rPr>
        <w:t xml:space="preserve">it is unnecessary to contain the sharing information with the SCI for </w:t>
      </w:r>
      <w:r w:rsidR="00B95CC1">
        <w:rPr>
          <w:rFonts w:eastAsia="宋体" w:cs="Times New Roman"/>
        </w:rPr>
        <w:t xml:space="preserve">current </w:t>
      </w:r>
      <w:r w:rsidR="00FA234C">
        <w:rPr>
          <w:rFonts w:eastAsia="宋体" w:cs="Times New Roman"/>
        </w:rPr>
        <w:t>PSSCH transmission</w:t>
      </w:r>
      <w:r w:rsidR="00F81BE7">
        <w:rPr>
          <w:rFonts w:eastAsia="宋体" w:cs="Times New Roman"/>
        </w:rPr>
        <w:t>,</w:t>
      </w:r>
      <w:r w:rsidR="00FA234C">
        <w:rPr>
          <w:rFonts w:eastAsia="宋体" w:cs="Times New Roman"/>
        </w:rPr>
        <w:t xml:space="preserve"> and it would</w:t>
      </w:r>
      <w:r w:rsidR="00B95CC1">
        <w:rPr>
          <w:rFonts w:eastAsia="宋体" w:cs="Times New Roman"/>
        </w:rPr>
        <w:t xml:space="preserve"> occupy available REs for PSSCH</w:t>
      </w:r>
      <w:r w:rsidR="0066615D">
        <w:rPr>
          <w:rFonts w:eastAsia="宋体" w:cs="Times New Roman"/>
        </w:rPr>
        <w:t>. Therefore, we propose to use a dedicated 2</w:t>
      </w:r>
      <w:r w:rsidR="0066615D" w:rsidRPr="00966842">
        <w:rPr>
          <w:rFonts w:eastAsia="宋体" w:cs="Times New Roman"/>
          <w:vertAlign w:val="superscript"/>
        </w:rPr>
        <w:t>nd</w:t>
      </w:r>
      <w:r w:rsidR="0066615D">
        <w:rPr>
          <w:rFonts w:eastAsia="宋体" w:cs="Times New Roman"/>
        </w:rPr>
        <w:t>-stage SCI for carrying the COT sharing information.</w:t>
      </w:r>
      <w:r w:rsidR="004E2CB8">
        <w:rPr>
          <w:rFonts w:eastAsia="宋体" w:cs="Times New Roman"/>
        </w:rPr>
        <w:t xml:space="preserve"> It is to say, </w:t>
      </w:r>
      <w:r w:rsidR="00016D8C">
        <w:rPr>
          <w:rFonts w:eastAsia="宋体" w:cs="Times New Roman"/>
        </w:rPr>
        <w:t>a</w:t>
      </w:r>
      <w:r w:rsidR="005D5144">
        <w:rPr>
          <w:rFonts w:eastAsia="宋体" w:cs="Times New Roman"/>
        </w:rPr>
        <w:t>n</w:t>
      </w:r>
      <w:r w:rsidR="00016D8C">
        <w:rPr>
          <w:rFonts w:eastAsia="宋体" w:cs="Times New Roman"/>
        </w:rPr>
        <w:t xml:space="preserve"> indicator should be involved in the 1</w:t>
      </w:r>
      <w:r w:rsidR="00016D8C" w:rsidRPr="00016D8C">
        <w:rPr>
          <w:rFonts w:eastAsia="宋体" w:cs="Times New Roman"/>
          <w:vertAlign w:val="superscript"/>
        </w:rPr>
        <w:t>st</w:t>
      </w:r>
      <w:r w:rsidR="00016D8C">
        <w:rPr>
          <w:rFonts w:eastAsia="宋体" w:cs="Times New Roman"/>
        </w:rPr>
        <w:t xml:space="preserve">-stage SCI which </w:t>
      </w:r>
      <w:r w:rsidR="0011466B">
        <w:rPr>
          <w:rFonts w:eastAsia="宋体" w:cs="Times New Roman"/>
        </w:rPr>
        <w:t>indicate</w:t>
      </w:r>
      <w:r w:rsidR="005D5144">
        <w:rPr>
          <w:rFonts w:eastAsia="宋体" w:cs="Times New Roman"/>
        </w:rPr>
        <w:t>s</w:t>
      </w:r>
      <w:r w:rsidR="0011466B">
        <w:rPr>
          <w:rFonts w:eastAsia="宋体" w:cs="Times New Roman"/>
        </w:rPr>
        <w:t xml:space="preserve"> whether there is </w:t>
      </w:r>
      <w:r w:rsidR="00016D8C">
        <w:rPr>
          <w:rFonts w:eastAsia="宋体" w:cs="Times New Roman"/>
        </w:rPr>
        <w:t>a dedicated 2</w:t>
      </w:r>
      <w:r w:rsidR="00016D8C" w:rsidRPr="00016D8C">
        <w:rPr>
          <w:rFonts w:eastAsia="宋体" w:cs="Times New Roman"/>
          <w:vertAlign w:val="superscript"/>
        </w:rPr>
        <w:t>nd</w:t>
      </w:r>
      <w:r w:rsidR="00016D8C">
        <w:rPr>
          <w:rFonts w:eastAsia="宋体" w:cs="Times New Roman"/>
        </w:rPr>
        <w:t>-stage SCI for COT-SI, e.g., SCI format 2E</w:t>
      </w:r>
      <w:r w:rsidR="00097B73">
        <w:rPr>
          <w:rFonts w:eastAsia="宋体" w:cs="Times New Roman"/>
        </w:rPr>
        <w:t>,</w:t>
      </w:r>
      <w:r w:rsidR="00016D8C">
        <w:rPr>
          <w:rFonts w:eastAsia="宋体" w:cs="Times New Roman"/>
        </w:rPr>
        <w:t xml:space="preserve"> multiplexing with legacy </w:t>
      </w:r>
      <w:r w:rsidR="00097B73">
        <w:rPr>
          <w:rFonts w:eastAsia="宋体" w:cs="Times New Roman"/>
        </w:rPr>
        <w:t xml:space="preserve">SCI format 2A or 2B in PSSCH resources. </w:t>
      </w:r>
      <w:r w:rsidR="006E5D15">
        <w:rPr>
          <w:rFonts w:eastAsia="宋体" w:cs="Times New Roman"/>
        </w:rPr>
        <w:t>Based on that, only legacy SCI format 2A/2B should be contained in PSSCH resource</w:t>
      </w:r>
      <w:r w:rsidR="00FA5DF4">
        <w:rPr>
          <w:rFonts w:eastAsia="宋体" w:cs="Times New Roman"/>
        </w:rPr>
        <w:t>s</w:t>
      </w:r>
      <w:r w:rsidR="006E5D15">
        <w:rPr>
          <w:rFonts w:eastAsia="宋体" w:cs="Times New Roman"/>
        </w:rPr>
        <w:t xml:space="preserve"> </w:t>
      </w:r>
      <w:r w:rsidR="0093282C">
        <w:rPr>
          <w:rFonts w:eastAsia="宋体" w:cs="Times New Roman"/>
        </w:rPr>
        <w:t xml:space="preserve">for </w:t>
      </w:r>
      <w:r w:rsidR="00FA5DF4">
        <w:rPr>
          <w:rFonts w:eastAsia="宋体" w:cs="Times New Roman"/>
        </w:rPr>
        <w:t xml:space="preserve">the </w:t>
      </w:r>
      <w:r w:rsidR="0093282C">
        <w:rPr>
          <w:rFonts w:eastAsia="宋体" w:cs="Times New Roman"/>
        </w:rPr>
        <w:t xml:space="preserve">COT </w:t>
      </w:r>
      <w:r w:rsidR="00E01619">
        <w:rPr>
          <w:rFonts w:eastAsia="宋体" w:cs="Times New Roman"/>
        </w:rPr>
        <w:t xml:space="preserve">is not for </w:t>
      </w:r>
      <w:r w:rsidR="0093282C">
        <w:rPr>
          <w:rFonts w:eastAsia="宋体" w:cs="Times New Roman"/>
        </w:rPr>
        <w:t>sharing, and both</w:t>
      </w:r>
      <w:r w:rsidR="006E5D15">
        <w:rPr>
          <w:rFonts w:eastAsia="宋体" w:cs="Times New Roman"/>
        </w:rPr>
        <w:t xml:space="preserve"> </w:t>
      </w:r>
      <w:r w:rsidR="005D5144">
        <w:rPr>
          <w:rFonts w:eastAsia="宋体" w:cs="Times New Roman"/>
        </w:rPr>
        <w:t xml:space="preserve">SCI </w:t>
      </w:r>
      <w:r w:rsidR="006E5D15">
        <w:rPr>
          <w:rFonts w:eastAsia="宋体" w:cs="Times New Roman"/>
        </w:rPr>
        <w:t>format 2A/2B + 2E for the case that COT-SI is needed.</w:t>
      </w:r>
      <w:r w:rsidR="00AA43D2">
        <w:rPr>
          <w:rFonts w:eastAsia="宋体" w:cs="Times New Roman"/>
        </w:rPr>
        <w:t xml:space="preserve"> When COT-SI is indicated, it should</w:t>
      </w:r>
      <w:r w:rsidR="00B05918">
        <w:rPr>
          <w:rFonts w:eastAsia="宋体" w:cs="Times New Roman"/>
        </w:rPr>
        <w:t xml:space="preserve"> be</w:t>
      </w:r>
      <w:r w:rsidR="00AA43D2">
        <w:rPr>
          <w:rFonts w:eastAsia="宋体" w:cs="Times New Roman"/>
        </w:rPr>
        <w:t xml:space="preserve"> </w:t>
      </w:r>
      <w:r w:rsidR="00B05918">
        <w:rPr>
          <w:rFonts w:eastAsia="宋体" w:cs="Times New Roman"/>
        </w:rPr>
        <w:t>multiplex</w:t>
      </w:r>
      <w:r w:rsidR="00EB4474">
        <w:rPr>
          <w:rFonts w:eastAsia="宋体" w:cs="Times New Roman"/>
        </w:rPr>
        <w:t>ed</w:t>
      </w:r>
      <w:r w:rsidR="00B05918">
        <w:rPr>
          <w:rFonts w:eastAsia="宋体" w:cs="Times New Roman"/>
        </w:rPr>
        <w:t xml:space="preserve"> in PSSCH</w:t>
      </w:r>
      <w:r w:rsidR="00AA43D2">
        <w:rPr>
          <w:rFonts w:eastAsia="宋体" w:cs="Times New Roman"/>
        </w:rPr>
        <w:t xml:space="preserve"> after the legacy format 2A/2B </w:t>
      </w:r>
      <w:r w:rsidR="008B41DC">
        <w:rPr>
          <w:rFonts w:eastAsia="宋体" w:cs="Times New Roman"/>
        </w:rPr>
        <w:t>using the same mapping rule.</w:t>
      </w:r>
    </w:p>
    <w:p w14:paraId="2BD60D42" w14:textId="7D6821DE" w:rsidR="00B61AA2" w:rsidRPr="00BA6339" w:rsidRDefault="00B61AA2" w:rsidP="00B61AA2">
      <w:pPr>
        <w:pStyle w:val="af6"/>
        <w:keepNext/>
        <w:spacing w:before="156" w:after="156"/>
        <w:jc w:val="center"/>
        <w:rPr>
          <w:rFonts w:cs="Times New Roman"/>
        </w:rPr>
      </w:pPr>
      <w:bookmarkStart w:id="1441" w:name="_Ref140063347"/>
      <w:r w:rsidRPr="00966842">
        <w:rPr>
          <w:rFonts w:ascii="Times New Roman" w:hAnsi="Times New Roman" w:cs="Times New Roman"/>
        </w:rPr>
        <w:t xml:space="preserve">Table </w:t>
      </w:r>
      <w:r w:rsidRPr="00966842">
        <w:rPr>
          <w:rFonts w:ascii="Times New Roman" w:hAnsi="Times New Roman" w:cs="Times New Roman"/>
        </w:rPr>
        <w:fldChar w:fldCharType="begin"/>
      </w:r>
      <w:r w:rsidRPr="00966842">
        <w:rPr>
          <w:rFonts w:ascii="Times New Roman" w:hAnsi="Times New Roman" w:cs="Times New Roman"/>
        </w:rPr>
        <w:instrText xml:space="preserve"> SEQ Table \* ARABIC </w:instrText>
      </w:r>
      <w:r w:rsidRPr="00966842">
        <w:rPr>
          <w:rFonts w:ascii="Times New Roman" w:hAnsi="Times New Roman" w:cs="Times New Roman"/>
        </w:rPr>
        <w:fldChar w:fldCharType="separate"/>
      </w:r>
      <w:r w:rsidR="00E52A2E">
        <w:rPr>
          <w:rFonts w:ascii="Times New Roman" w:hAnsi="Times New Roman" w:cs="Times New Roman"/>
          <w:noProof/>
        </w:rPr>
        <w:t>1</w:t>
      </w:r>
      <w:r w:rsidRPr="00966842">
        <w:rPr>
          <w:rFonts w:ascii="Times New Roman" w:hAnsi="Times New Roman" w:cs="Times New Roman"/>
        </w:rPr>
        <w:fldChar w:fldCharType="end"/>
      </w:r>
      <w:bookmarkEnd w:id="1441"/>
      <w:r>
        <w:rPr>
          <w:rFonts w:ascii="Times New Roman" w:hAnsi="Times New Roman" w:cs="Times New Roman"/>
        </w:rPr>
        <w:t xml:space="preserve"> </w:t>
      </w:r>
      <w:r w:rsidR="00FD67F6">
        <w:rPr>
          <w:rFonts w:ascii="Times New Roman" w:hAnsi="Times New Roman" w:cs="Times New Roman"/>
        </w:rPr>
        <w:t>COT-S</w:t>
      </w:r>
      <w:r>
        <w:rPr>
          <w:rFonts w:ascii="Times New Roman" w:hAnsi="Times New Roman" w:cs="Times New Roman"/>
        </w:rPr>
        <w:t>I indicators</w:t>
      </w:r>
    </w:p>
    <w:tbl>
      <w:tblPr>
        <w:tblStyle w:val="aa"/>
        <w:tblW w:w="0" w:type="auto"/>
        <w:jc w:val="center"/>
        <w:tblLook w:val="04A0" w:firstRow="1" w:lastRow="0" w:firstColumn="1" w:lastColumn="0" w:noHBand="0" w:noVBand="1"/>
      </w:tblPr>
      <w:tblGrid>
        <w:gridCol w:w="3256"/>
        <w:gridCol w:w="2835"/>
      </w:tblGrid>
      <w:tr w:rsidR="00B61AA2" w14:paraId="7EAB848C" w14:textId="77777777" w:rsidTr="00EE4277">
        <w:trPr>
          <w:jc w:val="center"/>
        </w:trPr>
        <w:tc>
          <w:tcPr>
            <w:tcW w:w="3256" w:type="dxa"/>
          </w:tcPr>
          <w:p w14:paraId="4DC777CA" w14:textId="77777777" w:rsidR="00B61AA2" w:rsidRDefault="00B61AA2" w:rsidP="00B33C6C">
            <w:pPr>
              <w:spacing w:beforeLines="0" w:before="0" w:afterLines="0" w:after="0"/>
              <w:jc w:val="center"/>
              <w:rPr>
                <w:rFonts w:eastAsia="宋体" w:cs="Times New Roman"/>
              </w:rPr>
            </w:pPr>
            <w:r>
              <w:rPr>
                <w:rFonts w:eastAsia="宋体" w:cs="Times New Roman"/>
              </w:rPr>
              <w:t>Content</w:t>
            </w:r>
          </w:p>
        </w:tc>
        <w:tc>
          <w:tcPr>
            <w:tcW w:w="2835" w:type="dxa"/>
          </w:tcPr>
          <w:p w14:paraId="784B5FEA" w14:textId="77777777" w:rsidR="00B61AA2" w:rsidRPr="00D57340" w:rsidRDefault="00B61AA2" w:rsidP="00B33C6C">
            <w:pPr>
              <w:spacing w:beforeLines="0" w:before="0" w:afterLines="0" w:after="0"/>
              <w:jc w:val="center"/>
              <w:rPr>
                <w:rFonts w:eastAsia="宋体" w:cs="Times New Roman"/>
              </w:rPr>
            </w:pPr>
            <w:r w:rsidRPr="009C4EEC">
              <w:rPr>
                <w:rFonts w:eastAsia="宋体" w:cs="Times New Roman"/>
              </w:rPr>
              <w:t>Over</w:t>
            </w:r>
            <w:r w:rsidRPr="00D57340">
              <w:rPr>
                <w:rFonts w:eastAsia="宋体" w:cs="Times New Roman"/>
              </w:rPr>
              <w:t>head (bit)</w:t>
            </w:r>
          </w:p>
        </w:tc>
      </w:tr>
      <w:tr w:rsidR="00B61AA2" w14:paraId="168ADE6C" w14:textId="77777777" w:rsidTr="00EE4277">
        <w:trPr>
          <w:jc w:val="center"/>
        </w:trPr>
        <w:tc>
          <w:tcPr>
            <w:tcW w:w="3256" w:type="dxa"/>
          </w:tcPr>
          <w:p w14:paraId="50593EF6" w14:textId="77777777" w:rsidR="00B61AA2" w:rsidRDefault="00B61AA2" w:rsidP="00B33C6C">
            <w:pPr>
              <w:spacing w:beforeLines="0" w:before="0" w:afterLines="0" w:after="0"/>
              <w:rPr>
                <w:rFonts w:eastAsia="宋体" w:cs="Times New Roman"/>
              </w:rPr>
            </w:pPr>
            <w:r>
              <w:rPr>
                <w:rFonts w:eastAsia="宋体" w:cs="Times New Roman" w:hint="eastAsia"/>
              </w:rPr>
              <w:t>C</w:t>
            </w:r>
            <w:r>
              <w:rPr>
                <w:rFonts w:eastAsia="宋体" w:cs="Times New Roman"/>
              </w:rPr>
              <w:t>APC</w:t>
            </w:r>
          </w:p>
        </w:tc>
        <w:tc>
          <w:tcPr>
            <w:tcW w:w="2835" w:type="dxa"/>
          </w:tcPr>
          <w:p w14:paraId="0AD1327F" w14:textId="77777777" w:rsidR="00B61AA2" w:rsidRPr="009C4EEC" w:rsidRDefault="00B61AA2" w:rsidP="007614B7">
            <w:pPr>
              <w:spacing w:beforeLines="0" w:before="0" w:afterLines="0" w:after="0"/>
              <w:jc w:val="center"/>
              <w:rPr>
                <w:rFonts w:eastAsia="宋体" w:cs="Times New Roman"/>
              </w:rPr>
            </w:pPr>
            <w:r w:rsidRPr="009C4EEC">
              <w:rPr>
                <w:rFonts w:eastAsia="宋体" w:cs="Times New Roman" w:hint="eastAsia"/>
              </w:rPr>
              <w:t>2</w:t>
            </w:r>
          </w:p>
        </w:tc>
      </w:tr>
      <w:tr w:rsidR="00EE4277" w14:paraId="654C8CD5" w14:textId="77777777" w:rsidTr="00EE4277">
        <w:trPr>
          <w:jc w:val="center"/>
        </w:trPr>
        <w:tc>
          <w:tcPr>
            <w:tcW w:w="3256" w:type="dxa"/>
          </w:tcPr>
          <w:p w14:paraId="599C78E5" w14:textId="5E814C10" w:rsidR="00EE4277" w:rsidRDefault="00EE4277" w:rsidP="00B33C6C">
            <w:pPr>
              <w:spacing w:beforeLines="0" w:before="0" w:afterLines="0" w:after="0"/>
              <w:rPr>
                <w:rFonts w:eastAsia="宋体" w:cs="Times New Roman"/>
              </w:rPr>
            </w:pPr>
            <w:r>
              <w:rPr>
                <w:rFonts w:eastAsia="宋体" w:cs="Times New Roman" w:hint="eastAsia"/>
              </w:rPr>
              <w:t>C</w:t>
            </w:r>
            <w:r>
              <w:rPr>
                <w:rFonts w:eastAsia="宋体" w:cs="Times New Roman"/>
              </w:rPr>
              <w:t>ast Type</w:t>
            </w:r>
          </w:p>
        </w:tc>
        <w:tc>
          <w:tcPr>
            <w:tcW w:w="2835" w:type="dxa"/>
          </w:tcPr>
          <w:p w14:paraId="62D6CB92" w14:textId="7F7A825A" w:rsidR="00EE4277" w:rsidRPr="009C4EEC" w:rsidRDefault="00EE4277" w:rsidP="007614B7">
            <w:pPr>
              <w:spacing w:beforeLines="0" w:before="0" w:afterLines="0" w:after="0"/>
              <w:jc w:val="center"/>
              <w:rPr>
                <w:rFonts w:eastAsia="宋体" w:cs="Times New Roman"/>
              </w:rPr>
            </w:pPr>
            <w:r>
              <w:rPr>
                <w:rFonts w:eastAsia="宋体" w:cs="Times New Roman" w:hint="eastAsia"/>
              </w:rPr>
              <w:t>2</w:t>
            </w:r>
          </w:p>
        </w:tc>
      </w:tr>
      <w:tr w:rsidR="00B61AA2" w14:paraId="27EB2B74" w14:textId="77777777" w:rsidTr="00EE4277">
        <w:trPr>
          <w:jc w:val="center"/>
        </w:trPr>
        <w:tc>
          <w:tcPr>
            <w:tcW w:w="3256" w:type="dxa"/>
          </w:tcPr>
          <w:p w14:paraId="6883961F" w14:textId="77777777" w:rsidR="00B61AA2" w:rsidRDefault="00B61AA2" w:rsidP="00B33C6C">
            <w:pPr>
              <w:spacing w:beforeLines="0" w:before="0" w:afterLines="0" w:after="0"/>
              <w:rPr>
                <w:rFonts w:eastAsia="宋体" w:cs="Times New Roman"/>
              </w:rPr>
            </w:pPr>
            <w:r>
              <w:rPr>
                <w:rFonts w:eastAsia="宋体" w:cs="Times New Roman" w:hint="eastAsia"/>
              </w:rPr>
              <w:t>R</w:t>
            </w:r>
            <w:r>
              <w:rPr>
                <w:rFonts w:eastAsia="宋体" w:cs="Times New Roman"/>
              </w:rPr>
              <w:t>emaining COT duration</w:t>
            </w:r>
          </w:p>
        </w:tc>
        <w:tc>
          <w:tcPr>
            <w:tcW w:w="2835" w:type="dxa"/>
          </w:tcPr>
          <w:p w14:paraId="2A0F4C34" w14:textId="779865AA" w:rsidR="00B61AA2" w:rsidRDefault="00F550F0" w:rsidP="007614B7">
            <w:pPr>
              <w:spacing w:beforeLines="0" w:before="0" w:afterLines="0" w:after="0"/>
              <w:jc w:val="center"/>
              <w:rPr>
                <w:rFonts w:eastAsia="宋体" w:cs="Times New Roman"/>
              </w:rPr>
            </w:pPr>
            <w:r>
              <w:rPr>
                <w:rFonts w:eastAsia="宋体" w:cs="Times New Roman"/>
              </w:rPr>
              <w:t>4</w:t>
            </w:r>
            <w:r w:rsidR="00B61AA2">
              <w:rPr>
                <w:rFonts w:eastAsia="宋体" w:cs="Times New Roman"/>
              </w:rPr>
              <w:t>~</w:t>
            </w:r>
            <w:r>
              <w:rPr>
                <w:rFonts w:eastAsia="宋体" w:cs="Times New Roman"/>
              </w:rPr>
              <w:t>6</w:t>
            </w:r>
          </w:p>
        </w:tc>
      </w:tr>
      <w:tr w:rsidR="00B61AA2" w14:paraId="093DFC4C" w14:textId="77777777" w:rsidTr="00EE4277">
        <w:trPr>
          <w:jc w:val="center"/>
        </w:trPr>
        <w:tc>
          <w:tcPr>
            <w:tcW w:w="3256" w:type="dxa"/>
          </w:tcPr>
          <w:p w14:paraId="71F36A3D" w14:textId="77777777" w:rsidR="00B61AA2" w:rsidRDefault="00B61AA2" w:rsidP="00B33C6C">
            <w:pPr>
              <w:spacing w:beforeLines="0" w:before="0" w:afterLines="0" w:after="0"/>
              <w:rPr>
                <w:rFonts w:eastAsia="宋体" w:cs="Times New Roman"/>
              </w:rPr>
            </w:pPr>
            <w:r>
              <w:rPr>
                <w:rFonts w:eastAsia="宋体" w:cs="Times New Roman"/>
              </w:rPr>
              <w:t>Additional ID (s)</w:t>
            </w:r>
          </w:p>
        </w:tc>
        <w:tc>
          <w:tcPr>
            <w:tcW w:w="2835" w:type="dxa"/>
          </w:tcPr>
          <w:p w14:paraId="7A96E0E0" w14:textId="6BBC9E9E" w:rsidR="00B61AA2" w:rsidRDefault="00EE4277" w:rsidP="007614B7">
            <w:pPr>
              <w:spacing w:beforeLines="0" w:before="0" w:afterLines="0" w:after="0"/>
              <w:jc w:val="center"/>
              <w:rPr>
                <w:rFonts w:eastAsia="宋体" w:cs="Times New Roman"/>
              </w:rPr>
            </w:pPr>
            <w:r>
              <w:rPr>
                <w:rFonts w:eastAsia="宋体" w:cs="Times New Roman"/>
              </w:rPr>
              <w:t>24</w:t>
            </w:r>
          </w:p>
        </w:tc>
      </w:tr>
    </w:tbl>
    <w:p w14:paraId="4F4E1FC4" w14:textId="28F246D1" w:rsidR="007E2BE4" w:rsidRDefault="007E2BE4" w:rsidP="007E2BE4">
      <w:pPr>
        <w:pStyle w:val="1st-Proposal-YJ"/>
        <w:numPr>
          <w:ilvl w:val="0"/>
          <w:numId w:val="5"/>
        </w:numPr>
        <w:spacing w:before="156" w:after="156"/>
        <w:rPr>
          <w:rFonts w:eastAsia="宋体"/>
        </w:rPr>
      </w:pPr>
      <w:bookmarkStart w:id="1442" w:name="_Toc129082037"/>
      <w:bookmarkStart w:id="1443" w:name="_Toc129082073"/>
      <w:bookmarkStart w:id="1444" w:name="_Toc129097423"/>
      <w:bookmarkStart w:id="1445" w:name="_Toc129097462"/>
      <w:bookmarkStart w:id="1446" w:name="_Toc131411226"/>
      <w:bookmarkStart w:id="1447" w:name="_Toc131411265"/>
      <w:bookmarkStart w:id="1448" w:name="_Toc131411304"/>
      <w:bookmarkStart w:id="1449" w:name="_Toc131411343"/>
      <w:bookmarkStart w:id="1450" w:name="_Toc131411735"/>
      <w:bookmarkStart w:id="1451" w:name="_Toc131411951"/>
      <w:bookmarkStart w:id="1452" w:name="_Toc131762657"/>
      <w:bookmarkStart w:id="1453" w:name="_Toc131762696"/>
      <w:bookmarkStart w:id="1454" w:name="_Toc131762831"/>
      <w:bookmarkStart w:id="1455" w:name="_Toc131762870"/>
      <w:bookmarkStart w:id="1456" w:name="_Toc131763309"/>
      <w:bookmarkStart w:id="1457" w:name="_Toc134109238"/>
      <w:bookmarkStart w:id="1458" w:name="_Toc134109486"/>
      <w:bookmarkStart w:id="1459" w:name="_Toc134109554"/>
      <w:bookmarkStart w:id="1460" w:name="_Toc134109591"/>
      <w:bookmarkStart w:id="1461" w:name="_Toc134112603"/>
      <w:bookmarkStart w:id="1462" w:name="_Toc134112632"/>
      <w:bookmarkStart w:id="1463" w:name="_Toc134112661"/>
      <w:bookmarkStart w:id="1464" w:name="_Toc134112690"/>
      <w:bookmarkStart w:id="1465" w:name="_Toc134436118"/>
      <w:bookmarkStart w:id="1466" w:name="_Toc134436147"/>
      <w:bookmarkStart w:id="1467" w:name="_Toc134438762"/>
      <w:bookmarkStart w:id="1468" w:name="_Toc134438791"/>
      <w:bookmarkStart w:id="1469" w:name="_Toc134439021"/>
      <w:bookmarkStart w:id="1470" w:name="_Toc134439050"/>
      <w:bookmarkStart w:id="1471" w:name="_Toc134439269"/>
      <w:bookmarkStart w:id="1472" w:name="_Toc134439298"/>
      <w:bookmarkStart w:id="1473" w:name="_Toc134439817"/>
      <w:bookmarkStart w:id="1474" w:name="_Toc134439846"/>
      <w:bookmarkStart w:id="1475" w:name="_Toc134439901"/>
      <w:bookmarkStart w:id="1476" w:name="_Toc134717027"/>
      <w:bookmarkStart w:id="1477" w:name="_Toc134717056"/>
      <w:bookmarkStart w:id="1478" w:name="_Toc134779498"/>
      <w:bookmarkStart w:id="1479" w:name="_Toc134779527"/>
      <w:bookmarkStart w:id="1480" w:name="_Toc134780204"/>
      <w:bookmarkStart w:id="1481" w:name="_Toc134780233"/>
      <w:bookmarkStart w:id="1482" w:name="_Toc134784171"/>
      <w:bookmarkStart w:id="1483" w:name="_Toc140068979"/>
      <w:bookmarkStart w:id="1484" w:name="_Toc140069003"/>
      <w:bookmarkStart w:id="1485" w:name="_Toc140069037"/>
      <w:bookmarkStart w:id="1486" w:name="_Toc140069060"/>
      <w:bookmarkStart w:id="1487" w:name="_Toc140069083"/>
      <w:bookmarkStart w:id="1488" w:name="_Toc140069106"/>
      <w:bookmarkStart w:id="1489" w:name="_Toc141884734"/>
      <w:bookmarkStart w:id="1490" w:name="_Toc141884758"/>
      <w:bookmarkStart w:id="1491" w:name="_Toc141885725"/>
      <w:bookmarkStart w:id="1492" w:name="_Toc141885748"/>
      <w:bookmarkStart w:id="1493" w:name="_Toc141886133"/>
      <w:bookmarkStart w:id="1494" w:name="_Toc141886225"/>
      <w:bookmarkStart w:id="1495" w:name="_Toc141886920"/>
      <w:bookmarkStart w:id="1496" w:name="_Toc141887109"/>
      <w:bookmarkStart w:id="1497" w:name="_Toc141887132"/>
      <w:bookmarkStart w:id="1498" w:name="_Toc141887253"/>
      <w:bookmarkStart w:id="1499" w:name="_Toc141887276"/>
      <w:bookmarkStart w:id="1500" w:name="_Toc141887969"/>
      <w:bookmarkStart w:id="1501" w:name="_Toc141887992"/>
      <w:bookmarkStart w:id="1502" w:name="_Toc141888024"/>
      <w:bookmarkStart w:id="1503" w:name="_Toc141888047"/>
      <w:bookmarkStart w:id="1504" w:name="_Toc141888110"/>
      <w:bookmarkStart w:id="1505" w:name="_Toc141888133"/>
      <w:bookmarkStart w:id="1506" w:name="_Toc141888699"/>
      <w:bookmarkStart w:id="1507" w:name="_Toc141888722"/>
      <w:bookmarkStart w:id="1508" w:name="_Toc142058439"/>
      <w:bookmarkStart w:id="1509" w:name="_Toc142058465"/>
      <w:bookmarkStart w:id="1510" w:name="_Toc142058491"/>
      <w:bookmarkStart w:id="1511" w:name="_Toc142058517"/>
      <w:bookmarkStart w:id="1512" w:name="_Toc142059461"/>
      <w:bookmarkStart w:id="1513" w:name="_Toc142059487"/>
      <w:bookmarkStart w:id="1514" w:name="_Toc142059711"/>
      <w:bookmarkStart w:id="1515" w:name="_Toc142059737"/>
      <w:bookmarkStart w:id="1516" w:name="_Toc142293322"/>
      <w:bookmarkStart w:id="1517" w:name="_Toc142555193"/>
      <w:bookmarkStart w:id="1518" w:name="_Toc142555218"/>
      <w:bookmarkStart w:id="1519" w:name="_Toc142555450"/>
      <w:bookmarkStart w:id="1520" w:name="_Toc142555475"/>
      <w:bookmarkStart w:id="1521" w:name="_Toc142555724"/>
      <w:bookmarkStart w:id="1522" w:name="_Toc142555749"/>
      <w:bookmarkStart w:id="1523" w:name="_Toc142555774"/>
      <w:bookmarkStart w:id="1524" w:name="_Toc145938637"/>
      <w:bookmarkStart w:id="1525" w:name="_Toc145949093"/>
      <w:bookmarkStart w:id="1526" w:name="_Toc145949115"/>
      <w:bookmarkStart w:id="1527" w:name="_Toc146029901"/>
      <w:bookmarkStart w:id="1528" w:name="_Toc146029920"/>
      <w:bookmarkStart w:id="1529" w:name="_Toc146029964"/>
      <w:bookmarkStart w:id="1530" w:name="_Toc146029983"/>
      <w:bookmarkStart w:id="1531" w:name="_Toc146030051"/>
      <w:bookmarkStart w:id="1532" w:name="_Toc146030070"/>
      <w:bookmarkStart w:id="1533" w:name="_Toc146032492"/>
      <w:bookmarkStart w:id="1534" w:name="_Toc146032511"/>
      <w:bookmarkStart w:id="1535" w:name="_Toc146032808"/>
      <w:bookmarkStart w:id="1536" w:name="_Toc146032827"/>
      <w:bookmarkStart w:id="1537" w:name="_Toc146111115"/>
      <w:bookmarkStart w:id="1538" w:name="_Toc146111135"/>
      <w:bookmarkStart w:id="1539" w:name="_Toc146111166"/>
      <w:bookmarkStart w:id="1540" w:name="_Toc146111186"/>
      <w:bookmarkStart w:id="1541" w:name="_Toc146111561"/>
      <w:bookmarkStart w:id="1542" w:name="_Toc146111603"/>
      <w:bookmarkStart w:id="1543" w:name="_Toc146112129"/>
      <w:bookmarkStart w:id="1544" w:name="_Toc146112258"/>
      <w:bookmarkStart w:id="1545" w:name="_Toc146112278"/>
      <w:bookmarkStart w:id="1546" w:name="_Toc146112640"/>
      <w:bookmarkStart w:id="1547" w:name="_Toc146112660"/>
      <w:bookmarkStart w:id="1548" w:name="_Toc146112753"/>
      <w:bookmarkStart w:id="1549" w:name="_Toc146112773"/>
      <w:bookmarkStart w:id="1550" w:name="_Toc146113573"/>
      <w:bookmarkStart w:id="1551" w:name="_Toc146113593"/>
      <w:bookmarkStart w:id="1552" w:name="_Toc146529520"/>
      <w:bookmarkStart w:id="1553" w:name="_Toc146529541"/>
      <w:bookmarkStart w:id="1554" w:name="_Toc146529750"/>
      <w:bookmarkStart w:id="1555" w:name="_Toc146529771"/>
      <w:bookmarkStart w:id="1556" w:name="_Toc146529811"/>
      <w:bookmarkStart w:id="1557" w:name="_Toc146529832"/>
      <w:bookmarkStart w:id="1558" w:name="_Toc146532982"/>
      <w:bookmarkStart w:id="1559" w:name="_Toc146533003"/>
      <w:bookmarkStart w:id="1560" w:name="_Toc146533083"/>
      <w:bookmarkStart w:id="1561" w:name="_Toc146533104"/>
      <w:bookmarkStart w:id="1562" w:name="_Toc146533125"/>
      <w:bookmarkStart w:id="1563" w:name="_Toc146533146"/>
      <w:bookmarkStart w:id="1564" w:name="_Toc146533167"/>
      <w:bookmarkStart w:id="1565" w:name="_Toc146533188"/>
      <w:bookmarkStart w:id="1566" w:name="_Toc146701044"/>
      <w:bookmarkStart w:id="1567" w:name="_Toc146701065"/>
      <w:bookmarkStart w:id="1568" w:name="_Toc146701909"/>
      <w:bookmarkStart w:id="1569" w:name="_Toc146701930"/>
      <w:bookmarkStart w:id="1570" w:name="_Toc146701964"/>
      <w:bookmarkStart w:id="1571" w:name="_Toc146701985"/>
      <w:r w:rsidRPr="00F86B13">
        <w:rPr>
          <w:rFonts w:eastAsia="宋体"/>
        </w:rPr>
        <w:t xml:space="preserve">The information about </w:t>
      </w:r>
      <w:r>
        <w:rPr>
          <w:rFonts w:eastAsia="宋体"/>
        </w:rPr>
        <w:t xml:space="preserve">sharing </w:t>
      </w:r>
      <w:r w:rsidRPr="00F86B13">
        <w:rPr>
          <w:rFonts w:eastAsia="宋体"/>
        </w:rPr>
        <w:t>an SL CO should be indicated through a dedicated</w:t>
      </w:r>
      <w:r>
        <w:rPr>
          <w:rFonts w:eastAsia="宋体"/>
        </w:rPr>
        <w:t xml:space="preserve"> 2</w:t>
      </w:r>
      <w:r w:rsidRPr="004C010C">
        <w:rPr>
          <w:rFonts w:eastAsia="宋体"/>
          <w:vertAlign w:val="superscript"/>
        </w:rPr>
        <w:t>nd</w:t>
      </w:r>
      <w:r>
        <w:rPr>
          <w:rFonts w:eastAsia="宋体"/>
        </w:rPr>
        <w:t>-stage SCI</w:t>
      </w:r>
      <w:r w:rsidR="00FA5DF4">
        <w:rPr>
          <w:rFonts w:eastAsia="宋体"/>
        </w:rPr>
        <w:t>, e.g., format 2E</w:t>
      </w:r>
      <w:r w:rsidRPr="00F86B13">
        <w:rPr>
          <w:rFonts w:eastAsia="宋体"/>
        </w:rPr>
        <w:t>.</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42E60B43" w14:textId="2276EEAF" w:rsidR="0044081B" w:rsidRPr="00F86B13" w:rsidRDefault="00CB27DB" w:rsidP="007E2BE4">
      <w:pPr>
        <w:pStyle w:val="1st-Proposal-YJ"/>
        <w:numPr>
          <w:ilvl w:val="0"/>
          <w:numId w:val="5"/>
        </w:numPr>
        <w:spacing w:before="156" w:after="156"/>
        <w:rPr>
          <w:rFonts w:eastAsia="宋体"/>
        </w:rPr>
      </w:pPr>
      <w:bookmarkStart w:id="1572" w:name="_Toc146111116"/>
      <w:bookmarkStart w:id="1573" w:name="_Toc146111136"/>
      <w:bookmarkStart w:id="1574" w:name="_Toc146111167"/>
      <w:bookmarkStart w:id="1575" w:name="_Toc146111187"/>
      <w:bookmarkStart w:id="1576" w:name="_Toc146111562"/>
      <w:bookmarkStart w:id="1577" w:name="_Toc146111604"/>
      <w:bookmarkStart w:id="1578" w:name="_Toc146112130"/>
      <w:bookmarkStart w:id="1579" w:name="_Toc146112259"/>
      <w:bookmarkStart w:id="1580" w:name="_Toc146112279"/>
      <w:bookmarkStart w:id="1581" w:name="_Toc146112641"/>
      <w:bookmarkStart w:id="1582" w:name="_Toc146112661"/>
      <w:bookmarkStart w:id="1583" w:name="_Toc146112754"/>
      <w:bookmarkStart w:id="1584" w:name="_Toc146112774"/>
      <w:bookmarkStart w:id="1585" w:name="_Toc146113574"/>
      <w:bookmarkStart w:id="1586" w:name="_Toc146113594"/>
      <w:bookmarkStart w:id="1587" w:name="_Toc146529521"/>
      <w:bookmarkStart w:id="1588" w:name="_Toc146529542"/>
      <w:bookmarkStart w:id="1589" w:name="_Toc146529751"/>
      <w:bookmarkStart w:id="1590" w:name="_Toc146529772"/>
      <w:bookmarkStart w:id="1591" w:name="_Toc146529812"/>
      <w:bookmarkStart w:id="1592" w:name="_Toc146529833"/>
      <w:bookmarkStart w:id="1593" w:name="_Toc146532983"/>
      <w:bookmarkStart w:id="1594" w:name="_Toc146533004"/>
      <w:bookmarkStart w:id="1595" w:name="_Toc146533084"/>
      <w:bookmarkStart w:id="1596" w:name="_Toc146533105"/>
      <w:bookmarkStart w:id="1597" w:name="_Toc146533126"/>
      <w:bookmarkStart w:id="1598" w:name="_Toc146533147"/>
      <w:bookmarkStart w:id="1599" w:name="_Toc146533168"/>
      <w:bookmarkStart w:id="1600" w:name="_Toc146533189"/>
      <w:bookmarkStart w:id="1601" w:name="_Toc146701045"/>
      <w:bookmarkStart w:id="1602" w:name="_Toc146701066"/>
      <w:bookmarkStart w:id="1603" w:name="_Toc146701910"/>
      <w:bookmarkStart w:id="1604" w:name="_Toc146701931"/>
      <w:bookmarkStart w:id="1605" w:name="_Toc146701965"/>
      <w:bookmarkStart w:id="1606" w:name="_Toc146701986"/>
      <w:r>
        <w:rPr>
          <w:rFonts w:eastAsia="宋体"/>
        </w:rPr>
        <w:lastRenderedPageBreak/>
        <w:t>To introduce a</w:t>
      </w:r>
      <w:r w:rsidR="00A65FE3">
        <w:rPr>
          <w:rFonts w:eastAsia="宋体"/>
        </w:rPr>
        <w:t>n</w:t>
      </w:r>
      <w:r>
        <w:rPr>
          <w:rFonts w:eastAsia="宋体"/>
        </w:rPr>
        <w:t xml:space="preserve"> indicator in the 1</w:t>
      </w:r>
      <w:r w:rsidRPr="0044081B">
        <w:rPr>
          <w:rFonts w:eastAsia="宋体"/>
          <w:vertAlign w:val="superscript"/>
        </w:rPr>
        <w:t>st</w:t>
      </w:r>
      <w:r w:rsidR="00B050A2">
        <w:rPr>
          <w:rFonts w:eastAsia="宋体"/>
        </w:rPr>
        <w:t xml:space="preserve"> </w:t>
      </w:r>
      <w:r>
        <w:rPr>
          <w:rFonts w:eastAsia="宋体"/>
        </w:rPr>
        <w:t>stage SCI to indicate w</w:t>
      </w:r>
      <w:r w:rsidR="0044081B">
        <w:rPr>
          <w:rFonts w:eastAsia="宋体"/>
        </w:rPr>
        <w:t>hethe</w:t>
      </w:r>
      <w:r w:rsidR="005D49CB">
        <w:rPr>
          <w:rFonts w:eastAsia="宋体"/>
        </w:rPr>
        <w:t>r</w:t>
      </w:r>
      <w:r w:rsidR="0044081B">
        <w:rPr>
          <w:rFonts w:eastAsia="宋体"/>
        </w:rPr>
        <w:t xml:space="preserve"> the COT-SI is presented</w:t>
      </w:r>
      <w:r w:rsidR="00414C40">
        <w:rPr>
          <w:rFonts w:eastAsia="宋体"/>
        </w:rPr>
        <w:t xml:space="preserve"> in </w:t>
      </w:r>
      <w:r w:rsidR="00E92B76">
        <w:rPr>
          <w:rFonts w:eastAsia="宋体"/>
        </w:rPr>
        <w:t xml:space="preserve">the </w:t>
      </w:r>
      <w:r w:rsidR="00115575">
        <w:rPr>
          <w:rFonts w:eastAsia="宋体"/>
        </w:rPr>
        <w:t>current slot</w:t>
      </w:r>
      <w:r w:rsidR="00E14FC6">
        <w:rPr>
          <w:rFonts w:eastAsia="宋体"/>
        </w:rPr>
        <w:t xml:space="preserve"> to avoid unnecessary overhead for COT-SI</w:t>
      </w:r>
      <w:r w:rsidR="00BB0D15">
        <w:rPr>
          <w:rFonts w:eastAsia="宋体"/>
        </w:rPr>
        <w:t xml:space="preserve"> in non-shared COT</w:t>
      </w:r>
      <w:r w:rsidR="00C6692A">
        <w:rPr>
          <w:rFonts w:eastAsia="宋体"/>
        </w:rPr>
        <w:t>.</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5489460" w14:textId="6D2EDE88" w:rsidR="007E2BE4" w:rsidRPr="00B61AA2" w:rsidRDefault="00BC6D6A" w:rsidP="00AC13E1">
      <w:pPr>
        <w:spacing w:before="156" w:after="156"/>
        <w:rPr>
          <w:rFonts w:eastAsia="宋体" w:cs="Times New Roman"/>
        </w:rPr>
      </w:pPr>
      <w:r>
        <w:rPr>
          <w:rFonts w:eastAsia="宋体" w:cs="Times New Roman" w:hint="eastAsia"/>
        </w:rPr>
        <w:t>D</w:t>
      </w:r>
      <w:r>
        <w:rPr>
          <w:rFonts w:eastAsia="宋体" w:cs="Times New Roman"/>
        </w:rPr>
        <w:t xml:space="preserve">uring the discussion </w:t>
      </w:r>
      <w:r w:rsidR="004C4154">
        <w:rPr>
          <w:rFonts w:eastAsia="宋体" w:cs="Times New Roman"/>
        </w:rPr>
        <w:t xml:space="preserve">of SL-U, </w:t>
      </w:r>
      <w:r w:rsidR="00E92B76">
        <w:rPr>
          <w:rFonts w:eastAsia="宋体" w:cs="Times New Roman"/>
        </w:rPr>
        <w:t xml:space="preserve">the </w:t>
      </w:r>
      <w:r w:rsidR="004C4154">
        <w:rPr>
          <w:rFonts w:eastAsia="宋体" w:cs="Times New Roman"/>
        </w:rPr>
        <w:t xml:space="preserve">inter-UE coordination </w:t>
      </w:r>
      <w:r w:rsidR="00100AE8">
        <w:rPr>
          <w:rFonts w:eastAsia="宋体" w:cs="Times New Roman"/>
        </w:rPr>
        <w:t>mecha</w:t>
      </w:r>
      <w:r w:rsidR="00A80165">
        <w:rPr>
          <w:rFonts w:eastAsia="宋体" w:cs="Times New Roman"/>
        </w:rPr>
        <w:t xml:space="preserve">nism is not considered, and no </w:t>
      </w:r>
      <w:r w:rsidR="00623D96">
        <w:rPr>
          <w:rFonts w:eastAsia="宋体" w:cs="Times New Roman"/>
        </w:rPr>
        <w:t>agreement on how to settl</w:t>
      </w:r>
      <w:r w:rsidR="00A65FE3">
        <w:rPr>
          <w:rFonts w:eastAsia="宋体" w:cs="Times New Roman"/>
        </w:rPr>
        <w:t>e</w:t>
      </w:r>
      <w:r w:rsidR="00623D96">
        <w:rPr>
          <w:rFonts w:eastAsia="宋体" w:cs="Times New Roman"/>
        </w:rPr>
        <w:t xml:space="preserve"> PSFCH resources for IUC </w:t>
      </w:r>
      <w:r w:rsidR="00882AF8">
        <w:rPr>
          <w:rFonts w:eastAsia="宋体" w:cs="Times New Roman"/>
        </w:rPr>
        <w:t xml:space="preserve">and relevant issues. Considering that, </w:t>
      </w:r>
      <w:r w:rsidR="00967653">
        <w:rPr>
          <w:rFonts w:eastAsia="宋体" w:cs="Times New Roman"/>
        </w:rPr>
        <w:t>we propose to not support the IUC procedure on a</w:t>
      </w:r>
      <w:r w:rsidR="00A65FE3">
        <w:rPr>
          <w:rFonts w:eastAsia="宋体" w:cs="Times New Roman"/>
        </w:rPr>
        <w:t>n</w:t>
      </w:r>
      <w:r w:rsidR="00967653">
        <w:rPr>
          <w:rFonts w:eastAsia="宋体" w:cs="Times New Roman"/>
        </w:rPr>
        <w:t xml:space="preserve"> unlicensed spectrum</w:t>
      </w:r>
      <w:r w:rsidR="00DB795B">
        <w:rPr>
          <w:rFonts w:eastAsia="宋体" w:cs="Times New Roman"/>
        </w:rPr>
        <w:t>,</w:t>
      </w:r>
      <w:r w:rsidR="00967653">
        <w:rPr>
          <w:rFonts w:eastAsia="宋体" w:cs="Times New Roman"/>
        </w:rPr>
        <w:t xml:space="preserve"> and </w:t>
      </w:r>
      <w:r w:rsidR="00A65FE3">
        <w:rPr>
          <w:rFonts w:eastAsia="宋体" w:cs="Times New Roman"/>
        </w:rPr>
        <w:t xml:space="preserve">the </w:t>
      </w:r>
      <w:r w:rsidR="00967653">
        <w:rPr>
          <w:rFonts w:eastAsia="宋体" w:cs="Times New Roman"/>
        </w:rPr>
        <w:t>SCI format 2C is not used for SL-U.</w:t>
      </w:r>
    </w:p>
    <w:p w14:paraId="5E763639" w14:textId="7B22095A" w:rsidR="00224B27" w:rsidRPr="00B55118" w:rsidRDefault="00190E30" w:rsidP="008364C1">
      <w:pPr>
        <w:pStyle w:val="1st-Proposal-YJ"/>
        <w:numPr>
          <w:ilvl w:val="0"/>
          <w:numId w:val="5"/>
        </w:numPr>
        <w:spacing w:before="156" w:after="156"/>
        <w:rPr>
          <w:rFonts w:eastAsia="宋体"/>
        </w:rPr>
      </w:pPr>
      <w:bookmarkStart w:id="1607" w:name="_Toc140068973"/>
      <w:bookmarkStart w:id="1608" w:name="_Toc140068997"/>
      <w:bookmarkStart w:id="1609" w:name="_Toc140069031"/>
      <w:bookmarkStart w:id="1610" w:name="_Toc140069054"/>
      <w:bookmarkStart w:id="1611" w:name="_Toc140069077"/>
      <w:bookmarkStart w:id="1612" w:name="_Toc140069100"/>
      <w:bookmarkStart w:id="1613" w:name="_Toc145949092"/>
      <w:bookmarkStart w:id="1614" w:name="_Toc145949114"/>
      <w:bookmarkStart w:id="1615" w:name="_Toc146029900"/>
      <w:bookmarkStart w:id="1616" w:name="_Toc146029919"/>
      <w:bookmarkStart w:id="1617" w:name="_Toc146029963"/>
      <w:bookmarkStart w:id="1618" w:name="_Toc146029982"/>
      <w:bookmarkStart w:id="1619" w:name="_Toc146030050"/>
      <w:bookmarkStart w:id="1620" w:name="_Toc146030069"/>
      <w:bookmarkStart w:id="1621" w:name="_Toc146032491"/>
      <w:bookmarkStart w:id="1622" w:name="_Toc146032510"/>
      <w:bookmarkStart w:id="1623" w:name="_Toc146032807"/>
      <w:bookmarkStart w:id="1624" w:name="_Toc146032826"/>
      <w:bookmarkStart w:id="1625" w:name="_Toc146111117"/>
      <w:bookmarkStart w:id="1626" w:name="_Toc146111137"/>
      <w:bookmarkStart w:id="1627" w:name="_Toc146111168"/>
      <w:bookmarkStart w:id="1628" w:name="_Toc146111188"/>
      <w:bookmarkStart w:id="1629" w:name="_Toc146111563"/>
      <w:bookmarkStart w:id="1630" w:name="_Toc146111605"/>
      <w:bookmarkStart w:id="1631" w:name="_Toc146112131"/>
      <w:bookmarkStart w:id="1632" w:name="_Toc146112260"/>
      <w:bookmarkStart w:id="1633" w:name="_Toc146112280"/>
      <w:bookmarkStart w:id="1634" w:name="_Toc146112642"/>
      <w:bookmarkStart w:id="1635" w:name="_Toc146112662"/>
      <w:bookmarkStart w:id="1636" w:name="_Toc146112755"/>
      <w:bookmarkStart w:id="1637" w:name="_Toc146112775"/>
      <w:bookmarkStart w:id="1638" w:name="_Toc146113575"/>
      <w:bookmarkStart w:id="1639" w:name="_Toc146113595"/>
      <w:bookmarkStart w:id="1640" w:name="_Toc146529522"/>
      <w:bookmarkStart w:id="1641" w:name="_Toc146529543"/>
      <w:bookmarkStart w:id="1642" w:name="_Toc146529752"/>
      <w:bookmarkStart w:id="1643" w:name="_Toc146529773"/>
      <w:bookmarkStart w:id="1644" w:name="_Toc146529813"/>
      <w:bookmarkStart w:id="1645" w:name="_Toc146529834"/>
      <w:bookmarkStart w:id="1646" w:name="_Toc146532984"/>
      <w:bookmarkStart w:id="1647" w:name="_Toc146533005"/>
      <w:bookmarkStart w:id="1648" w:name="_Toc146533085"/>
      <w:bookmarkStart w:id="1649" w:name="_Toc146533106"/>
      <w:bookmarkStart w:id="1650" w:name="_Toc146533127"/>
      <w:bookmarkStart w:id="1651" w:name="_Toc146533148"/>
      <w:bookmarkStart w:id="1652" w:name="_Toc146533169"/>
      <w:bookmarkStart w:id="1653" w:name="_Toc146533190"/>
      <w:bookmarkStart w:id="1654" w:name="_Toc146701046"/>
      <w:bookmarkStart w:id="1655" w:name="_Toc146701067"/>
      <w:bookmarkStart w:id="1656" w:name="_Toc146701911"/>
      <w:bookmarkStart w:id="1657" w:name="_Toc146701932"/>
      <w:bookmarkStart w:id="1658" w:name="_Toc146701966"/>
      <w:bookmarkStart w:id="1659" w:name="_Toc146701987"/>
      <w:bookmarkEnd w:id="1607"/>
      <w:bookmarkEnd w:id="1608"/>
      <w:bookmarkEnd w:id="1609"/>
      <w:bookmarkEnd w:id="1610"/>
      <w:bookmarkEnd w:id="1611"/>
      <w:bookmarkEnd w:id="1612"/>
      <w:r>
        <w:rPr>
          <w:rFonts w:eastAsia="宋体"/>
        </w:rPr>
        <w:t xml:space="preserve">As </w:t>
      </w:r>
      <w:r w:rsidR="00A65FE3">
        <w:rPr>
          <w:rFonts w:eastAsia="宋体"/>
        </w:rPr>
        <w:t xml:space="preserve">the </w:t>
      </w:r>
      <w:r w:rsidR="00E77CF7">
        <w:rPr>
          <w:rFonts w:eastAsia="宋体"/>
        </w:rPr>
        <w:t xml:space="preserve">IUC function is not discussed </w:t>
      </w:r>
      <w:r>
        <w:rPr>
          <w:rFonts w:eastAsia="宋体"/>
        </w:rPr>
        <w:t xml:space="preserve">for SL-U, SCI format 2C is not </w:t>
      </w:r>
      <w:r w:rsidR="00E77CF7">
        <w:rPr>
          <w:rFonts w:eastAsia="宋体"/>
        </w:rPr>
        <w:t>supported in SL-U.</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654991F" w14:textId="5C3B3FC0" w:rsidR="00F70A3E" w:rsidRDefault="00877314" w:rsidP="00F70A3E">
      <w:pPr>
        <w:spacing w:before="156" w:after="156"/>
        <w:rPr>
          <w:rFonts w:eastAsia="宋体" w:cs="Times New Roman"/>
        </w:rPr>
      </w:pPr>
      <w:r>
        <w:rPr>
          <w:rFonts w:eastAsia="宋体" w:cs="Times New Roman"/>
        </w:rPr>
        <w:t xml:space="preserve">As each PSFCH resource is associated with relevant PSSCH transmission and there </w:t>
      </w:r>
      <w:r w:rsidR="00F86B13">
        <w:rPr>
          <w:rFonts w:eastAsia="宋体" w:cs="Times New Roman"/>
        </w:rPr>
        <w:t>are</w:t>
      </w:r>
      <w:r>
        <w:rPr>
          <w:rFonts w:eastAsia="宋体" w:cs="Times New Roman"/>
        </w:rPr>
        <w:t xml:space="preserve"> no </w:t>
      </w:r>
      <w:r w:rsidR="006550B5">
        <w:rPr>
          <w:rFonts w:eastAsia="宋体" w:cs="Times New Roman"/>
        </w:rPr>
        <w:t xml:space="preserve">PSFCH </w:t>
      </w:r>
      <w:r>
        <w:rPr>
          <w:rFonts w:eastAsia="宋体" w:cs="Times New Roman"/>
        </w:rPr>
        <w:t>resource conflict</w:t>
      </w:r>
      <w:r w:rsidR="00F74ACD">
        <w:rPr>
          <w:rFonts w:eastAsia="宋体" w:cs="Times New Roman"/>
        </w:rPr>
        <w:t>s</w:t>
      </w:r>
      <w:r>
        <w:rPr>
          <w:rFonts w:eastAsia="宋体" w:cs="Times New Roman"/>
        </w:rPr>
        <w:t xml:space="preserve"> </w:t>
      </w:r>
      <w:r w:rsidR="009C1B45">
        <w:rPr>
          <w:rFonts w:eastAsia="宋体" w:cs="Times New Roman"/>
        </w:rPr>
        <w:t>for PSSCH transmission</w:t>
      </w:r>
      <w:r w:rsidR="006550B5">
        <w:rPr>
          <w:rFonts w:eastAsia="宋体" w:cs="Times New Roman"/>
        </w:rPr>
        <w:t>s</w:t>
      </w:r>
      <w:r w:rsidR="009C1B45">
        <w:rPr>
          <w:rFonts w:eastAsia="宋体" w:cs="Times New Roman"/>
        </w:rPr>
        <w:t xml:space="preserve"> with</w:t>
      </w:r>
      <w:r w:rsidR="006550B5">
        <w:rPr>
          <w:rFonts w:eastAsia="宋体" w:cs="Times New Roman"/>
        </w:rPr>
        <w:t>out</w:t>
      </w:r>
      <w:r w:rsidR="009C1B45">
        <w:rPr>
          <w:rFonts w:eastAsia="宋体" w:cs="Times New Roman"/>
        </w:rPr>
        <w:t xml:space="preserve"> conflict</w:t>
      </w:r>
      <w:r w:rsidR="006550B5">
        <w:rPr>
          <w:rFonts w:eastAsia="宋体" w:cs="Times New Roman"/>
        </w:rPr>
        <w:t xml:space="preserve">. </w:t>
      </w:r>
      <w:r w:rsidR="003C1B6A">
        <w:rPr>
          <w:rFonts w:eastAsia="宋体" w:cs="Times New Roman"/>
        </w:rPr>
        <w:t>That is to say,</w:t>
      </w:r>
      <w:r>
        <w:rPr>
          <w:rFonts w:eastAsia="宋体" w:cs="Times New Roman"/>
        </w:rPr>
        <w:t xml:space="preserve"> </w:t>
      </w:r>
      <w:r w:rsidR="003C1B6A">
        <w:rPr>
          <w:rFonts w:eastAsia="宋体" w:cs="Times New Roman"/>
        </w:rPr>
        <w:t>w</w:t>
      </w:r>
      <w:r>
        <w:rPr>
          <w:rFonts w:eastAsia="宋体" w:cs="Times New Roman"/>
        </w:rPr>
        <w:t xml:space="preserve">ithin an SL CO, </w:t>
      </w:r>
      <w:r w:rsidR="009474A4">
        <w:rPr>
          <w:rFonts w:eastAsia="宋体" w:cs="Times New Roman"/>
        </w:rPr>
        <w:t xml:space="preserve">UEs </w:t>
      </w:r>
      <w:r w:rsidR="00DD1102">
        <w:rPr>
          <w:rFonts w:eastAsia="宋体" w:cs="Times New Roman"/>
        </w:rPr>
        <w:t xml:space="preserve">can </w:t>
      </w:r>
      <w:r w:rsidR="00C13221">
        <w:rPr>
          <w:rFonts w:eastAsia="宋体" w:cs="Times New Roman"/>
        </w:rPr>
        <w:t xml:space="preserve">utilize </w:t>
      </w:r>
      <w:r w:rsidR="00D80206">
        <w:rPr>
          <w:rFonts w:eastAsia="宋体" w:cs="Times New Roman"/>
        </w:rPr>
        <w:t xml:space="preserve">relevant </w:t>
      </w:r>
      <w:r w:rsidR="00C13221">
        <w:rPr>
          <w:rFonts w:eastAsia="宋体" w:cs="Times New Roman"/>
        </w:rPr>
        <w:t>PSFCH</w:t>
      </w:r>
      <w:r w:rsidR="00D655FA">
        <w:rPr>
          <w:rFonts w:eastAsia="宋体" w:cs="Times New Roman"/>
        </w:rPr>
        <w:t xml:space="preserve"> resources </w:t>
      </w:r>
      <w:r w:rsidR="004D3DAD">
        <w:rPr>
          <w:rFonts w:eastAsia="宋体" w:cs="Times New Roman"/>
        </w:rPr>
        <w:t xml:space="preserve">without additional conflicts. </w:t>
      </w:r>
      <w:r w:rsidR="00B93A29">
        <w:rPr>
          <w:rFonts w:eastAsia="宋体" w:cs="Times New Roman"/>
        </w:rPr>
        <w:t xml:space="preserve">Therefore, </w:t>
      </w:r>
      <w:r w:rsidR="00257CA0">
        <w:rPr>
          <w:rFonts w:eastAsia="宋体" w:cs="Times New Roman"/>
        </w:rPr>
        <w:t xml:space="preserve">besides </w:t>
      </w:r>
      <w:r w:rsidR="00272F7B">
        <w:rPr>
          <w:rFonts w:eastAsia="宋体" w:cs="Times New Roman"/>
        </w:rPr>
        <w:t>the PS</w:t>
      </w:r>
      <w:r w:rsidR="00C50119">
        <w:rPr>
          <w:rFonts w:eastAsia="宋体" w:cs="Times New Roman"/>
        </w:rPr>
        <w:t>F</w:t>
      </w:r>
      <w:r w:rsidR="00272F7B">
        <w:rPr>
          <w:rFonts w:eastAsia="宋体" w:cs="Times New Roman"/>
        </w:rPr>
        <w:t>CH</w:t>
      </w:r>
      <w:r w:rsidR="00B965CE">
        <w:rPr>
          <w:rFonts w:eastAsia="宋体" w:cs="Times New Roman"/>
        </w:rPr>
        <w:t xml:space="preserve"> transmission</w:t>
      </w:r>
      <w:r w:rsidR="00257CA0">
        <w:rPr>
          <w:rFonts w:eastAsia="宋体" w:cs="Times New Roman"/>
        </w:rPr>
        <w:t xml:space="preserve"> intended </w:t>
      </w:r>
      <w:r w:rsidR="00AA75DA">
        <w:rPr>
          <w:rFonts w:eastAsia="宋体" w:cs="Times New Roman"/>
        </w:rPr>
        <w:t>for</w:t>
      </w:r>
      <w:r w:rsidR="00257CA0">
        <w:rPr>
          <w:rFonts w:eastAsia="宋体" w:cs="Times New Roman"/>
        </w:rPr>
        <w:t xml:space="preserve"> the initiating UE of </w:t>
      </w:r>
      <w:r w:rsidR="002C2858">
        <w:rPr>
          <w:rFonts w:eastAsia="宋体" w:cs="Times New Roman"/>
        </w:rPr>
        <w:t>an</w:t>
      </w:r>
      <w:r w:rsidR="00257CA0">
        <w:rPr>
          <w:rFonts w:eastAsia="宋体" w:cs="Times New Roman"/>
        </w:rPr>
        <w:t xml:space="preserve"> SL CO, </w:t>
      </w:r>
      <w:r w:rsidR="00D73FFF">
        <w:rPr>
          <w:rFonts w:eastAsia="宋体" w:cs="Times New Roman"/>
        </w:rPr>
        <w:t xml:space="preserve">it should also </w:t>
      </w:r>
      <w:r w:rsidR="009832F1">
        <w:rPr>
          <w:rFonts w:eastAsia="宋体" w:cs="Times New Roman"/>
        </w:rPr>
        <w:t xml:space="preserve">be </w:t>
      </w:r>
      <w:r w:rsidR="009B523E">
        <w:rPr>
          <w:rFonts w:eastAsia="宋体" w:cs="Times New Roman"/>
        </w:rPr>
        <w:t>supported</w:t>
      </w:r>
      <w:r w:rsidR="009832F1">
        <w:rPr>
          <w:rFonts w:eastAsia="宋体" w:cs="Times New Roman"/>
        </w:rPr>
        <w:t xml:space="preserve"> for the PS</w:t>
      </w:r>
      <w:r w:rsidR="00CB2169">
        <w:rPr>
          <w:rFonts w:eastAsia="宋体" w:cs="Times New Roman"/>
        </w:rPr>
        <w:t>F</w:t>
      </w:r>
      <w:r w:rsidR="009832F1">
        <w:rPr>
          <w:rFonts w:eastAsia="宋体" w:cs="Times New Roman"/>
        </w:rPr>
        <w:t xml:space="preserve">CH transmission(s) to </w:t>
      </w:r>
      <w:r w:rsidR="004E4DC8">
        <w:rPr>
          <w:rFonts w:eastAsia="宋体" w:cs="Times New Roman"/>
        </w:rPr>
        <w:t xml:space="preserve">a </w:t>
      </w:r>
      <w:r w:rsidR="00073BC2">
        <w:rPr>
          <w:rFonts w:eastAsia="宋体" w:cs="Times New Roman"/>
        </w:rPr>
        <w:t xml:space="preserve">destination </w:t>
      </w:r>
      <w:r w:rsidR="004E4DC8">
        <w:rPr>
          <w:rFonts w:eastAsia="宋体" w:cs="Times New Roman"/>
        </w:rPr>
        <w:t xml:space="preserve">UE </w:t>
      </w:r>
      <w:r w:rsidR="009832F1">
        <w:rPr>
          <w:rFonts w:eastAsia="宋体" w:cs="Times New Roman"/>
        </w:rPr>
        <w:t>other than the initiating UE.</w:t>
      </w:r>
    </w:p>
    <w:p w14:paraId="6882235A" w14:textId="7749A341" w:rsidR="00371495" w:rsidRPr="00A831C4" w:rsidRDefault="00C51A51" w:rsidP="00873CE2">
      <w:pPr>
        <w:pStyle w:val="1st-Proposal-YJ"/>
        <w:numPr>
          <w:ilvl w:val="0"/>
          <w:numId w:val="5"/>
        </w:numPr>
        <w:spacing w:before="156" w:after="156"/>
        <w:rPr>
          <w:rFonts w:eastAsia="宋体"/>
        </w:rPr>
      </w:pPr>
      <w:bookmarkStart w:id="1660" w:name="_Toc126248537"/>
      <w:bookmarkStart w:id="1661" w:name="_Toc126248577"/>
      <w:bookmarkStart w:id="1662" w:name="_Toc126248865"/>
      <w:bookmarkStart w:id="1663" w:name="_Toc126248905"/>
      <w:bookmarkStart w:id="1664" w:name="_Toc126744727"/>
      <w:bookmarkStart w:id="1665" w:name="_Toc126744764"/>
      <w:bookmarkStart w:id="1666" w:name="_Toc126744801"/>
      <w:bookmarkStart w:id="1667" w:name="_Toc126744838"/>
      <w:bookmarkStart w:id="1668" w:name="_Toc126744875"/>
      <w:bookmarkStart w:id="1669" w:name="_Toc126744912"/>
      <w:bookmarkStart w:id="1670" w:name="_Toc126746360"/>
      <w:bookmarkStart w:id="1671" w:name="_Toc126746542"/>
      <w:bookmarkStart w:id="1672" w:name="_Toc126746579"/>
      <w:bookmarkStart w:id="1673" w:name="_Toc127447024"/>
      <w:bookmarkStart w:id="1674" w:name="_Toc127447061"/>
      <w:bookmarkStart w:id="1675" w:name="_Toc127447164"/>
      <w:bookmarkStart w:id="1676" w:name="_Toc127447306"/>
      <w:bookmarkStart w:id="1677" w:name="_Toc127447343"/>
      <w:bookmarkStart w:id="1678" w:name="_Toc127447420"/>
      <w:bookmarkStart w:id="1679" w:name="_Toc127447457"/>
      <w:bookmarkStart w:id="1680" w:name="_Toc127448814"/>
      <w:bookmarkStart w:id="1681" w:name="_Toc127448851"/>
      <w:bookmarkStart w:id="1682" w:name="_Toc127449025"/>
      <w:bookmarkStart w:id="1683" w:name="_Toc127449062"/>
      <w:bookmarkStart w:id="1684" w:name="_Toc127449468"/>
      <w:bookmarkStart w:id="1685" w:name="_Toc127449505"/>
      <w:bookmarkStart w:id="1686" w:name="_Toc127449658"/>
      <w:bookmarkStart w:id="1687" w:name="_Toc127449695"/>
      <w:bookmarkStart w:id="1688" w:name="_Toc129010169"/>
      <w:bookmarkStart w:id="1689" w:name="_Toc129010204"/>
      <w:bookmarkStart w:id="1690" w:name="_Toc129082038"/>
      <w:bookmarkStart w:id="1691" w:name="_Toc129082074"/>
      <w:bookmarkStart w:id="1692" w:name="_Toc129097424"/>
      <w:bookmarkStart w:id="1693" w:name="_Toc129097463"/>
      <w:bookmarkStart w:id="1694" w:name="_Toc131411227"/>
      <w:bookmarkStart w:id="1695" w:name="_Toc131411266"/>
      <w:bookmarkStart w:id="1696" w:name="_Toc131411305"/>
      <w:bookmarkStart w:id="1697" w:name="_Toc131411344"/>
      <w:bookmarkStart w:id="1698" w:name="_Toc131411736"/>
      <w:bookmarkStart w:id="1699" w:name="_Toc131411952"/>
      <w:bookmarkStart w:id="1700" w:name="_Toc131762658"/>
      <w:bookmarkStart w:id="1701" w:name="_Toc131762697"/>
      <w:bookmarkStart w:id="1702" w:name="_Toc131762832"/>
      <w:bookmarkStart w:id="1703" w:name="_Toc131762871"/>
      <w:bookmarkStart w:id="1704" w:name="_Toc131763310"/>
      <w:bookmarkStart w:id="1705" w:name="_Toc134109239"/>
      <w:bookmarkStart w:id="1706" w:name="_Toc134109487"/>
      <w:bookmarkStart w:id="1707" w:name="_Toc134109555"/>
      <w:bookmarkStart w:id="1708" w:name="_Toc134109592"/>
      <w:bookmarkStart w:id="1709" w:name="_Toc134112604"/>
      <w:bookmarkStart w:id="1710" w:name="_Toc134112633"/>
      <w:bookmarkStart w:id="1711" w:name="_Toc134112662"/>
      <w:bookmarkStart w:id="1712" w:name="_Toc134112691"/>
      <w:bookmarkStart w:id="1713" w:name="_Toc134436119"/>
      <w:bookmarkStart w:id="1714" w:name="_Toc134436148"/>
      <w:bookmarkStart w:id="1715" w:name="_Toc134438763"/>
      <w:bookmarkStart w:id="1716" w:name="_Toc134438792"/>
      <w:bookmarkStart w:id="1717" w:name="_Toc134439022"/>
      <w:bookmarkStart w:id="1718" w:name="_Toc134439051"/>
      <w:bookmarkStart w:id="1719" w:name="_Toc134439270"/>
      <w:bookmarkStart w:id="1720" w:name="_Toc134439299"/>
      <w:bookmarkStart w:id="1721" w:name="_Toc134439818"/>
      <w:bookmarkStart w:id="1722" w:name="_Toc134439847"/>
      <w:bookmarkStart w:id="1723" w:name="_Toc134439902"/>
      <w:bookmarkStart w:id="1724" w:name="_Toc134717028"/>
      <w:bookmarkStart w:id="1725" w:name="_Toc134717057"/>
      <w:bookmarkStart w:id="1726" w:name="_Toc134779499"/>
      <w:bookmarkStart w:id="1727" w:name="_Toc134779528"/>
      <w:bookmarkStart w:id="1728" w:name="_Toc134780205"/>
      <w:bookmarkStart w:id="1729" w:name="_Toc134780234"/>
      <w:bookmarkStart w:id="1730" w:name="_Toc134784172"/>
      <w:bookmarkStart w:id="1731" w:name="_Toc140068980"/>
      <w:bookmarkStart w:id="1732" w:name="_Toc140069004"/>
      <w:bookmarkStart w:id="1733" w:name="_Toc140069038"/>
      <w:bookmarkStart w:id="1734" w:name="_Toc140069061"/>
      <w:bookmarkStart w:id="1735" w:name="_Toc140069084"/>
      <w:bookmarkStart w:id="1736" w:name="_Toc140069107"/>
      <w:bookmarkStart w:id="1737" w:name="_Toc141884735"/>
      <w:bookmarkStart w:id="1738" w:name="_Toc141884759"/>
      <w:bookmarkStart w:id="1739" w:name="_Toc141885726"/>
      <w:bookmarkStart w:id="1740" w:name="_Toc141885749"/>
      <w:bookmarkStart w:id="1741" w:name="_Toc141886134"/>
      <w:bookmarkStart w:id="1742" w:name="_Toc141886226"/>
      <w:bookmarkStart w:id="1743" w:name="_Toc141886921"/>
      <w:bookmarkStart w:id="1744" w:name="_Toc141887110"/>
      <w:bookmarkStart w:id="1745" w:name="_Toc141887133"/>
      <w:bookmarkStart w:id="1746" w:name="_Toc141887254"/>
      <w:bookmarkStart w:id="1747" w:name="_Toc141887277"/>
      <w:bookmarkStart w:id="1748" w:name="_Toc141887970"/>
      <w:bookmarkStart w:id="1749" w:name="_Toc141887993"/>
      <w:bookmarkStart w:id="1750" w:name="_Toc141888025"/>
      <w:bookmarkStart w:id="1751" w:name="_Toc141888048"/>
      <w:bookmarkStart w:id="1752" w:name="_Toc141888111"/>
      <w:bookmarkStart w:id="1753" w:name="_Toc141888134"/>
      <w:bookmarkStart w:id="1754" w:name="_Toc141888700"/>
      <w:bookmarkStart w:id="1755" w:name="_Toc141888723"/>
      <w:bookmarkStart w:id="1756" w:name="_Toc142058440"/>
      <w:bookmarkStart w:id="1757" w:name="_Toc142058466"/>
      <w:bookmarkStart w:id="1758" w:name="_Toc142058492"/>
      <w:bookmarkStart w:id="1759" w:name="_Toc142058518"/>
      <w:bookmarkStart w:id="1760" w:name="_Toc142059462"/>
      <w:bookmarkStart w:id="1761" w:name="_Toc142059488"/>
      <w:bookmarkStart w:id="1762" w:name="_Toc142059712"/>
      <w:bookmarkStart w:id="1763" w:name="_Toc142059738"/>
      <w:bookmarkStart w:id="1764" w:name="_Toc142293323"/>
      <w:bookmarkStart w:id="1765" w:name="_Toc142555194"/>
      <w:bookmarkStart w:id="1766" w:name="_Toc142555219"/>
      <w:bookmarkStart w:id="1767" w:name="_Toc142555451"/>
      <w:bookmarkStart w:id="1768" w:name="_Toc142555476"/>
      <w:bookmarkStart w:id="1769" w:name="_Toc142555725"/>
      <w:bookmarkStart w:id="1770" w:name="_Toc142555750"/>
      <w:bookmarkStart w:id="1771" w:name="_Toc142555775"/>
      <w:bookmarkStart w:id="1772" w:name="_Toc145938638"/>
      <w:bookmarkStart w:id="1773" w:name="_Toc145949094"/>
      <w:bookmarkStart w:id="1774" w:name="_Toc145949116"/>
      <w:bookmarkStart w:id="1775" w:name="_Toc146029902"/>
      <w:bookmarkStart w:id="1776" w:name="_Toc146029921"/>
      <w:bookmarkStart w:id="1777" w:name="_Toc146029965"/>
      <w:bookmarkStart w:id="1778" w:name="_Toc146029984"/>
      <w:bookmarkStart w:id="1779" w:name="_Toc146030052"/>
      <w:bookmarkStart w:id="1780" w:name="_Toc146030071"/>
      <w:bookmarkStart w:id="1781" w:name="_Toc146032493"/>
      <w:bookmarkStart w:id="1782" w:name="_Toc146032512"/>
      <w:bookmarkStart w:id="1783" w:name="_Toc146032809"/>
      <w:bookmarkStart w:id="1784" w:name="_Toc146032828"/>
      <w:bookmarkStart w:id="1785" w:name="_Toc146111118"/>
      <w:bookmarkStart w:id="1786" w:name="_Toc146111138"/>
      <w:bookmarkStart w:id="1787" w:name="_Toc146111169"/>
      <w:bookmarkStart w:id="1788" w:name="_Toc146111189"/>
      <w:bookmarkStart w:id="1789" w:name="_Toc146111564"/>
      <w:bookmarkStart w:id="1790" w:name="_Toc146111606"/>
      <w:bookmarkStart w:id="1791" w:name="_Toc146112132"/>
      <w:bookmarkStart w:id="1792" w:name="_Toc146112261"/>
      <w:bookmarkStart w:id="1793" w:name="_Toc146112281"/>
      <w:bookmarkStart w:id="1794" w:name="_Toc146112643"/>
      <w:bookmarkStart w:id="1795" w:name="_Toc146112663"/>
      <w:bookmarkStart w:id="1796" w:name="_Toc146112756"/>
      <w:bookmarkStart w:id="1797" w:name="_Toc146112776"/>
      <w:bookmarkStart w:id="1798" w:name="_Toc146113576"/>
      <w:bookmarkStart w:id="1799" w:name="_Toc146113596"/>
      <w:bookmarkStart w:id="1800" w:name="_Toc146529523"/>
      <w:bookmarkStart w:id="1801" w:name="_Toc146529544"/>
      <w:bookmarkStart w:id="1802" w:name="_Toc146529753"/>
      <w:bookmarkStart w:id="1803" w:name="_Toc146529774"/>
      <w:bookmarkStart w:id="1804" w:name="_Toc146529814"/>
      <w:bookmarkStart w:id="1805" w:name="_Toc146529835"/>
      <w:bookmarkStart w:id="1806" w:name="_Toc146532985"/>
      <w:bookmarkStart w:id="1807" w:name="_Toc146533006"/>
      <w:bookmarkStart w:id="1808" w:name="_Toc146533086"/>
      <w:bookmarkStart w:id="1809" w:name="_Toc146533107"/>
      <w:bookmarkStart w:id="1810" w:name="_Toc146533128"/>
      <w:bookmarkStart w:id="1811" w:name="_Toc146533149"/>
      <w:bookmarkStart w:id="1812" w:name="_Toc146533170"/>
      <w:bookmarkStart w:id="1813" w:name="_Toc146533191"/>
      <w:bookmarkStart w:id="1814" w:name="_Toc146701047"/>
      <w:bookmarkStart w:id="1815" w:name="_Toc146701068"/>
      <w:bookmarkStart w:id="1816" w:name="_Toc146701912"/>
      <w:bookmarkStart w:id="1817" w:name="_Toc146701933"/>
      <w:bookmarkStart w:id="1818" w:name="_Toc146701967"/>
      <w:bookmarkStart w:id="1819" w:name="_Toc146701988"/>
      <w:r w:rsidRPr="00A831C4">
        <w:rPr>
          <w:rFonts w:eastAsia="宋体"/>
        </w:rPr>
        <w:t xml:space="preserve">For sidelink UE-to-UE COT sharing, a </w:t>
      </w:r>
      <w:r w:rsidR="00B54964" w:rsidRPr="00A831C4">
        <w:rPr>
          <w:rFonts w:eastAsia="宋体"/>
        </w:rPr>
        <w:t>responding UE can share the CO for PS</w:t>
      </w:r>
      <w:r w:rsidR="00D272C4" w:rsidRPr="00A831C4">
        <w:rPr>
          <w:rFonts w:eastAsia="宋体"/>
        </w:rPr>
        <w:t>F</w:t>
      </w:r>
      <w:r w:rsidR="00B54964" w:rsidRPr="00A831C4">
        <w:rPr>
          <w:rFonts w:eastAsia="宋体"/>
        </w:rPr>
        <w:t>CH transmission(s)</w:t>
      </w:r>
      <w:r w:rsidR="00F75C15" w:rsidRPr="00A831C4">
        <w:rPr>
          <w:rFonts w:eastAsia="宋体"/>
        </w:rPr>
        <w:t xml:space="preserve"> </w:t>
      </w:r>
      <w:r w:rsidR="003C7082" w:rsidRPr="00A831C4">
        <w:rPr>
          <w:rFonts w:eastAsia="宋体"/>
        </w:rPr>
        <w:t>to a destination UE other than the initiating UE of the SL CO</w:t>
      </w:r>
      <w:r w:rsidR="002545CE" w:rsidRPr="00A831C4">
        <w:rPr>
          <w:rFonts w:eastAsia="宋体"/>
        </w:rPr>
        <w:t>.</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r w:rsidR="00F70A3E" w:rsidRPr="00A831C4">
        <w:rPr>
          <w:rFonts w:eastAsia="宋体"/>
        </w:rPr>
        <w:t xml:space="preserve"> </w:t>
      </w:r>
    </w:p>
    <w:tbl>
      <w:tblPr>
        <w:tblStyle w:val="aa"/>
        <w:tblW w:w="0" w:type="auto"/>
        <w:tblLook w:val="04A0" w:firstRow="1" w:lastRow="0" w:firstColumn="1" w:lastColumn="0" w:noHBand="0" w:noVBand="1"/>
      </w:tblPr>
      <w:tblGrid>
        <w:gridCol w:w="9346"/>
      </w:tblGrid>
      <w:tr w:rsidR="00371495" w14:paraId="52BA6AC3" w14:textId="77777777" w:rsidTr="00371495">
        <w:tc>
          <w:tcPr>
            <w:tcW w:w="9346" w:type="dxa"/>
          </w:tcPr>
          <w:p w14:paraId="4C6D7C94" w14:textId="77777777" w:rsidR="00371495" w:rsidRPr="00A831C4" w:rsidRDefault="00371495" w:rsidP="00371495">
            <w:pPr>
              <w:spacing w:before="156" w:after="156"/>
              <w:rPr>
                <w:rFonts w:eastAsia="宋体" w:cs="Times New Roman"/>
                <w:b/>
              </w:rPr>
            </w:pPr>
            <w:r w:rsidRPr="00A831C4">
              <w:rPr>
                <w:rFonts w:eastAsia="宋体" w:cs="Times New Roman"/>
                <w:b/>
                <w:highlight w:val="green"/>
              </w:rPr>
              <w:t>Agreement</w:t>
            </w:r>
          </w:p>
          <w:p w14:paraId="1D3699E3" w14:textId="230B82A0" w:rsidR="00371495" w:rsidRPr="00371495" w:rsidRDefault="00371495" w:rsidP="003D0A2E">
            <w:pPr>
              <w:spacing w:before="156" w:after="156"/>
              <w:rPr>
                <w:rFonts w:eastAsia="宋体" w:cs="Times New Roman"/>
              </w:rPr>
            </w:pPr>
            <w:r w:rsidRPr="00371495">
              <w:rPr>
                <w:rFonts w:eastAsia="宋体" w:cs="Times New Roman"/>
              </w:rPr>
              <w:t>The applicable RB set(s) for COT sharing is derived based on the “Frequency resource assignment” field in the 1</w:t>
            </w:r>
            <w:r w:rsidR="003D0A2E" w:rsidRPr="003D0A2E">
              <w:rPr>
                <w:rFonts w:eastAsia="宋体" w:cs="Times New Roman" w:hint="eastAsia"/>
                <w:vertAlign w:val="superscript"/>
              </w:rPr>
              <w:t>st</w:t>
            </w:r>
            <w:r w:rsidR="003D0A2E">
              <w:rPr>
                <w:rFonts w:eastAsia="宋体" w:cs="Times New Roman"/>
              </w:rPr>
              <w:t xml:space="preserve"> </w:t>
            </w:r>
            <w:r w:rsidRPr="00371495">
              <w:rPr>
                <w:rFonts w:eastAsia="宋体" w:cs="Times New Roman"/>
              </w:rPr>
              <w:t xml:space="preserve"> stage SCI corresponding to PSSCH with COT sharing.</w:t>
            </w:r>
          </w:p>
        </w:tc>
      </w:tr>
    </w:tbl>
    <w:p w14:paraId="451CD14A" w14:textId="3776E139" w:rsidR="00371495" w:rsidRPr="00371495" w:rsidRDefault="00371495" w:rsidP="00371495">
      <w:pPr>
        <w:spacing w:before="156" w:after="156"/>
        <w:rPr>
          <w:rFonts w:eastAsia="宋体" w:cs="Times New Roman"/>
        </w:rPr>
      </w:pPr>
      <w:r w:rsidRPr="00371495">
        <w:rPr>
          <w:rFonts w:eastAsia="宋体" w:cs="Times New Roman"/>
        </w:rPr>
        <w:t xml:space="preserve">Regarding how to determine applicable RB set(s) for COT sharing, the agreement above said applicable RB set(s) for COT sharing is derived based on the “Frequency resource assignment” field. </w:t>
      </w:r>
      <w:r w:rsidR="00D368CB">
        <w:rPr>
          <w:rFonts w:eastAsia="宋体" w:cs="Times New Roman"/>
        </w:rPr>
        <w:t>A</w:t>
      </w:r>
      <w:r w:rsidRPr="00371495">
        <w:rPr>
          <w:rFonts w:eastAsia="宋体" w:cs="Times New Roman"/>
        </w:rPr>
        <w:t xml:space="preserve">s captured in clause 8.1.5 of TS 38.214, </w:t>
      </w:r>
      <w:r w:rsidR="00D368CB">
        <w:rPr>
          <w:rFonts w:eastAsia="宋体" w:cs="Times New Roman"/>
        </w:rPr>
        <w:t xml:space="preserve">the sub-channel(s) </w:t>
      </w:r>
      <w:r w:rsidR="007A679B">
        <w:rPr>
          <w:rFonts w:eastAsia="宋体" w:cs="Times New Roman"/>
        </w:rPr>
        <w:t>for PSSCH transmission</w:t>
      </w:r>
      <w:r w:rsidR="00B3026E">
        <w:rPr>
          <w:rFonts w:eastAsia="宋体" w:cs="Times New Roman"/>
        </w:rPr>
        <w:t xml:space="preserve"> on </w:t>
      </w:r>
      <w:r w:rsidR="00282A70">
        <w:rPr>
          <w:rFonts w:eastAsia="宋体" w:cs="Times New Roman"/>
        </w:rPr>
        <w:t xml:space="preserve">the </w:t>
      </w:r>
      <w:r w:rsidR="00B3026E">
        <w:rPr>
          <w:rFonts w:eastAsia="宋体" w:cs="Times New Roman"/>
        </w:rPr>
        <w:t>current slot and</w:t>
      </w:r>
      <w:r w:rsidR="007A679B">
        <w:rPr>
          <w:rFonts w:eastAsia="宋体" w:cs="Times New Roman"/>
        </w:rPr>
        <w:t xml:space="preserve"> </w:t>
      </w:r>
      <w:r w:rsidR="00D368CB" w:rsidRPr="00371495">
        <w:rPr>
          <w:rFonts w:eastAsia="宋体" w:cs="Times New Roman"/>
        </w:rPr>
        <w:t xml:space="preserve">the reserved slots </w:t>
      </w:r>
      <w:r w:rsidR="007A679B">
        <w:rPr>
          <w:rFonts w:eastAsia="宋体" w:cs="Times New Roman" w:hint="eastAsia"/>
        </w:rPr>
        <w:t>are</w:t>
      </w:r>
      <w:r w:rsidR="007A679B">
        <w:rPr>
          <w:rFonts w:eastAsia="宋体" w:cs="Times New Roman"/>
        </w:rPr>
        <w:t xml:space="preserve"> </w:t>
      </w:r>
      <w:r w:rsidRPr="00371495">
        <w:rPr>
          <w:rFonts w:eastAsia="宋体" w:cs="Times New Roman"/>
        </w:rPr>
        <w:t xml:space="preserve">determined by fields 'Frequency resource assignment' and 'Time resource assignment' of the associated SCI format 1-A, </w:t>
      </w:r>
      <w:r w:rsidR="0050771C">
        <w:rPr>
          <w:rFonts w:eastAsia="宋体" w:cs="Times New Roman"/>
        </w:rPr>
        <w:t xml:space="preserve">and </w:t>
      </w:r>
      <w:r w:rsidR="0050771C">
        <w:rPr>
          <w:rFonts w:eastAsia="宋体" w:cs="Times New Roman" w:hint="eastAsia"/>
        </w:rPr>
        <w:t>t</w:t>
      </w:r>
      <w:r w:rsidR="0050771C">
        <w:rPr>
          <w:rFonts w:eastAsia="宋体" w:cs="Times New Roman"/>
        </w:rPr>
        <w:t xml:space="preserve">he number of </w:t>
      </w:r>
      <w:r w:rsidR="008C76F3" w:rsidRPr="00D0401B">
        <w:rPr>
          <w:rFonts w:eastAsia="宋体" w:cs="Times New Roman"/>
        </w:rPr>
        <w:t>indicated</w:t>
      </w:r>
      <w:r w:rsidRPr="00371495">
        <w:rPr>
          <w:rFonts w:eastAsia="宋体" w:cs="Times New Roman"/>
        </w:rPr>
        <w:t xml:space="preserve"> resources N could be 1 or 2 or 3. For the case </w:t>
      </w:r>
      <w:r w:rsidR="00AA601F">
        <w:rPr>
          <w:rFonts w:eastAsia="宋体" w:cs="Times New Roman"/>
        </w:rPr>
        <w:t>that</w:t>
      </w:r>
      <w:r w:rsidRPr="00371495">
        <w:rPr>
          <w:rFonts w:eastAsia="宋体" w:cs="Times New Roman"/>
        </w:rPr>
        <w:t xml:space="preserve"> N = 2 and 3, </w:t>
      </w:r>
      <w:r w:rsidRPr="00D0401B">
        <w:rPr>
          <w:rFonts w:eastAsia="宋体" w:cs="Times New Roman"/>
        </w:rPr>
        <w:t>the reserved resources</w:t>
      </w:r>
      <w:r w:rsidRPr="00371495">
        <w:rPr>
          <w:rFonts w:eastAsia="宋体" w:cs="Times New Roman"/>
        </w:rPr>
        <w:t xml:space="preserve"> derived from SCI may be located in different RB set(s)</w:t>
      </w:r>
      <w:r w:rsidR="00B05B09">
        <w:rPr>
          <w:rFonts w:eastAsia="宋体" w:cs="Times New Roman"/>
        </w:rPr>
        <w:t xml:space="preserve"> </w:t>
      </w:r>
      <w:r w:rsidR="00B05B09" w:rsidRPr="00D0401B">
        <w:rPr>
          <w:rFonts w:eastAsia="宋体" w:cs="Times New Roman"/>
        </w:rPr>
        <w:t>with the resources used for current PSSCH transmission</w:t>
      </w:r>
      <w:r w:rsidRPr="00371495">
        <w:rPr>
          <w:rFonts w:eastAsia="宋体" w:cs="Times New Roman"/>
        </w:rPr>
        <w:t xml:space="preserve">. Therefore, it’s still unclear which RB set(s) is the applicable RB set(s) for COT sharing. From our point of view, only the RB set(s) </w:t>
      </w:r>
      <w:r w:rsidR="002A16E1">
        <w:rPr>
          <w:rFonts w:eastAsia="宋体" w:cs="Times New Roman"/>
        </w:rPr>
        <w:t>used for PSSCH transmission on the current slot</w:t>
      </w:r>
      <w:r w:rsidR="00A77C6C">
        <w:rPr>
          <w:rFonts w:eastAsia="宋体" w:cs="Times New Roman"/>
        </w:rPr>
        <w:t xml:space="preserve"> </w:t>
      </w:r>
      <w:r w:rsidR="00A77C6C" w:rsidRPr="00D0401B">
        <w:rPr>
          <w:rFonts w:eastAsia="宋体" w:cs="Times New Roman"/>
        </w:rPr>
        <w:t xml:space="preserve">(i.e., the RB set(s) </w:t>
      </w:r>
      <w:r w:rsidR="00FA654B" w:rsidRPr="00D0401B">
        <w:rPr>
          <w:rFonts w:eastAsia="宋体" w:cs="Times New Roman"/>
        </w:rPr>
        <w:t>assigned for</w:t>
      </w:r>
      <w:r w:rsidR="00A77C6C" w:rsidRPr="00D0401B">
        <w:rPr>
          <w:rFonts w:eastAsia="宋体" w:cs="Times New Roman"/>
        </w:rPr>
        <w:t xml:space="preserve"> the first</w:t>
      </w:r>
      <w:r w:rsidR="001C1793" w:rsidRPr="00D0401B">
        <w:rPr>
          <w:rFonts w:eastAsia="宋体" w:cs="Times New Roman"/>
        </w:rPr>
        <w:t xml:space="preserve"> resource of the N res</w:t>
      </w:r>
      <w:r w:rsidR="00A77C6C" w:rsidRPr="00D0401B">
        <w:rPr>
          <w:rFonts w:eastAsia="宋体" w:cs="Times New Roman"/>
        </w:rPr>
        <w:t>o</w:t>
      </w:r>
      <w:r w:rsidR="001C1793" w:rsidRPr="00D0401B">
        <w:rPr>
          <w:rFonts w:eastAsia="宋体" w:cs="Times New Roman"/>
        </w:rPr>
        <w:t>u</w:t>
      </w:r>
      <w:r w:rsidR="00A77C6C" w:rsidRPr="00D0401B">
        <w:rPr>
          <w:rFonts w:eastAsia="宋体" w:cs="Times New Roman"/>
        </w:rPr>
        <w:t>rces),</w:t>
      </w:r>
      <w:r w:rsidRPr="00371495">
        <w:rPr>
          <w:rFonts w:eastAsia="宋体" w:cs="Times New Roman"/>
        </w:rPr>
        <w:t xml:space="preserve"> should be applicable </w:t>
      </w:r>
      <w:r w:rsidR="00DB0DCB">
        <w:rPr>
          <w:rFonts w:eastAsia="宋体" w:cs="Times New Roman"/>
        </w:rPr>
        <w:t>as it's already occupied in the</w:t>
      </w:r>
      <w:r w:rsidR="00414A05">
        <w:rPr>
          <w:rFonts w:eastAsia="宋体" w:cs="Times New Roman"/>
        </w:rPr>
        <w:t xml:space="preserve"> COT, while whether t</w:t>
      </w:r>
      <w:r w:rsidRPr="00371495">
        <w:rPr>
          <w:rFonts w:eastAsia="宋体" w:cs="Times New Roman"/>
        </w:rPr>
        <w:t xml:space="preserve">he </w:t>
      </w:r>
      <w:r w:rsidR="00F25A80">
        <w:rPr>
          <w:rFonts w:eastAsia="宋体" w:cs="Times New Roman"/>
        </w:rPr>
        <w:t>RB sets(s) indicated in SCI as reserved</w:t>
      </w:r>
      <w:r w:rsidRPr="00371495">
        <w:rPr>
          <w:rFonts w:eastAsia="宋体" w:cs="Times New Roman"/>
        </w:rPr>
        <w:t xml:space="preserve"> resources </w:t>
      </w:r>
      <w:r w:rsidR="00F25A80">
        <w:rPr>
          <w:rFonts w:eastAsia="宋体" w:cs="Times New Roman"/>
        </w:rPr>
        <w:t>for further retransmissions are</w:t>
      </w:r>
      <w:r w:rsidRPr="00371495">
        <w:rPr>
          <w:rFonts w:eastAsia="宋体" w:cs="Times New Roman"/>
        </w:rPr>
        <w:t xml:space="preserve"> </w:t>
      </w:r>
      <w:r w:rsidR="00414A05">
        <w:rPr>
          <w:rFonts w:eastAsia="宋体" w:cs="Times New Roman"/>
        </w:rPr>
        <w:t xml:space="preserve">available may </w:t>
      </w:r>
      <w:r w:rsidRPr="00371495">
        <w:rPr>
          <w:rFonts w:eastAsia="宋体" w:cs="Times New Roman"/>
        </w:rPr>
        <w:t>depend on channel access</w:t>
      </w:r>
      <w:r w:rsidR="00414A05">
        <w:rPr>
          <w:rFonts w:eastAsia="宋体" w:cs="Times New Roman"/>
        </w:rPr>
        <w:t xml:space="preserve"> later</w:t>
      </w:r>
      <w:r w:rsidRPr="00371495">
        <w:rPr>
          <w:rFonts w:eastAsia="宋体" w:cs="Times New Roman"/>
        </w:rPr>
        <w:t>.</w:t>
      </w:r>
    </w:p>
    <w:p w14:paraId="51DD2D4B" w14:textId="4ED193E6" w:rsidR="00371495" w:rsidRPr="00371495" w:rsidRDefault="00371495" w:rsidP="00371495">
      <w:pPr>
        <w:pStyle w:val="1st-Proposal-YJ"/>
        <w:numPr>
          <w:ilvl w:val="0"/>
          <w:numId w:val="5"/>
        </w:numPr>
        <w:spacing w:before="156" w:after="156"/>
        <w:rPr>
          <w:rFonts w:eastAsia="宋体"/>
        </w:rPr>
      </w:pPr>
      <w:bookmarkStart w:id="1820" w:name="_Toc146529524"/>
      <w:bookmarkStart w:id="1821" w:name="_Toc146529545"/>
      <w:bookmarkStart w:id="1822" w:name="_Toc146529754"/>
      <w:bookmarkStart w:id="1823" w:name="_Toc146529775"/>
      <w:bookmarkStart w:id="1824" w:name="_Toc146529815"/>
      <w:bookmarkStart w:id="1825" w:name="_Toc146529836"/>
      <w:bookmarkStart w:id="1826" w:name="_Toc146532986"/>
      <w:bookmarkStart w:id="1827" w:name="_Toc146533007"/>
      <w:bookmarkStart w:id="1828" w:name="_Toc146533087"/>
      <w:bookmarkStart w:id="1829" w:name="_Toc146533108"/>
      <w:bookmarkStart w:id="1830" w:name="_Toc146533129"/>
      <w:bookmarkStart w:id="1831" w:name="_Toc146533150"/>
      <w:bookmarkStart w:id="1832" w:name="_Toc146533171"/>
      <w:bookmarkStart w:id="1833" w:name="_Toc146533192"/>
      <w:bookmarkStart w:id="1834" w:name="_Toc146701048"/>
      <w:bookmarkStart w:id="1835" w:name="_Toc146701069"/>
      <w:bookmarkStart w:id="1836" w:name="_Toc146701913"/>
      <w:bookmarkStart w:id="1837" w:name="_Toc146701934"/>
      <w:bookmarkStart w:id="1838" w:name="_Toc146701968"/>
      <w:bookmarkStart w:id="1839" w:name="_Toc146701989"/>
      <w:r w:rsidRPr="00371495">
        <w:rPr>
          <w:rFonts w:eastAsia="宋体"/>
        </w:rPr>
        <w:t>The applicable RB set(s) for COT sharing is derived based on the</w:t>
      </w:r>
      <w:r w:rsidR="00A77C6C">
        <w:rPr>
          <w:rFonts w:eastAsia="宋体"/>
        </w:rPr>
        <w:t xml:space="preserve"> </w:t>
      </w:r>
      <w:r w:rsidR="00A77C6C" w:rsidRPr="00D0401B">
        <w:rPr>
          <w:rFonts w:eastAsia="宋体"/>
        </w:rPr>
        <w:t>first resource of the N resource</w:t>
      </w:r>
      <w:r w:rsidR="00DA0C77">
        <w:rPr>
          <w:rFonts w:eastAsia="宋体"/>
        </w:rPr>
        <w:t>s</w:t>
      </w:r>
      <w:r w:rsidR="00A77C6C" w:rsidRPr="00D0401B">
        <w:rPr>
          <w:rFonts w:eastAsia="宋体"/>
        </w:rPr>
        <w:t xml:space="preserve"> as indicated in</w:t>
      </w:r>
      <w:r w:rsidR="00B60D1E" w:rsidRPr="00D0401B">
        <w:rPr>
          <w:rFonts w:eastAsia="宋体"/>
        </w:rPr>
        <w:t xml:space="preserve"> the </w:t>
      </w:r>
      <w:r w:rsidR="00EA1A52" w:rsidRPr="00371495">
        <w:rPr>
          <w:rFonts w:eastAsia="宋体"/>
        </w:rPr>
        <w:t>“Frequency resource assignment” field</w:t>
      </w:r>
      <w:r w:rsidR="00B60D1E">
        <w:rPr>
          <w:rFonts w:eastAsia="宋体"/>
        </w:rPr>
        <w:t xml:space="preserve"> in the 1</w:t>
      </w:r>
      <w:r w:rsidR="002C2CE1" w:rsidRPr="002C2CE1">
        <w:rPr>
          <w:rFonts w:eastAsia="宋体"/>
          <w:vertAlign w:val="superscript"/>
        </w:rPr>
        <w:t>st</w:t>
      </w:r>
      <w:r w:rsidR="002C2CE1">
        <w:rPr>
          <w:rFonts w:eastAsia="宋体"/>
        </w:rPr>
        <w:t xml:space="preserve"> </w:t>
      </w:r>
      <w:r w:rsidR="00B60D1E">
        <w:rPr>
          <w:rFonts w:eastAsia="宋体"/>
        </w:rPr>
        <w:t xml:space="preserve">stage SCI corresponding </w:t>
      </w:r>
      <w:r w:rsidR="003979CC">
        <w:rPr>
          <w:rFonts w:eastAsia="宋体"/>
        </w:rPr>
        <w:t>to</w:t>
      </w:r>
      <w:r w:rsidR="00163C18">
        <w:rPr>
          <w:rFonts w:eastAsia="宋体"/>
        </w:rPr>
        <w:t xml:space="preserve"> PSSCH with</w:t>
      </w:r>
      <w:r w:rsidR="00C36DA2" w:rsidRPr="00371495">
        <w:rPr>
          <w:rFonts w:eastAsia="宋体"/>
        </w:rPr>
        <w:t xml:space="preserve"> COT sharing</w:t>
      </w:r>
      <w:r w:rsidR="00C36DA2" w:rsidRPr="001B08E2">
        <w:rPr>
          <w:rFonts w:eastAsia="宋体"/>
        </w:rPr>
        <w:t xml:space="preserve"> </w:t>
      </w:r>
      <w:r w:rsidR="00C36DA2">
        <w:rPr>
          <w:rFonts w:eastAsia="宋体"/>
        </w:rPr>
        <w:t>information</w:t>
      </w:r>
      <w:r w:rsidRPr="00371495">
        <w:rPr>
          <w:rFonts w:eastAsia="宋体"/>
        </w:rPr>
        <w:t>.</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tbl>
      <w:tblPr>
        <w:tblStyle w:val="aa"/>
        <w:tblW w:w="9351" w:type="dxa"/>
        <w:tblLook w:val="04A0" w:firstRow="1" w:lastRow="0" w:firstColumn="1" w:lastColumn="0" w:noHBand="0" w:noVBand="1"/>
      </w:tblPr>
      <w:tblGrid>
        <w:gridCol w:w="9351"/>
      </w:tblGrid>
      <w:tr w:rsidR="00BD2C22" w14:paraId="7BAB549A" w14:textId="77777777" w:rsidTr="006C0FCE">
        <w:tc>
          <w:tcPr>
            <w:tcW w:w="9351" w:type="dxa"/>
          </w:tcPr>
          <w:p w14:paraId="6CF57BE4" w14:textId="77777777" w:rsidR="00BD2C22" w:rsidRPr="0029467E" w:rsidRDefault="00BD2C22" w:rsidP="009E702C">
            <w:pPr>
              <w:autoSpaceDE w:val="0"/>
              <w:autoSpaceDN w:val="0"/>
              <w:spacing w:beforeLines="0" w:before="0" w:afterLines="0" w:after="0"/>
            </w:pPr>
            <w:r w:rsidRPr="0029467E">
              <w:rPr>
                <w:b/>
                <w:bCs/>
                <w:highlight w:val="green"/>
              </w:rPr>
              <w:t>Agreement</w:t>
            </w:r>
          </w:p>
          <w:p w14:paraId="209ED4DD" w14:textId="77777777" w:rsidR="00BD2C22" w:rsidRPr="0029467E" w:rsidRDefault="00BD2C22" w:rsidP="00BD2C22">
            <w:pPr>
              <w:pStyle w:val="a3"/>
              <w:autoSpaceDE w:val="0"/>
              <w:autoSpaceDN w:val="0"/>
              <w:ind w:firstLine="400"/>
            </w:pPr>
            <w:r w:rsidRPr="0029467E">
              <w:rPr>
                <w:color w:val="00000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858DFA8" w14:textId="77777777" w:rsidR="00BD2C22" w:rsidRPr="0029467E" w:rsidRDefault="00BD2C22" w:rsidP="009E702C">
            <w:pPr>
              <w:pStyle w:val="a3"/>
              <w:numPr>
                <w:ilvl w:val="0"/>
                <w:numId w:val="7"/>
              </w:numPr>
              <w:autoSpaceDE w:val="0"/>
              <w:autoSpaceDN w:val="0"/>
              <w:ind w:firstLineChars="0"/>
            </w:pPr>
            <w:r w:rsidRPr="0029467E">
              <w:t>If the gap is at least 25μs, the responding UE can transmit the SL transmission on the shared channel after performing Type 2A SL channel access procedures.</w:t>
            </w:r>
          </w:p>
          <w:p w14:paraId="5488DA71" w14:textId="77777777" w:rsidR="00BD2C22" w:rsidRPr="0029467E" w:rsidRDefault="00BD2C22" w:rsidP="009E702C">
            <w:pPr>
              <w:pStyle w:val="a3"/>
              <w:numPr>
                <w:ilvl w:val="0"/>
                <w:numId w:val="7"/>
              </w:numPr>
              <w:autoSpaceDE w:val="0"/>
              <w:autoSpaceDN w:val="0"/>
              <w:ind w:firstLineChars="0"/>
            </w:pPr>
            <w:r w:rsidRPr="0029467E">
              <w:t>If the gap is equal to 16μs, the responding UE can transmit the SL transmission on the shared channel after performing Type 2B SL channel access procedures.</w:t>
            </w:r>
          </w:p>
          <w:p w14:paraId="6DFC1B2C" w14:textId="268DAEC7" w:rsidR="00BD2C22" w:rsidRPr="00922DF2" w:rsidRDefault="00BD2C22" w:rsidP="009E702C">
            <w:pPr>
              <w:pStyle w:val="a3"/>
              <w:numPr>
                <w:ilvl w:val="0"/>
                <w:numId w:val="7"/>
              </w:numPr>
              <w:autoSpaceDE w:val="0"/>
              <w:autoSpaceDN w:val="0"/>
              <w:ind w:firstLineChars="0"/>
              <w:rPr>
                <w:rFonts w:eastAsia="MS Mincho"/>
                <w:sz w:val="22"/>
                <w:szCs w:val="22"/>
                <w:lang w:eastAsia="ja-JP"/>
              </w:rPr>
            </w:pPr>
            <w:r w:rsidRPr="0029467E">
              <w:t>If the gap is up to 16μs and the transmission is limited to 584μs, the responding UE can transmit the SL transmission on the channel after performing Type 2C SL channel access.</w:t>
            </w:r>
          </w:p>
        </w:tc>
      </w:tr>
    </w:tbl>
    <w:p w14:paraId="76D98E41" w14:textId="1957B1AF" w:rsidR="00BD2C22" w:rsidRPr="00066159" w:rsidRDefault="00BD2C22" w:rsidP="00BD2C22">
      <w:pPr>
        <w:spacing w:before="156" w:after="156"/>
        <w:rPr>
          <w:rFonts w:eastAsia="宋体" w:cs="Times New Roman"/>
        </w:rPr>
      </w:pPr>
      <w:r w:rsidRPr="001E12AD">
        <w:rPr>
          <w:rFonts w:eastAsia="宋体" w:cs="Times New Roman"/>
        </w:rPr>
        <w:t>In TS37.213, regarding the gap great</w:t>
      </w:r>
      <w:r w:rsidR="003F00E0" w:rsidRPr="001E12AD">
        <w:rPr>
          <w:rFonts w:eastAsia="宋体" w:cs="Times New Roman"/>
        </w:rPr>
        <w:t>er</w:t>
      </w:r>
      <w:r w:rsidRPr="001E12AD">
        <w:rPr>
          <w:rFonts w:eastAsia="宋体" w:cs="Times New Roman"/>
        </w:rPr>
        <w:t xml:space="preserve"> than 25us between two transmissions</w:t>
      </w:r>
      <w:r w:rsidRPr="00CC1332">
        <w:rPr>
          <w:rFonts w:eastAsia="宋体" w:cs="Times New Roman"/>
        </w:rPr>
        <w:t xml:space="preserve"> which is mentioned in section 4.2.1.0.3</w:t>
      </w:r>
      <w:r w:rsidR="00373F8B">
        <w:rPr>
          <w:rFonts w:eastAsia="宋体" w:cs="Times New Roman"/>
        </w:rPr>
        <w:t xml:space="preserve"> </w:t>
      </w:r>
      <w:r w:rsidRPr="00066159">
        <w:rPr>
          <w:rFonts w:eastAsia="宋体" w:cs="Times New Roman"/>
        </w:rPr>
        <w:t>as follow</w:t>
      </w:r>
      <w:r w:rsidR="003F00E0" w:rsidRPr="00066159">
        <w:rPr>
          <w:rFonts w:eastAsia="宋体" w:cs="Times New Roman"/>
        </w:rPr>
        <w:t>s</w:t>
      </w:r>
      <w:r w:rsidRPr="00066159">
        <w:rPr>
          <w:rFonts w:eastAsia="宋体" w:cs="Times New Roman"/>
        </w:rPr>
        <w:t xml:space="preserve">, </w:t>
      </w:r>
    </w:p>
    <w:p w14:paraId="13334CA0" w14:textId="1313197B" w:rsidR="00BD2C22" w:rsidRPr="009E702C" w:rsidRDefault="00BD2C22" w:rsidP="009E702C">
      <w:pPr>
        <w:spacing w:before="156" w:after="156"/>
        <w:rPr>
          <w:rFonts w:eastAsia="宋体"/>
          <w:i/>
        </w:rPr>
      </w:pPr>
      <w:r>
        <w:rPr>
          <w:rFonts w:eastAsia="宋体"/>
        </w:rPr>
        <w:lastRenderedPageBreak/>
        <w:t>“</w:t>
      </w:r>
      <w:r w:rsidRPr="00091033">
        <w:rPr>
          <w:rFonts w:eastAsia="宋体"/>
        </w:rPr>
        <w:t>-</w:t>
      </w:r>
      <w:r w:rsidRPr="009E702C">
        <w:rPr>
          <w:rFonts w:eastAsia="宋体"/>
          <w:i/>
        </w:rPr>
        <w:t xml:space="preserve"> </w:t>
      </w:r>
      <m:oMath>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g</m:t>
            </m:r>
          </m:sub>
        </m:sSub>
      </m:oMath>
      <w:r w:rsidRPr="009E702C">
        <w:rPr>
          <w:rFonts w:eastAsia="宋体"/>
          <w:i/>
        </w:rPr>
        <w:t xml:space="preserve"> is the total duration of all </w:t>
      </w:r>
      <w:r w:rsidRPr="009E702C">
        <w:rPr>
          <w:rFonts w:eastAsia="宋体"/>
          <w:b/>
          <w:i/>
        </w:rPr>
        <w:t>gaps of duration greater than 25us</w:t>
      </w:r>
      <w:r w:rsidRPr="009E702C">
        <w:rPr>
          <w:rFonts w:eastAsia="宋体"/>
          <w:i/>
        </w:rPr>
        <w:t xml:space="preserve"> that occur between the DL transmissions of the eNB/gNB and UL transmissions scheduled by the eNB/gNB, and between any two UL transmissions scheduled by the eNB/gNB starting from </w:t>
      </w:r>
      <m:oMath>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0</m:t>
            </m:r>
          </m:sub>
        </m:sSub>
      </m:oMath>
      <w:r w:rsidRPr="009E702C">
        <w:rPr>
          <w:rFonts w:eastAsia="宋体"/>
          <w:i/>
        </w:rPr>
        <w:t>, …</w:t>
      </w:r>
    </w:p>
    <w:p w14:paraId="320F5717" w14:textId="77777777" w:rsidR="00BD2C22" w:rsidRPr="00091033" w:rsidRDefault="00BD2C22" w:rsidP="009E702C">
      <w:pPr>
        <w:spacing w:before="156" w:after="156"/>
        <w:rPr>
          <w:rFonts w:eastAsia="宋体"/>
        </w:rPr>
      </w:pPr>
      <w:r w:rsidRPr="009E702C">
        <w:rPr>
          <w:rFonts w:eastAsia="宋体"/>
          <w:i/>
        </w:rPr>
        <w:t xml:space="preserve">For indicating a Type 2 channel access procedure, if </w:t>
      </w:r>
      <w:r w:rsidRPr="009E702C">
        <w:rPr>
          <w:rFonts w:eastAsia="宋体"/>
          <w:b/>
          <w:i/>
        </w:rPr>
        <w:t>the gap is at least 25μs</w:t>
      </w:r>
      <w:r w:rsidRPr="009E702C">
        <w:rPr>
          <w:rFonts w:eastAsia="宋体"/>
          <w:i/>
        </w:rPr>
        <w:t>, or equal to 16μs, or up to 16μs, the gNB may indicate Type 2A, or Type 2B, or Type 2C UL channel procedures, respectively, as described in clauses 4.2.1.2.”</w:t>
      </w:r>
      <w:r>
        <w:rPr>
          <w:rFonts w:eastAsia="宋体"/>
        </w:rPr>
        <w:t>,</w:t>
      </w:r>
    </w:p>
    <w:p w14:paraId="118CD357" w14:textId="6EF21D2F" w:rsidR="00BD2C22" w:rsidRDefault="003F00E0" w:rsidP="00BD2C22">
      <w:pPr>
        <w:spacing w:before="156" w:after="156"/>
        <w:rPr>
          <w:rFonts w:eastAsia="宋体"/>
        </w:rPr>
      </w:pPr>
      <w:r>
        <w:rPr>
          <w:rFonts w:eastAsia="宋体"/>
        </w:rPr>
        <w:t>T</w:t>
      </w:r>
      <w:r w:rsidR="00066159">
        <w:rPr>
          <w:rFonts w:eastAsia="宋体"/>
        </w:rPr>
        <w:t xml:space="preserve">he </w:t>
      </w:r>
      <w:r w:rsidR="00BD2C22">
        <w:rPr>
          <w:rFonts w:eastAsia="宋体"/>
        </w:rPr>
        <w:t xml:space="preserve">related descriptions for UE’s behavior to continue UL transmission after the gap greater than 25us </w:t>
      </w:r>
      <w:r w:rsidR="00414DE8">
        <w:rPr>
          <w:rFonts w:eastAsia="宋体"/>
        </w:rPr>
        <w:t xml:space="preserve">are presented </w:t>
      </w:r>
      <w:r w:rsidR="00BD2C22">
        <w:rPr>
          <w:rFonts w:eastAsia="宋体"/>
        </w:rPr>
        <w:t>in section</w:t>
      </w:r>
      <w:r w:rsidR="0030674D">
        <w:rPr>
          <w:rFonts w:eastAsia="宋体"/>
        </w:rPr>
        <w:t>s</w:t>
      </w:r>
      <w:r w:rsidR="00BD2C22">
        <w:rPr>
          <w:rFonts w:eastAsia="宋体"/>
        </w:rPr>
        <w:t xml:space="preserve"> </w:t>
      </w:r>
      <w:r w:rsidR="00BD2C22" w:rsidRPr="00AF13C7">
        <w:rPr>
          <w:rFonts w:eastAsia="宋体"/>
        </w:rPr>
        <w:t>4.2.1</w:t>
      </w:r>
      <w:r w:rsidR="0030674D">
        <w:rPr>
          <w:rFonts w:eastAsia="宋体"/>
        </w:rPr>
        <w:t xml:space="preserve"> </w:t>
      </w:r>
      <w:r w:rsidR="00414DE8">
        <w:rPr>
          <w:rFonts w:eastAsia="宋体"/>
        </w:rPr>
        <w:t xml:space="preserve">and </w:t>
      </w:r>
      <w:r w:rsidR="00414DE8" w:rsidRPr="0008298A">
        <w:t>4.2.1.0.1</w:t>
      </w:r>
      <w:r w:rsidR="00BD2C22">
        <w:rPr>
          <w:rFonts w:eastAsia="宋体"/>
        </w:rPr>
        <w:t xml:space="preserve"> as follow</w:t>
      </w:r>
      <w:r>
        <w:rPr>
          <w:rFonts w:eastAsia="宋体"/>
        </w:rPr>
        <w:t>s</w:t>
      </w:r>
      <w:r w:rsidR="00BD2C22">
        <w:rPr>
          <w:rFonts w:eastAsia="宋体"/>
        </w:rPr>
        <w:t xml:space="preserve">, </w:t>
      </w:r>
    </w:p>
    <w:p w14:paraId="62947D1B" w14:textId="77777777" w:rsidR="00BD2C22" w:rsidRPr="009E702C" w:rsidRDefault="00BD2C22" w:rsidP="009E702C">
      <w:pPr>
        <w:spacing w:before="156" w:after="156"/>
        <w:rPr>
          <w:rFonts w:eastAsia="宋体"/>
          <w:i/>
        </w:rPr>
      </w:pPr>
      <w:r w:rsidRPr="009E702C">
        <w:rPr>
          <w:rFonts w:eastAsia="宋体"/>
          <w:i/>
        </w:rPr>
        <w:t>“</w:t>
      </w:r>
      <w:r w:rsidRPr="009E702C">
        <w:rPr>
          <w:i/>
        </w:rPr>
        <w:t xml:space="preserve">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w:t>
      </w:r>
      <w:r w:rsidRPr="009E702C">
        <w:rPr>
          <w:b/>
          <w:i/>
        </w:rPr>
        <w:t>If the channel is sensed by the UE to be continuously idle after the UE has stopped transmitting the first transmission,</w:t>
      </w:r>
      <w:r w:rsidRPr="009E702C">
        <w:rPr>
          <w:i/>
        </w:rPr>
        <w:t xml:space="preserve"> </w:t>
      </w:r>
      <w:r w:rsidRPr="009E702C">
        <w:rPr>
          <w:b/>
          <w:i/>
        </w:rPr>
        <w:t>the UE may transmit further UL transmissions scheduled by the scheduling DCI using Type 2 channel access procedures</w:t>
      </w:r>
      <w:r w:rsidRPr="009E702C">
        <w:rPr>
          <w:i/>
        </w:rPr>
        <w:t xml:space="preserve">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 </w:t>
      </w:r>
    </w:p>
    <w:p w14:paraId="3EC3C9D8" w14:textId="327151FC" w:rsidR="00BD2C22" w:rsidRPr="0008298A" w:rsidRDefault="001D70B5" w:rsidP="009E702C">
      <w:pPr>
        <w:spacing w:before="156" w:after="156"/>
      </w:pPr>
      <w:r>
        <w:rPr>
          <w:i/>
        </w:rPr>
        <w:t>“</w:t>
      </w:r>
      <w:r w:rsidR="00BD2C22" w:rsidRPr="009E702C">
        <w:rPr>
          <w:i/>
        </w:rPr>
        <w:t xml:space="preserve"> If a UE is scheduled to transmit a set of consecutive UL transmissions without gaps using one or more UL grant(s), and if the UE has stopped transmitting during or before one of these UL transmissions in the set and prior to the last UL transmission in the set, and </w:t>
      </w:r>
      <w:r w:rsidR="00BD2C22" w:rsidRPr="009E702C">
        <w:rPr>
          <w:b/>
          <w:i/>
        </w:rPr>
        <w:t>if the channel is sensed by the UE to be continuously idle after the UE has stopped transmitting</w:t>
      </w:r>
      <w:r w:rsidR="00BD2C22" w:rsidRPr="009E702C">
        <w:rPr>
          <w:i/>
        </w:rPr>
        <w:t xml:space="preserve">, </w:t>
      </w:r>
      <w:r w:rsidR="00BD2C22" w:rsidRPr="009E702C">
        <w:rPr>
          <w:b/>
          <w:i/>
        </w:rPr>
        <w:t>the UE may transmit a later UL transmission in the set using Type 2 channel access procedures</w:t>
      </w:r>
      <w:r w:rsidR="00BD2C22" w:rsidRPr="009E702C">
        <w:rPr>
          <w:i/>
        </w:rPr>
        <w:t xml:space="preserve"> or Type 2A UL channel access procedures without applying a CP extension. </w:t>
      </w:r>
    </w:p>
    <w:p w14:paraId="78233BCE" w14:textId="1722EBFA" w:rsidR="00BD2C22" w:rsidRPr="009E702C" w:rsidRDefault="00BD2C22" w:rsidP="009E702C">
      <w:pPr>
        <w:spacing w:before="156" w:after="156"/>
        <w:rPr>
          <w:i/>
        </w:rPr>
      </w:pPr>
      <w:r w:rsidRPr="009E702C">
        <w:rPr>
          <w:i/>
        </w:rPr>
        <w:t>- If a channel sensed by a UE is not continuously idle after the UE has stopped transmitting, the UE may transmit a later UL transmission in the set using Type 1 channel access procedure with the UL channel access priority class indicated in the DCI corresponding to the UL transmission.”.</w:t>
      </w:r>
    </w:p>
    <w:p w14:paraId="30EFA1E8" w14:textId="77E993A6" w:rsidR="00BD2C22" w:rsidRDefault="00BD2C22" w:rsidP="00BD2C22">
      <w:pPr>
        <w:spacing w:before="156" w:after="156"/>
        <w:rPr>
          <w:rFonts w:eastAsia="宋体"/>
        </w:rPr>
      </w:pPr>
      <w:r w:rsidRPr="00927512">
        <w:rPr>
          <w:rFonts w:eastAsia="宋体"/>
        </w:rPr>
        <w:t xml:space="preserve">Based </w:t>
      </w:r>
      <w:r>
        <w:rPr>
          <w:rFonts w:eastAsia="宋体"/>
        </w:rPr>
        <w:t xml:space="preserve">on </w:t>
      </w:r>
      <w:r w:rsidR="007C0434">
        <w:rPr>
          <w:rFonts w:eastAsia="宋体"/>
        </w:rPr>
        <w:t xml:space="preserve">the </w:t>
      </w:r>
      <w:r w:rsidRPr="00927512">
        <w:rPr>
          <w:rFonts w:eastAsia="宋体"/>
        </w:rPr>
        <w:t xml:space="preserve">above descriptions, we can find </w:t>
      </w:r>
      <w:r>
        <w:rPr>
          <w:rFonts w:eastAsia="宋体"/>
        </w:rPr>
        <w:t>that</w:t>
      </w:r>
      <w:r w:rsidRPr="00927512">
        <w:rPr>
          <w:rFonts w:eastAsia="宋体"/>
        </w:rPr>
        <w:t xml:space="preserve"> </w:t>
      </w:r>
      <w:r>
        <w:rPr>
          <w:rFonts w:eastAsia="宋体"/>
        </w:rPr>
        <w:t>a successful</w:t>
      </w:r>
      <w:r w:rsidRPr="00927512">
        <w:rPr>
          <w:rFonts w:eastAsia="宋体"/>
        </w:rPr>
        <w:t xml:space="preserve"> Type 2A UL channel </w:t>
      </w:r>
      <w:r>
        <w:rPr>
          <w:rFonts w:eastAsia="宋体"/>
        </w:rPr>
        <w:t>access procedure</w:t>
      </w:r>
      <w:r w:rsidRPr="00927512">
        <w:rPr>
          <w:rFonts w:eastAsia="宋体"/>
        </w:rPr>
        <w:t xml:space="preserve"> is not </w:t>
      </w:r>
      <w:r w:rsidR="007C0434">
        <w:rPr>
          <w:rFonts w:eastAsia="宋体"/>
        </w:rPr>
        <w:t>a</w:t>
      </w:r>
      <w:r w:rsidRPr="00927512">
        <w:rPr>
          <w:rFonts w:eastAsia="宋体"/>
        </w:rPr>
        <w:t xml:space="preserve"> sufficient condition </w:t>
      </w:r>
      <w:r>
        <w:rPr>
          <w:rFonts w:eastAsia="宋体"/>
        </w:rPr>
        <w:t xml:space="preserve">for continuing UL transmission after a gap greater than 25us, but </w:t>
      </w:r>
      <w:r>
        <w:rPr>
          <w:rFonts w:eastAsia="宋体" w:hint="eastAsia"/>
        </w:rPr>
        <w:t>on</w:t>
      </w:r>
      <w:r>
        <w:rPr>
          <w:rFonts w:eastAsia="宋体"/>
        </w:rPr>
        <w:t xml:space="preserve">ly the necessary condition for that. The channel should be sensed to be </w:t>
      </w:r>
      <w:r w:rsidRPr="00927512">
        <w:rPr>
          <w:rFonts w:eastAsia="宋体"/>
        </w:rPr>
        <w:t>continuously idle</w:t>
      </w:r>
      <w:r>
        <w:rPr>
          <w:rFonts w:eastAsia="宋体"/>
        </w:rPr>
        <w:t xml:space="preserve"> during the gap before performing Type 2A procedure</w:t>
      </w:r>
      <w:r w:rsidRPr="001476DA">
        <w:rPr>
          <w:rFonts w:eastAsia="宋体"/>
        </w:rPr>
        <w:t xml:space="preserve"> </w:t>
      </w:r>
      <w:r>
        <w:rPr>
          <w:rFonts w:eastAsia="宋体"/>
        </w:rPr>
        <w:t xml:space="preserve">by UE </w:t>
      </w:r>
      <w:r>
        <w:rPr>
          <w:rFonts w:eastAsia="宋体" w:hint="eastAsia"/>
        </w:rPr>
        <w:t>as</w:t>
      </w:r>
      <w:r>
        <w:rPr>
          <w:rFonts w:eastAsia="宋体"/>
        </w:rPr>
        <w:t xml:space="preserve"> shown in </w:t>
      </w:r>
      <w:r w:rsidR="00133A8B">
        <w:rPr>
          <w:rFonts w:eastAsia="宋体"/>
        </w:rPr>
        <w:fldChar w:fldCharType="begin"/>
      </w:r>
      <w:r w:rsidR="00133A8B">
        <w:rPr>
          <w:rFonts w:eastAsia="宋体"/>
        </w:rPr>
        <w:instrText xml:space="preserve"> REF _Ref142057362 \h </w:instrText>
      </w:r>
      <w:r w:rsidR="00133A8B">
        <w:rPr>
          <w:rFonts w:eastAsia="宋体"/>
        </w:rPr>
      </w:r>
      <w:r w:rsidR="00133A8B">
        <w:rPr>
          <w:rFonts w:eastAsia="宋体"/>
        </w:rPr>
        <w:fldChar w:fldCharType="separate"/>
      </w:r>
      <w:r w:rsidR="00E52A2E" w:rsidRPr="003E218A">
        <w:rPr>
          <w:rFonts w:cs="Times New Roman"/>
        </w:rPr>
        <w:t xml:space="preserve">Figure </w:t>
      </w:r>
      <w:r w:rsidR="00E52A2E">
        <w:rPr>
          <w:rFonts w:cs="Times New Roman"/>
          <w:noProof/>
        </w:rPr>
        <w:t>2</w:t>
      </w:r>
      <w:r w:rsidR="00133A8B">
        <w:rPr>
          <w:rFonts w:eastAsia="宋体"/>
        </w:rPr>
        <w:fldChar w:fldCharType="end"/>
      </w:r>
      <w:r w:rsidR="00133A8B">
        <w:rPr>
          <w:rFonts w:eastAsia="宋体"/>
        </w:rPr>
        <w:t xml:space="preserve">. </w:t>
      </w:r>
      <w:r>
        <w:rPr>
          <w:rFonts w:eastAsia="宋体"/>
        </w:rPr>
        <w:t xml:space="preserve">In other words, the channel being </w:t>
      </w:r>
      <w:r w:rsidRPr="00927512">
        <w:rPr>
          <w:rFonts w:eastAsia="宋体"/>
        </w:rPr>
        <w:t>continuously idle</w:t>
      </w:r>
      <w:r>
        <w:rPr>
          <w:rFonts w:eastAsia="宋体"/>
        </w:rPr>
        <w:t xml:space="preserve"> after the gNB’s transmission is the precondition of performing Type 2A channel access procedure for COT sharing to transmit the intending UL transmission.</w:t>
      </w:r>
    </w:p>
    <w:p w14:paraId="61C8A8B5" w14:textId="77777777" w:rsidR="007C0434" w:rsidRDefault="007C0434" w:rsidP="007C0434">
      <w:pPr>
        <w:keepNext/>
        <w:spacing w:before="156" w:after="156"/>
        <w:ind w:left="360"/>
        <w:jc w:val="center"/>
      </w:pPr>
      <w:r w:rsidRPr="009776DB">
        <w:object w:dxaOrig="7201" w:dyaOrig="1630" w14:anchorId="1CCF8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81.75pt" o:ole="">
            <v:imagedata r:id="rId9" o:title=""/>
          </v:shape>
          <o:OLEObject Type="Embed" ProgID="Visio.Drawing.15" ShapeID="_x0000_i1025" DrawAspect="Content" ObjectID="_1757314861" r:id="rId10"/>
        </w:object>
      </w:r>
    </w:p>
    <w:p w14:paraId="69FD0A0F" w14:textId="2DF8B9B5" w:rsidR="007C0434" w:rsidRPr="003E218A" w:rsidRDefault="007C0434" w:rsidP="007C0434">
      <w:pPr>
        <w:pStyle w:val="af6"/>
        <w:spacing w:before="156" w:after="156"/>
        <w:jc w:val="center"/>
        <w:rPr>
          <w:rFonts w:ascii="Times New Roman" w:hAnsi="Times New Roman" w:cs="Times New Roman"/>
        </w:rPr>
      </w:pPr>
      <w:bookmarkStart w:id="1840" w:name="_Ref142057362"/>
      <w:r w:rsidRPr="003E218A">
        <w:rPr>
          <w:rFonts w:ascii="Times New Roman" w:hAnsi="Times New Roman" w:cs="Times New Roman"/>
        </w:rPr>
        <w:t xml:space="preserve">Figure </w:t>
      </w:r>
      <w:r w:rsidRPr="003E218A">
        <w:rPr>
          <w:rFonts w:ascii="Times New Roman" w:hAnsi="Times New Roman" w:cs="Times New Roman"/>
        </w:rPr>
        <w:fldChar w:fldCharType="begin"/>
      </w:r>
      <w:r w:rsidRPr="003E218A">
        <w:rPr>
          <w:rFonts w:ascii="Times New Roman" w:hAnsi="Times New Roman" w:cs="Times New Roman"/>
        </w:rPr>
        <w:instrText xml:space="preserve"> SEQ Figure \* ARABIC </w:instrText>
      </w:r>
      <w:r w:rsidRPr="003E218A">
        <w:rPr>
          <w:rFonts w:ascii="Times New Roman" w:hAnsi="Times New Roman" w:cs="Times New Roman"/>
        </w:rPr>
        <w:fldChar w:fldCharType="separate"/>
      </w:r>
      <w:r w:rsidR="00E52A2E">
        <w:rPr>
          <w:rFonts w:ascii="Times New Roman" w:hAnsi="Times New Roman" w:cs="Times New Roman"/>
          <w:noProof/>
        </w:rPr>
        <w:t>2</w:t>
      </w:r>
      <w:r w:rsidRPr="003E218A">
        <w:rPr>
          <w:rFonts w:ascii="Times New Roman" w:hAnsi="Times New Roman" w:cs="Times New Roman"/>
        </w:rPr>
        <w:fldChar w:fldCharType="end"/>
      </w:r>
      <w:bookmarkEnd w:id="1840"/>
      <w:r w:rsidRPr="003E218A">
        <w:rPr>
          <w:rFonts w:ascii="Times New Roman" w:hAnsi="Times New Roman" w:cs="Times New Roman"/>
        </w:rPr>
        <w:t xml:space="preserve"> </w:t>
      </w:r>
      <w:r w:rsidR="0002537D" w:rsidRPr="003E218A">
        <w:rPr>
          <w:rFonts w:ascii="Times New Roman" w:hAnsi="Times New Roman" w:cs="Times New Roman"/>
        </w:rPr>
        <w:t>Continuously sensed idle</w:t>
      </w:r>
      <w:r w:rsidR="003B705C">
        <w:rPr>
          <w:rFonts w:ascii="Times New Roman" w:hAnsi="Times New Roman" w:cs="Times New Roman"/>
        </w:rPr>
        <w:t xml:space="preserve"> on uplink</w:t>
      </w:r>
    </w:p>
    <w:p w14:paraId="74230577" w14:textId="77777777" w:rsidR="00BD2C22" w:rsidRDefault="00BD2C22" w:rsidP="00BD2C22">
      <w:pPr>
        <w:spacing w:before="156" w:after="156"/>
        <w:rPr>
          <w:rFonts w:eastAsia="宋体"/>
        </w:rPr>
      </w:pPr>
      <w:r>
        <w:rPr>
          <w:rFonts w:eastAsia="宋体"/>
        </w:rPr>
        <w:t xml:space="preserve">Hence, considering the similar case in SL-U, namely when </w:t>
      </w:r>
      <w:r>
        <w:t>a</w:t>
      </w:r>
      <w:r w:rsidRPr="0029467E">
        <w:t xml:space="preserve"> responding UE </w:t>
      </w:r>
      <w:r>
        <w:rPr>
          <w:color w:val="000000"/>
        </w:rPr>
        <w:t>shares</w:t>
      </w:r>
      <w:r w:rsidRPr="0029467E">
        <w:rPr>
          <w:color w:val="000000"/>
        </w:rPr>
        <w:t xml:space="preserve"> a channel occupancy initiated by a COT initiating UE</w:t>
      </w:r>
      <w:r>
        <w:rPr>
          <w:color w:val="000000"/>
        </w:rPr>
        <w:t xml:space="preserve">, only </w:t>
      </w:r>
      <w:r>
        <w:rPr>
          <w:rFonts w:eastAsia="宋体"/>
        </w:rPr>
        <w:t xml:space="preserve">if the channel is sensed to be </w:t>
      </w:r>
      <w:r w:rsidRPr="00927512">
        <w:rPr>
          <w:rFonts w:eastAsia="宋体"/>
        </w:rPr>
        <w:t>continuously</w:t>
      </w:r>
      <w:r>
        <w:rPr>
          <w:rFonts w:eastAsia="宋体"/>
        </w:rPr>
        <w:t xml:space="preserve"> idle by the </w:t>
      </w:r>
      <w:r w:rsidRPr="0029467E">
        <w:t>responding UE</w:t>
      </w:r>
      <w:r>
        <w:rPr>
          <w:rFonts w:eastAsia="宋体"/>
        </w:rPr>
        <w:t xml:space="preserve"> after the </w:t>
      </w:r>
      <w:r w:rsidRPr="0029467E">
        <w:rPr>
          <w:color w:val="000000"/>
        </w:rPr>
        <w:t>COT initiating UE</w:t>
      </w:r>
      <w:r>
        <w:rPr>
          <w:color w:val="000000"/>
        </w:rPr>
        <w:t xml:space="preserve"> has stopped transmitting, </w:t>
      </w:r>
      <w:r>
        <w:rPr>
          <w:rFonts w:eastAsia="宋体"/>
        </w:rPr>
        <w:t xml:space="preserve">the </w:t>
      </w:r>
      <w:r w:rsidRPr="0029467E">
        <w:t>responding UE</w:t>
      </w:r>
      <w:r w:rsidRPr="0077464E">
        <w:rPr>
          <w:color w:val="000000"/>
        </w:rPr>
        <w:t xml:space="preserve"> </w:t>
      </w:r>
      <w:r w:rsidRPr="0029467E">
        <w:rPr>
          <w:color w:val="000000"/>
        </w:rPr>
        <w:t>may transmit a SL transmission</w:t>
      </w:r>
      <w:r w:rsidRPr="0077464E">
        <w:rPr>
          <w:color w:val="000000"/>
        </w:rPr>
        <w:t xml:space="preserve"> </w:t>
      </w:r>
      <w:r w:rsidRPr="0029467E">
        <w:rPr>
          <w:color w:val="000000"/>
        </w:rPr>
        <w:t xml:space="preserve">that follows a SL transmission by </w:t>
      </w:r>
      <w:r w:rsidRPr="0029467E">
        <w:rPr>
          <w:color w:val="000000"/>
        </w:rPr>
        <w:lastRenderedPageBreak/>
        <w:t>the COT initiating UE</w:t>
      </w:r>
      <w:r w:rsidRPr="0077464E">
        <w:rPr>
          <w:color w:val="000000"/>
        </w:rPr>
        <w:t xml:space="preserve"> </w:t>
      </w:r>
      <w:r>
        <w:rPr>
          <w:color w:val="000000"/>
        </w:rPr>
        <w:t>after</w:t>
      </w:r>
      <w:r>
        <w:rPr>
          <w:rFonts w:eastAsia="宋体"/>
        </w:rPr>
        <w:t xml:space="preserve"> a gap greater than 25us using </w:t>
      </w:r>
      <w:r w:rsidRPr="0008298A">
        <w:t>Type 2</w:t>
      </w:r>
      <w:r>
        <w:t>A SL</w:t>
      </w:r>
      <w:r w:rsidRPr="0008298A">
        <w:t xml:space="preserve"> channel access procedure without applying a CP extension.</w:t>
      </w:r>
      <w:r>
        <w:rPr>
          <w:rFonts w:eastAsia="宋体"/>
        </w:rPr>
        <w:t xml:space="preserve"> </w:t>
      </w:r>
    </w:p>
    <w:p w14:paraId="7E958B4E" w14:textId="245D31E2" w:rsidR="00BD2C22" w:rsidRDefault="00BD2C22" w:rsidP="00BD2C22">
      <w:pPr>
        <w:spacing w:before="156" w:after="156"/>
      </w:pPr>
      <w:r>
        <w:rPr>
          <w:rFonts w:eastAsia="宋体"/>
        </w:rPr>
        <w:t xml:space="preserve">According to TS37.213, only if a gap is </w:t>
      </w:r>
      <w:r w:rsidRPr="0077464E">
        <w:rPr>
          <w:rFonts w:eastAsia="宋体"/>
        </w:rPr>
        <w:t>less than or equal to 25μs</w:t>
      </w:r>
      <w:r>
        <w:rPr>
          <w:rFonts w:eastAsia="宋体"/>
        </w:rPr>
        <w:t xml:space="preserve">, the gap </w:t>
      </w:r>
      <w:r w:rsidRPr="0077464E">
        <w:rPr>
          <w:rFonts w:eastAsia="宋体"/>
        </w:rPr>
        <w:t>duration is counted in the channel occupancy time</w:t>
      </w:r>
      <w:r>
        <w:rPr>
          <w:rFonts w:eastAsia="宋体"/>
        </w:rPr>
        <w:t>. I</w:t>
      </w:r>
      <w:r>
        <w:rPr>
          <w:rFonts w:eastAsia="宋体" w:hint="eastAsia"/>
        </w:rPr>
        <w:t>f</w:t>
      </w:r>
      <w:r>
        <w:rPr>
          <w:rFonts w:eastAsia="宋体"/>
        </w:rPr>
        <w:t xml:space="preserve"> </w:t>
      </w:r>
      <w:r>
        <w:rPr>
          <w:rFonts w:eastAsia="宋体" w:hint="eastAsia"/>
        </w:rPr>
        <w:t>the</w:t>
      </w:r>
      <w:r>
        <w:rPr>
          <w:rFonts w:eastAsia="宋体"/>
        </w:rPr>
        <w:t xml:space="preserve"> </w:t>
      </w:r>
      <w:r w:rsidRPr="0029467E">
        <w:t>responding UE</w:t>
      </w:r>
      <w:r w:rsidRPr="0077464E">
        <w:rPr>
          <w:color w:val="000000"/>
        </w:rPr>
        <w:t xml:space="preserve"> </w:t>
      </w:r>
      <w:r w:rsidRPr="0029467E">
        <w:rPr>
          <w:color w:val="000000"/>
        </w:rPr>
        <w:t>may transmit a SL transmission</w:t>
      </w:r>
      <w:r>
        <w:rPr>
          <w:color w:val="000000"/>
        </w:rPr>
        <w:t xml:space="preserve"> after</w:t>
      </w:r>
      <w:r>
        <w:rPr>
          <w:rFonts w:eastAsia="宋体"/>
        </w:rPr>
        <w:t xml:space="preserve"> a gap greater than 25us</w:t>
      </w:r>
      <w:r>
        <w:rPr>
          <w:color w:val="000000"/>
        </w:rPr>
        <w:t xml:space="preserve"> merely depending on</w:t>
      </w:r>
      <w:r w:rsidRPr="00287263">
        <w:t xml:space="preserve"> </w:t>
      </w:r>
      <w:r>
        <w:t xml:space="preserve">a </w:t>
      </w:r>
      <w:r w:rsidRPr="0008298A">
        <w:t>Type 2</w:t>
      </w:r>
      <w:r>
        <w:t>A SL</w:t>
      </w:r>
      <w:r w:rsidRPr="0008298A">
        <w:t xml:space="preserve"> channel access procedure</w:t>
      </w:r>
      <w:r>
        <w:t xml:space="preserve"> without continuously sensing the channel, it may transmit at any time greater than 25us after the </w:t>
      </w:r>
      <w:r w:rsidRPr="0029467E">
        <w:rPr>
          <w:color w:val="000000"/>
        </w:rPr>
        <w:t xml:space="preserve">SL transmission </w:t>
      </w:r>
      <w:r w:rsidR="003A71B5">
        <w:rPr>
          <w:color w:val="000000"/>
        </w:rPr>
        <w:t>of</w:t>
      </w:r>
      <w:r w:rsidR="00480175" w:rsidRPr="0029467E">
        <w:rPr>
          <w:color w:val="000000"/>
        </w:rPr>
        <w:t xml:space="preserve"> </w:t>
      </w:r>
      <w:r w:rsidRPr="0029467E">
        <w:rPr>
          <w:color w:val="000000"/>
        </w:rPr>
        <w:t>the COT initiating UE</w:t>
      </w:r>
      <w:r>
        <w:t xml:space="preserve">, such as 5s later, as long as the channel is sensed to be idle by the simple Type 2A channel access procedure as shown in </w:t>
      </w:r>
      <w:r w:rsidR="003B705C">
        <w:fldChar w:fldCharType="begin"/>
      </w:r>
      <w:r w:rsidR="003B705C">
        <w:instrText xml:space="preserve"> REF _Ref142057725 \h </w:instrText>
      </w:r>
      <w:r w:rsidR="003B705C">
        <w:fldChar w:fldCharType="separate"/>
      </w:r>
      <w:r w:rsidR="00E52A2E" w:rsidRPr="003E218A">
        <w:rPr>
          <w:rFonts w:cs="Times New Roman"/>
        </w:rPr>
        <w:t xml:space="preserve">Figure </w:t>
      </w:r>
      <w:r w:rsidR="00E52A2E">
        <w:rPr>
          <w:rFonts w:cs="Times New Roman"/>
          <w:noProof/>
        </w:rPr>
        <w:t>3</w:t>
      </w:r>
      <w:r w:rsidR="003B705C">
        <w:fldChar w:fldCharType="end"/>
      </w:r>
      <w:r>
        <w:t>. Obviously, t</w:t>
      </w:r>
      <w:r w:rsidRPr="00EE4D86">
        <w:t xml:space="preserve">his </w:t>
      </w:r>
      <w:r w:rsidRPr="00AF1EBA">
        <w:t>violate</w:t>
      </w:r>
      <w:r>
        <w:t xml:space="preserve">s </w:t>
      </w:r>
      <w:r w:rsidRPr="00EE4D86">
        <w:t xml:space="preserve">the principle of </w:t>
      </w:r>
      <w:r>
        <w:t>fair</w:t>
      </w:r>
      <w:r w:rsidRPr="00EE4D86">
        <w:t xml:space="preserve"> use of </w:t>
      </w:r>
      <w:r>
        <w:t>shared</w:t>
      </w:r>
      <w:r w:rsidRPr="00EE4D86">
        <w:t xml:space="preserve"> spectrum</w:t>
      </w:r>
      <w:r>
        <w:t>, such a long gap without any transmission from COT initiating UE or responding UE may</w:t>
      </w:r>
      <w:r w:rsidRPr="00AF1EBA">
        <w:t xml:space="preserve"> disrupt</w:t>
      </w:r>
      <w:r>
        <w:t xml:space="preserve"> the </w:t>
      </w:r>
      <w:r w:rsidRPr="00AF1EBA">
        <w:t xml:space="preserve">validity </w:t>
      </w:r>
      <w:r>
        <w:t xml:space="preserve">of CO if the channel is not continuously sensed to be idle during the whole gap. </w:t>
      </w:r>
    </w:p>
    <w:p w14:paraId="73520E16" w14:textId="448DEED0" w:rsidR="003E218A" w:rsidRDefault="000966E3" w:rsidP="003E218A">
      <w:pPr>
        <w:keepNext/>
        <w:spacing w:before="156" w:after="156"/>
        <w:ind w:left="360"/>
        <w:jc w:val="center"/>
      </w:pPr>
      <w:r w:rsidRPr="009776DB">
        <w:object w:dxaOrig="7209" w:dyaOrig="1629" w14:anchorId="25DD1B16">
          <v:shape id="_x0000_i1026" type="#_x0000_t75" style="width:360.4pt;height:81.75pt" o:ole="">
            <v:imagedata r:id="rId11" o:title=""/>
          </v:shape>
          <o:OLEObject Type="Embed" ProgID="Visio.Drawing.15" ShapeID="_x0000_i1026" DrawAspect="Content" ObjectID="_1757314862" r:id="rId12"/>
        </w:object>
      </w:r>
    </w:p>
    <w:p w14:paraId="4A0E30E3" w14:textId="3BD941F5" w:rsidR="00BD2C22" w:rsidRPr="003E218A" w:rsidRDefault="003E218A" w:rsidP="003E218A">
      <w:pPr>
        <w:pStyle w:val="af6"/>
        <w:spacing w:before="156" w:after="156"/>
        <w:jc w:val="center"/>
        <w:rPr>
          <w:rFonts w:ascii="Times New Roman" w:hAnsi="Times New Roman" w:cs="Times New Roman"/>
        </w:rPr>
      </w:pPr>
      <w:bookmarkStart w:id="1841" w:name="_Ref142057725"/>
      <w:r w:rsidRPr="003E218A">
        <w:rPr>
          <w:rFonts w:ascii="Times New Roman" w:hAnsi="Times New Roman" w:cs="Times New Roman"/>
        </w:rPr>
        <w:t xml:space="preserve">Figure </w:t>
      </w:r>
      <w:r w:rsidRPr="003E218A">
        <w:rPr>
          <w:rFonts w:ascii="Times New Roman" w:hAnsi="Times New Roman" w:cs="Times New Roman"/>
        </w:rPr>
        <w:fldChar w:fldCharType="begin"/>
      </w:r>
      <w:r w:rsidRPr="003E218A">
        <w:rPr>
          <w:rFonts w:ascii="Times New Roman" w:hAnsi="Times New Roman" w:cs="Times New Roman"/>
        </w:rPr>
        <w:instrText xml:space="preserve"> SEQ Figure \* ARABIC </w:instrText>
      </w:r>
      <w:r w:rsidRPr="003E218A">
        <w:rPr>
          <w:rFonts w:ascii="Times New Roman" w:hAnsi="Times New Roman" w:cs="Times New Roman"/>
        </w:rPr>
        <w:fldChar w:fldCharType="separate"/>
      </w:r>
      <w:r w:rsidR="00E52A2E">
        <w:rPr>
          <w:rFonts w:ascii="Times New Roman" w:hAnsi="Times New Roman" w:cs="Times New Roman"/>
          <w:noProof/>
        </w:rPr>
        <w:t>3</w:t>
      </w:r>
      <w:r w:rsidRPr="003E218A">
        <w:rPr>
          <w:rFonts w:ascii="Times New Roman" w:hAnsi="Times New Roman" w:cs="Times New Roman"/>
        </w:rPr>
        <w:fldChar w:fldCharType="end"/>
      </w:r>
      <w:bookmarkEnd w:id="1841"/>
      <w:r>
        <w:rPr>
          <w:rFonts w:ascii="Times New Roman" w:hAnsi="Times New Roman" w:cs="Times New Roman"/>
        </w:rPr>
        <w:t xml:space="preserve"> </w:t>
      </w:r>
      <w:r w:rsidR="003B705C" w:rsidRPr="003E218A">
        <w:rPr>
          <w:rFonts w:ascii="Times New Roman" w:hAnsi="Times New Roman" w:cs="Times New Roman"/>
        </w:rPr>
        <w:t>Continuously sensed idle</w:t>
      </w:r>
      <w:r w:rsidR="003B705C">
        <w:rPr>
          <w:rFonts w:ascii="Times New Roman" w:hAnsi="Times New Roman" w:cs="Times New Roman"/>
        </w:rPr>
        <w:t xml:space="preserve"> on sidelink</w:t>
      </w:r>
    </w:p>
    <w:p w14:paraId="4A24E112" w14:textId="473E6BDC" w:rsidR="00172380" w:rsidRPr="001D70B5" w:rsidRDefault="00BD2C22" w:rsidP="001D70B5">
      <w:pPr>
        <w:pStyle w:val="1st-Proposal-YJ"/>
        <w:numPr>
          <w:ilvl w:val="0"/>
          <w:numId w:val="5"/>
        </w:numPr>
        <w:spacing w:before="156" w:after="156"/>
        <w:rPr>
          <w:rFonts w:eastAsia="宋体"/>
        </w:rPr>
      </w:pPr>
      <w:bookmarkStart w:id="1842" w:name="_Toc142058441"/>
      <w:bookmarkStart w:id="1843" w:name="_Toc142058467"/>
      <w:bookmarkStart w:id="1844" w:name="_Toc142058493"/>
      <w:bookmarkStart w:id="1845" w:name="_Toc142058519"/>
      <w:bookmarkStart w:id="1846" w:name="_Toc142059463"/>
      <w:bookmarkStart w:id="1847" w:name="_Toc142059489"/>
      <w:bookmarkStart w:id="1848" w:name="_Toc142059713"/>
      <w:bookmarkStart w:id="1849" w:name="_Toc142059739"/>
      <w:bookmarkStart w:id="1850" w:name="_Toc142293324"/>
      <w:bookmarkStart w:id="1851" w:name="_Toc142555195"/>
      <w:bookmarkStart w:id="1852" w:name="_Toc142555220"/>
      <w:bookmarkStart w:id="1853" w:name="_Toc142555452"/>
      <w:bookmarkStart w:id="1854" w:name="_Toc142555477"/>
      <w:bookmarkStart w:id="1855" w:name="_Toc142555726"/>
      <w:bookmarkStart w:id="1856" w:name="_Toc142555751"/>
      <w:bookmarkStart w:id="1857" w:name="_Toc142555776"/>
      <w:bookmarkStart w:id="1858" w:name="_Toc145938639"/>
      <w:bookmarkStart w:id="1859" w:name="_Toc145949095"/>
      <w:bookmarkStart w:id="1860" w:name="_Toc145949117"/>
      <w:bookmarkStart w:id="1861" w:name="_Toc146029903"/>
      <w:bookmarkStart w:id="1862" w:name="_Toc146029922"/>
      <w:bookmarkStart w:id="1863" w:name="_Toc146029966"/>
      <w:bookmarkStart w:id="1864" w:name="_Toc146029985"/>
      <w:bookmarkStart w:id="1865" w:name="_Toc146030053"/>
      <w:bookmarkStart w:id="1866" w:name="_Toc146030072"/>
      <w:bookmarkStart w:id="1867" w:name="_Toc146032494"/>
      <w:bookmarkStart w:id="1868" w:name="_Toc146032513"/>
      <w:bookmarkStart w:id="1869" w:name="_Toc146032810"/>
      <w:bookmarkStart w:id="1870" w:name="_Toc146032829"/>
      <w:bookmarkStart w:id="1871" w:name="_Toc146111119"/>
      <w:bookmarkStart w:id="1872" w:name="_Toc146111139"/>
      <w:bookmarkStart w:id="1873" w:name="_Toc146111170"/>
      <w:bookmarkStart w:id="1874" w:name="_Toc146111190"/>
      <w:bookmarkStart w:id="1875" w:name="_Toc146111565"/>
      <w:bookmarkStart w:id="1876" w:name="_Toc146111607"/>
      <w:bookmarkStart w:id="1877" w:name="_Toc146112133"/>
      <w:bookmarkStart w:id="1878" w:name="_Toc146112262"/>
      <w:bookmarkStart w:id="1879" w:name="_Toc146112282"/>
      <w:bookmarkStart w:id="1880" w:name="_Toc146112644"/>
      <w:bookmarkStart w:id="1881" w:name="_Toc146112664"/>
      <w:bookmarkStart w:id="1882" w:name="_Toc146112757"/>
      <w:bookmarkStart w:id="1883" w:name="_Toc146112777"/>
      <w:bookmarkStart w:id="1884" w:name="_Toc146113577"/>
      <w:bookmarkStart w:id="1885" w:name="_Toc146113597"/>
      <w:bookmarkStart w:id="1886" w:name="_Toc146529525"/>
      <w:bookmarkStart w:id="1887" w:name="_Toc146529546"/>
      <w:bookmarkStart w:id="1888" w:name="_Toc146529755"/>
      <w:bookmarkStart w:id="1889" w:name="_Toc146529776"/>
      <w:bookmarkStart w:id="1890" w:name="_Toc146529816"/>
      <w:bookmarkStart w:id="1891" w:name="_Toc146529837"/>
      <w:bookmarkStart w:id="1892" w:name="_Toc146532987"/>
      <w:bookmarkStart w:id="1893" w:name="_Toc146533008"/>
      <w:bookmarkStart w:id="1894" w:name="_Toc146533088"/>
      <w:bookmarkStart w:id="1895" w:name="_Toc146533109"/>
      <w:bookmarkStart w:id="1896" w:name="_Toc146533130"/>
      <w:bookmarkStart w:id="1897" w:name="_Toc146533151"/>
      <w:bookmarkStart w:id="1898" w:name="_Toc146533172"/>
      <w:bookmarkStart w:id="1899" w:name="_Toc146533193"/>
      <w:bookmarkStart w:id="1900" w:name="_Toc146701049"/>
      <w:bookmarkStart w:id="1901" w:name="_Toc146701070"/>
      <w:bookmarkStart w:id="1902" w:name="_Toc146701914"/>
      <w:bookmarkStart w:id="1903" w:name="_Toc146701935"/>
      <w:bookmarkStart w:id="1904" w:name="_Toc146701969"/>
      <w:bookmarkStart w:id="1905" w:name="_Toc146701990"/>
      <w:r w:rsidRPr="009E702C">
        <w:rPr>
          <w:rFonts w:eastAsia="宋体"/>
        </w:rPr>
        <w:t>Regarding a responding UE sha</w:t>
      </w:r>
      <w:r w:rsidRPr="00A1145E">
        <w:rPr>
          <w:rFonts w:eastAsia="宋体"/>
        </w:rPr>
        <w:t>re</w:t>
      </w:r>
      <w:r w:rsidR="00A1145E" w:rsidRPr="00A1145E">
        <w:rPr>
          <w:rFonts w:eastAsia="宋体"/>
        </w:rPr>
        <w:t>s</w:t>
      </w:r>
      <w:r w:rsidRPr="009E702C">
        <w:rPr>
          <w:rFonts w:eastAsia="宋体"/>
        </w:rPr>
        <w:t xml:space="preserve"> a</w:t>
      </w:r>
      <w:r w:rsidR="000B0583" w:rsidRPr="009E702C">
        <w:rPr>
          <w:rFonts w:eastAsia="宋体"/>
        </w:rPr>
        <w:t>n SL CO</w:t>
      </w:r>
      <w:r w:rsidRPr="009E702C">
        <w:rPr>
          <w:rFonts w:eastAsia="宋体"/>
        </w:rPr>
        <w:t xml:space="preserve"> initiated by a COT initiating UE,</w:t>
      </w:r>
      <w:r w:rsidR="002A6FAC" w:rsidRPr="00172380">
        <w:rPr>
          <w:rFonts w:eastAsia="宋体"/>
        </w:rPr>
        <w:t xml:space="preserve"> </w:t>
      </w:r>
      <w:r w:rsidR="008B3CAF" w:rsidRPr="00172380">
        <w:rPr>
          <w:rFonts w:eastAsia="宋体"/>
        </w:rPr>
        <w:t>in the case that a</w:t>
      </w:r>
      <w:r w:rsidRPr="009E702C">
        <w:rPr>
          <w:rFonts w:eastAsia="宋体"/>
        </w:rPr>
        <w:t xml:space="preserve"> gap between </w:t>
      </w:r>
      <w:r w:rsidR="00A710F6">
        <w:rPr>
          <w:rFonts w:eastAsia="宋体"/>
        </w:rPr>
        <w:t>the</w:t>
      </w:r>
      <w:r w:rsidRPr="009E702C">
        <w:rPr>
          <w:rFonts w:eastAsia="宋体"/>
        </w:rPr>
        <w:t xml:space="preserve"> transmission </w:t>
      </w:r>
      <w:r w:rsidR="003A71B5" w:rsidRPr="00172380">
        <w:rPr>
          <w:rFonts w:eastAsia="宋体"/>
        </w:rPr>
        <w:t>of</w:t>
      </w:r>
      <w:r w:rsidR="003A71B5" w:rsidRPr="009E702C">
        <w:rPr>
          <w:rFonts w:eastAsia="宋体"/>
        </w:rPr>
        <w:t xml:space="preserve"> </w:t>
      </w:r>
      <w:r w:rsidRPr="009E702C">
        <w:rPr>
          <w:rFonts w:eastAsia="宋体"/>
        </w:rPr>
        <w:t>the COT initiating UE</w:t>
      </w:r>
      <w:r w:rsidRPr="001D70B5">
        <w:rPr>
          <w:rFonts w:eastAsia="宋体"/>
        </w:rPr>
        <w:t xml:space="preserve"> and </w:t>
      </w:r>
      <w:r w:rsidR="001D70B5" w:rsidRPr="001D70B5">
        <w:rPr>
          <w:rFonts w:eastAsia="宋体"/>
        </w:rPr>
        <w:t>the</w:t>
      </w:r>
      <w:r w:rsidRPr="009E702C">
        <w:rPr>
          <w:rFonts w:eastAsia="宋体"/>
        </w:rPr>
        <w:t xml:space="preserve"> transmission </w:t>
      </w:r>
      <w:r w:rsidR="003A71B5" w:rsidRPr="00172380">
        <w:rPr>
          <w:rFonts w:eastAsia="宋体"/>
        </w:rPr>
        <w:t>of</w:t>
      </w:r>
      <w:r w:rsidR="003A71B5" w:rsidRPr="009E702C">
        <w:rPr>
          <w:rFonts w:eastAsia="宋体"/>
        </w:rPr>
        <w:t xml:space="preserve"> </w:t>
      </w:r>
      <w:r w:rsidRPr="009E702C">
        <w:rPr>
          <w:rFonts w:eastAsia="宋体"/>
        </w:rPr>
        <w:t>the responding UE is greater than 25us</w:t>
      </w:r>
      <w:r w:rsidR="008B3CAF" w:rsidRPr="00172380">
        <w:rPr>
          <w:rFonts w:eastAsia="宋体"/>
        </w:rPr>
        <w:t>:</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r w:rsidR="00542E34" w:rsidRPr="00172380">
        <w:rPr>
          <w:rFonts w:eastAsia="宋体"/>
        </w:rPr>
        <w:t xml:space="preserve"> </w:t>
      </w:r>
    </w:p>
    <w:p w14:paraId="521CBEA2" w14:textId="5A68151E" w:rsidR="00BD2C22" w:rsidRPr="00172380" w:rsidRDefault="008B3CAF" w:rsidP="001D70B5">
      <w:pPr>
        <w:pStyle w:val="2nd-proposal-YJ"/>
        <w:numPr>
          <w:ilvl w:val="1"/>
          <w:numId w:val="5"/>
        </w:numPr>
        <w:spacing w:before="156" w:after="156"/>
        <w:rPr>
          <w:rFonts w:eastAsia="宋体"/>
        </w:rPr>
      </w:pPr>
      <w:bookmarkStart w:id="1906" w:name="_Toc142058442"/>
      <w:bookmarkStart w:id="1907" w:name="_Toc142058468"/>
      <w:bookmarkStart w:id="1908" w:name="_Toc142058494"/>
      <w:bookmarkStart w:id="1909" w:name="_Toc142058520"/>
      <w:bookmarkStart w:id="1910" w:name="_Toc142059464"/>
      <w:bookmarkStart w:id="1911" w:name="_Toc142059490"/>
      <w:bookmarkStart w:id="1912" w:name="_Toc142059714"/>
      <w:bookmarkStart w:id="1913" w:name="_Toc142059740"/>
      <w:bookmarkStart w:id="1914" w:name="_Toc142293325"/>
      <w:bookmarkStart w:id="1915" w:name="_Toc142555196"/>
      <w:bookmarkStart w:id="1916" w:name="_Toc142555221"/>
      <w:bookmarkStart w:id="1917" w:name="_Toc142555453"/>
      <w:bookmarkStart w:id="1918" w:name="_Toc142555478"/>
      <w:bookmarkStart w:id="1919" w:name="_Toc142555727"/>
      <w:bookmarkStart w:id="1920" w:name="_Toc142555752"/>
      <w:bookmarkStart w:id="1921" w:name="_Toc142555777"/>
      <w:bookmarkStart w:id="1922" w:name="_Toc145938640"/>
      <w:bookmarkStart w:id="1923" w:name="_Toc145949096"/>
      <w:bookmarkStart w:id="1924" w:name="_Toc145949118"/>
      <w:bookmarkStart w:id="1925" w:name="_Toc146029904"/>
      <w:bookmarkStart w:id="1926" w:name="_Toc146029923"/>
      <w:bookmarkStart w:id="1927" w:name="_Toc146029967"/>
      <w:bookmarkStart w:id="1928" w:name="_Toc146029986"/>
      <w:bookmarkStart w:id="1929" w:name="_Toc146030054"/>
      <w:bookmarkStart w:id="1930" w:name="_Toc146030073"/>
      <w:bookmarkStart w:id="1931" w:name="_Toc146032495"/>
      <w:bookmarkStart w:id="1932" w:name="_Toc146032514"/>
      <w:bookmarkStart w:id="1933" w:name="_Toc146032811"/>
      <w:bookmarkStart w:id="1934" w:name="_Toc146032830"/>
      <w:bookmarkStart w:id="1935" w:name="_Toc146111120"/>
      <w:bookmarkStart w:id="1936" w:name="_Toc146111140"/>
      <w:bookmarkStart w:id="1937" w:name="_Toc146111171"/>
      <w:bookmarkStart w:id="1938" w:name="_Toc146111191"/>
      <w:bookmarkStart w:id="1939" w:name="_Toc146111566"/>
      <w:bookmarkStart w:id="1940" w:name="_Toc146111608"/>
      <w:bookmarkStart w:id="1941" w:name="_Toc146112134"/>
      <w:bookmarkStart w:id="1942" w:name="_Toc146112263"/>
      <w:bookmarkStart w:id="1943" w:name="_Toc146112283"/>
      <w:bookmarkStart w:id="1944" w:name="_Toc146112645"/>
      <w:bookmarkStart w:id="1945" w:name="_Toc146112665"/>
      <w:bookmarkStart w:id="1946" w:name="_Toc146112758"/>
      <w:bookmarkStart w:id="1947" w:name="_Toc146112778"/>
      <w:bookmarkStart w:id="1948" w:name="_Toc146113578"/>
      <w:bookmarkStart w:id="1949" w:name="_Toc146113598"/>
      <w:bookmarkStart w:id="1950" w:name="_Toc146529526"/>
      <w:bookmarkStart w:id="1951" w:name="_Toc146529547"/>
      <w:bookmarkStart w:id="1952" w:name="_Toc146529756"/>
      <w:bookmarkStart w:id="1953" w:name="_Toc146529777"/>
      <w:bookmarkStart w:id="1954" w:name="_Toc146529817"/>
      <w:bookmarkStart w:id="1955" w:name="_Toc146529838"/>
      <w:bookmarkStart w:id="1956" w:name="_Toc146532988"/>
      <w:bookmarkStart w:id="1957" w:name="_Toc146533009"/>
      <w:bookmarkStart w:id="1958" w:name="_Toc146533089"/>
      <w:bookmarkStart w:id="1959" w:name="_Toc146533110"/>
      <w:bookmarkStart w:id="1960" w:name="_Toc146533131"/>
      <w:bookmarkStart w:id="1961" w:name="_Toc146533152"/>
      <w:bookmarkStart w:id="1962" w:name="_Toc146533173"/>
      <w:bookmarkStart w:id="1963" w:name="_Toc146533194"/>
      <w:bookmarkStart w:id="1964" w:name="_Toc146701050"/>
      <w:bookmarkStart w:id="1965" w:name="_Toc146701071"/>
      <w:bookmarkStart w:id="1966" w:name="_Toc146701915"/>
      <w:bookmarkStart w:id="1967" w:name="_Toc146701936"/>
      <w:bookmarkStart w:id="1968" w:name="_Toc146701970"/>
      <w:bookmarkStart w:id="1969" w:name="_Toc146701991"/>
      <w:r w:rsidRPr="00172380">
        <w:rPr>
          <w:rFonts w:eastAsia="宋体"/>
        </w:rPr>
        <w:t xml:space="preserve">if the channel is sensed by the responding UE to be continuously idle after the initiating UE has stopped its transmission, the responding UE may transmit </w:t>
      </w:r>
      <w:r w:rsidR="001D70B5">
        <w:rPr>
          <w:rFonts w:eastAsia="宋体"/>
        </w:rPr>
        <w:t xml:space="preserve">within the SL CO by </w:t>
      </w:r>
      <w:r w:rsidRPr="00172380">
        <w:rPr>
          <w:rFonts w:eastAsia="宋体"/>
        </w:rPr>
        <w:t>using Type 2 channel access procedures</w:t>
      </w:r>
      <w:r w:rsidR="00BD2C22" w:rsidRPr="00172380">
        <w:rPr>
          <w:rFonts w:eastAsia="宋体"/>
        </w:rPr>
        <w:t>.</w:t>
      </w:r>
      <w:bookmarkStart w:id="1970" w:name="_Toc142058443"/>
      <w:bookmarkStart w:id="1971" w:name="_Toc142058469"/>
      <w:bookmarkStart w:id="1972" w:name="_Toc142058495"/>
      <w:bookmarkStart w:id="1973" w:name="_Toc142058521"/>
      <w:bookmarkStart w:id="1974" w:name="_Toc142059465"/>
      <w:bookmarkStart w:id="1975" w:name="_Toc142059491"/>
      <w:bookmarkStart w:id="1976" w:name="_Toc142059715"/>
      <w:bookmarkStart w:id="1977" w:name="_Toc142059741"/>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302EF96" w14:textId="77777777" w:rsidR="00B5217F" w:rsidRPr="00950580" w:rsidRDefault="00B5217F" w:rsidP="00791D83">
      <w:pPr>
        <w:pStyle w:val="1st-Proposal-YJ"/>
        <w:numPr>
          <w:ilvl w:val="0"/>
          <w:numId w:val="0"/>
        </w:numPr>
        <w:pBdr>
          <w:bottom w:val="single" w:sz="6" w:space="1" w:color="auto"/>
        </w:pBdr>
        <w:spacing w:before="156" w:after="156"/>
        <w:rPr>
          <w:rFonts w:eastAsia="宋体"/>
        </w:rPr>
      </w:pPr>
    </w:p>
    <w:p w14:paraId="5CA0A9E1" w14:textId="030F0458" w:rsidR="00B70598" w:rsidRPr="00B55118" w:rsidRDefault="00B70598" w:rsidP="00450517">
      <w:pPr>
        <w:pStyle w:val="1"/>
        <w:numPr>
          <w:ilvl w:val="0"/>
          <w:numId w:val="1"/>
        </w:numPr>
        <w:spacing w:beforeLines="0" w:before="0" w:after="156"/>
        <w:rPr>
          <w:rFonts w:eastAsia="宋体"/>
          <w:sz w:val="28"/>
          <w:szCs w:val="28"/>
        </w:rPr>
      </w:pPr>
      <w:r w:rsidRPr="00B55118">
        <w:rPr>
          <w:rFonts w:eastAsia="宋体"/>
          <w:sz w:val="28"/>
          <w:szCs w:val="28"/>
        </w:rPr>
        <w:t>Conclusion</w:t>
      </w:r>
    </w:p>
    <w:p w14:paraId="2119E936" w14:textId="1812D7C5" w:rsidR="00AB7819" w:rsidRPr="00B55118" w:rsidRDefault="008021E8" w:rsidP="00AB7819">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705BBC" w:rsidRPr="00B55118">
        <w:rPr>
          <w:rFonts w:eastAsia="宋体" w:cs="Times New Roman"/>
        </w:rPr>
        <w:t xml:space="preserve">issues related to </w:t>
      </w:r>
      <w:r w:rsidR="00F837A4" w:rsidRPr="00B55118">
        <w:rPr>
          <w:rFonts w:eastAsia="宋体" w:cs="Times New Roman"/>
        </w:rPr>
        <w:t xml:space="preserve">the </w:t>
      </w:r>
      <w:r w:rsidR="00705BBC" w:rsidRPr="00B55118">
        <w:rPr>
          <w:rFonts w:eastAsia="宋体" w:cs="Times New Roman"/>
        </w:rPr>
        <w:t>channel access procedure</w:t>
      </w:r>
      <w:r w:rsidRPr="00B55118">
        <w:rPr>
          <w:rFonts w:eastAsia="宋体" w:cs="Times New Roman"/>
        </w:rPr>
        <w:t xml:space="preserve"> </w:t>
      </w:r>
      <w:r w:rsidR="00BC402D" w:rsidRPr="00B55118">
        <w:rPr>
          <w:rFonts w:eastAsia="宋体" w:cs="Times New Roman"/>
        </w:rPr>
        <w:t>for Rel-18</w:t>
      </w:r>
      <w:r w:rsidRPr="00B55118">
        <w:rPr>
          <w:rFonts w:eastAsia="宋体" w:cs="Times New Roman"/>
        </w:rPr>
        <w:t xml:space="preserve"> SL-U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p</w:t>
      </w:r>
      <w:r w:rsidR="00730F5C" w:rsidRPr="00B55118">
        <w:rPr>
          <w:rFonts w:eastAsia="宋体" w:cs="Times New Roman"/>
        </w:rPr>
        <w:t>roposals are listed as follows</w:t>
      </w:r>
      <w:r w:rsidR="002D5E1F" w:rsidRPr="00B55118">
        <w:rPr>
          <w:rFonts w:eastAsia="宋体" w:cs="Times New Roman"/>
        </w:rPr>
        <w:t>:</w:t>
      </w:r>
    </w:p>
    <w:p w14:paraId="6DAB1EFA" w14:textId="77777777" w:rsidR="00E52A2E" w:rsidRDefault="00AB7819">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"1st-Proposal-YJ,1,2nd-proposal-YJ,2,3nd-proposal-YJ,3" </w:instrText>
      </w:r>
      <w:r w:rsidRPr="00B55118">
        <w:rPr>
          <w:rFonts w:eastAsia="宋体"/>
        </w:rPr>
        <w:fldChar w:fldCharType="separate"/>
      </w:r>
      <w:r w:rsidR="00E52A2E" w:rsidRPr="004724A6">
        <w:rPr>
          <w:rFonts w:eastAsia="宋体"/>
          <w:noProof/>
        </w:rPr>
        <w:t>Proposal 1:</w:t>
      </w:r>
      <w:r w:rsidR="00E52A2E">
        <w:rPr>
          <w:rFonts w:asciiTheme="minorHAnsi" w:eastAsiaTheme="minorEastAsia" w:hAnsiTheme="minorHAnsi" w:cstheme="minorBidi"/>
          <w:b w:val="0"/>
          <w:i w:val="0"/>
          <w:noProof/>
          <w:sz w:val="21"/>
          <w:szCs w:val="22"/>
        </w:rPr>
        <w:tab/>
      </w:r>
      <w:r w:rsidR="00E52A2E" w:rsidRPr="004724A6">
        <w:rPr>
          <w:rFonts w:eastAsia="宋体"/>
          <w:noProof/>
        </w:rPr>
        <w:t>Type 2A channel access procedure cannot be used for PSFCH without an SL CO.</w:t>
      </w:r>
    </w:p>
    <w:p w14:paraId="58D04A24"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2:</w:t>
      </w:r>
      <w:r>
        <w:rPr>
          <w:rFonts w:asciiTheme="minorHAnsi" w:eastAsiaTheme="minorEastAsia" w:hAnsiTheme="minorHAnsi" w:cstheme="minorBidi"/>
          <w:b w:val="0"/>
          <w:i w:val="0"/>
          <w:noProof/>
          <w:sz w:val="21"/>
          <w:szCs w:val="22"/>
        </w:rPr>
        <w:tab/>
      </w:r>
      <w:r w:rsidRPr="004724A6">
        <w:rPr>
          <w:rFonts w:eastAsia="宋体"/>
          <w:noProof/>
        </w:rPr>
        <w:t>Do not support initiating a shared CO from a channel access procedure for PSFCH transmission(s).</w:t>
      </w:r>
    </w:p>
    <w:p w14:paraId="49B92184"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3:</w:t>
      </w:r>
      <w:r>
        <w:rPr>
          <w:rFonts w:asciiTheme="minorHAnsi" w:eastAsiaTheme="minorEastAsia" w:hAnsiTheme="minorHAnsi" w:cstheme="minorBidi"/>
          <w:b w:val="0"/>
          <w:i w:val="0"/>
          <w:noProof/>
          <w:sz w:val="21"/>
          <w:szCs w:val="22"/>
        </w:rPr>
        <w:tab/>
      </w:r>
      <w:r w:rsidRPr="004724A6">
        <w:rPr>
          <w:rFonts w:eastAsia="宋体"/>
          <w:noProof/>
        </w:rPr>
        <w:t>It is up to UE implementation to perform either Type A or Type B multi-channel access procedure for multiple PSFCH transmissions on multiple channels.</w:t>
      </w:r>
    </w:p>
    <w:p w14:paraId="5E47A802"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4:</w:t>
      </w:r>
      <w:r>
        <w:rPr>
          <w:rFonts w:asciiTheme="minorHAnsi" w:eastAsiaTheme="minorEastAsia" w:hAnsiTheme="minorHAnsi" w:cstheme="minorBidi"/>
          <w:b w:val="0"/>
          <w:i w:val="0"/>
          <w:noProof/>
          <w:sz w:val="21"/>
          <w:szCs w:val="22"/>
        </w:rPr>
        <w:tab/>
      </w:r>
      <w:r w:rsidRPr="004724A6">
        <w:rPr>
          <w:rFonts w:eastAsia="宋体"/>
          <w:noProof/>
        </w:rPr>
        <w:t xml:space="preserve">The default </w:t>
      </w:r>
      <w:r w:rsidRPr="004724A6">
        <w:rPr>
          <w:noProof/>
          <w:kern w:val="0"/>
          <w:lang w:eastAsia="x-none"/>
        </w:rPr>
        <w:t>starting position of CPE should be the same in the sets for CPE within a COT and outside of a COT.</w:t>
      </w:r>
    </w:p>
    <w:p w14:paraId="7E053382"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5:</w:t>
      </w:r>
      <w:r>
        <w:rPr>
          <w:rFonts w:asciiTheme="minorHAnsi" w:eastAsiaTheme="minorEastAsia" w:hAnsiTheme="minorHAnsi" w:cstheme="minorBidi"/>
          <w:b w:val="0"/>
          <w:i w:val="0"/>
          <w:noProof/>
          <w:sz w:val="21"/>
          <w:szCs w:val="22"/>
        </w:rPr>
        <w:tab/>
      </w:r>
      <w:r w:rsidRPr="004724A6">
        <w:rPr>
          <w:rFonts w:eastAsia="宋体"/>
          <w:noProof/>
        </w:rPr>
        <w:t>To confirm the working assumption in RAN1 #114 meeting: w</w:t>
      </w:r>
      <w:r w:rsidRPr="004724A6">
        <w:rPr>
          <w:noProof/>
          <w:color w:val="000000"/>
        </w:rPr>
        <w:t>hen UE performs Type 2 channel access to transmit PSCCH/PSSCH within a COT:</w:t>
      </w:r>
    </w:p>
    <w:p w14:paraId="2895F9D0" w14:textId="77777777" w:rsidR="00E52A2E" w:rsidRDefault="00E52A2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724A6">
        <w:rPr>
          <w:rFonts w:ascii="Verdana" w:hAnsi="Verdana"/>
          <w:b w:val="0"/>
          <w:i w:val="0"/>
          <w:noProof/>
          <w:color w:val="000000"/>
        </w:rPr>
        <w:t>−</w:t>
      </w:r>
      <w:r>
        <w:rPr>
          <w:rFonts w:asciiTheme="minorHAnsi" w:eastAsiaTheme="minorEastAsia" w:hAnsiTheme="minorHAnsi" w:cstheme="minorBidi"/>
          <w:b w:val="0"/>
          <w:i w:val="0"/>
          <w:noProof/>
          <w:sz w:val="21"/>
          <w:szCs w:val="22"/>
        </w:rPr>
        <w:tab/>
      </w:r>
      <w:r w:rsidRPr="004724A6">
        <w:rPr>
          <w:noProof/>
          <w:color w:val="000000"/>
        </w:rPr>
        <w:t>By default, only one value is (pre-)configured for the set of CPE starting position for inside COT</w:t>
      </w:r>
    </w:p>
    <w:p w14:paraId="1C9D7682" w14:textId="77777777" w:rsidR="00E52A2E" w:rsidRDefault="00E52A2E">
      <w:pPr>
        <w:pStyle w:val="31"/>
        <w:ind w:left="1200" w:hanging="400"/>
        <w:rPr>
          <w:rFonts w:asciiTheme="minorHAnsi" w:eastAsiaTheme="minorEastAsia" w:hAnsiTheme="minorHAnsi" w:cstheme="minorBidi"/>
          <w:b w:val="0"/>
          <w:i w:val="0"/>
          <w:noProof/>
          <w:sz w:val="21"/>
          <w:szCs w:val="22"/>
        </w:rPr>
      </w:pPr>
      <w:r w:rsidRPr="004724A6">
        <w:rPr>
          <w:rFonts w:ascii="Wingdings" w:hAnsi="Wingdings"/>
          <w:b w:val="0"/>
          <w:i w:val="0"/>
          <w:noProof/>
          <w:color w:val="000000"/>
        </w:rPr>
        <w:t></w:t>
      </w:r>
      <w:r>
        <w:rPr>
          <w:rFonts w:asciiTheme="minorHAnsi" w:eastAsiaTheme="minorEastAsia" w:hAnsiTheme="minorHAnsi" w:cstheme="minorBidi"/>
          <w:b w:val="0"/>
          <w:i w:val="0"/>
          <w:noProof/>
          <w:sz w:val="21"/>
          <w:szCs w:val="22"/>
        </w:rPr>
        <w:tab/>
      </w:r>
      <w:r w:rsidRPr="004724A6">
        <w:rPr>
          <w:noProof/>
          <w:color w:val="000000"/>
        </w:rPr>
        <w:t>The value is the default CPE starting position</w:t>
      </w:r>
    </w:p>
    <w:p w14:paraId="5FD819D0" w14:textId="77777777" w:rsidR="00E52A2E" w:rsidRDefault="00E52A2E">
      <w:pPr>
        <w:pStyle w:val="31"/>
        <w:ind w:left="1200" w:hanging="400"/>
        <w:rPr>
          <w:rFonts w:asciiTheme="minorHAnsi" w:eastAsiaTheme="minorEastAsia" w:hAnsiTheme="minorHAnsi" w:cstheme="minorBidi"/>
          <w:b w:val="0"/>
          <w:i w:val="0"/>
          <w:noProof/>
          <w:sz w:val="21"/>
          <w:szCs w:val="22"/>
        </w:rPr>
      </w:pPr>
      <w:r w:rsidRPr="004724A6">
        <w:rPr>
          <w:rFonts w:ascii="Wingdings" w:hAnsi="Wingdings"/>
          <w:b w:val="0"/>
          <w:i w:val="0"/>
          <w:noProof/>
          <w:color w:val="000000"/>
        </w:rPr>
        <w:t></w:t>
      </w:r>
      <w:r>
        <w:rPr>
          <w:rFonts w:asciiTheme="minorHAnsi" w:eastAsiaTheme="minorEastAsia" w:hAnsiTheme="minorHAnsi" w:cstheme="minorBidi"/>
          <w:b w:val="0"/>
          <w:i w:val="0"/>
          <w:noProof/>
          <w:sz w:val="21"/>
          <w:szCs w:val="22"/>
        </w:rPr>
        <w:tab/>
      </w:r>
      <w:r w:rsidRPr="004724A6">
        <w:rPr>
          <w:noProof/>
          <w:color w:val="000000"/>
        </w:rPr>
        <w:t>UE only use the (pre-)configured default CPE starting position</w:t>
      </w:r>
    </w:p>
    <w:p w14:paraId="0063306F" w14:textId="77777777" w:rsidR="00E52A2E" w:rsidRDefault="00E52A2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724A6">
        <w:rPr>
          <w:rFonts w:ascii="Verdana" w:hAnsi="Verdana"/>
          <w:b w:val="0"/>
          <w:i w:val="0"/>
          <w:noProof/>
          <w:color w:val="000000"/>
        </w:rPr>
        <w:lastRenderedPageBreak/>
        <w:t>−</w:t>
      </w:r>
      <w:r>
        <w:rPr>
          <w:rFonts w:asciiTheme="minorHAnsi" w:eastAsiaTheme="minorEastAsia" w:hAnsiTheme="minorHAnsi" w:cstheme="minorBidi"/>
          <w:b w:val="0"/>
          <w:i w:val="0"/>
          <w:noProof/>
          <w:sz w:val="21"/>
          <w:szCs w:val="22"/>
        </w:rPr>
        <w:tab/>
      </w:r>
      <w:r w:rsidRPr="004724A6">
        <w:rPr>
          <w:noProof/>
          <w:color w:val="000000"/>
        </w:rPr>
        <w:t>When more than one values are (pre-)configured for the set of CPE starting position for inside COT</w:t>
      </w:r>
    </w:p>
    <w:p w14:paraId="7845CD11" w14:textId="77777777" w:rsidR="00E52A2E" w:rsidRDefault="00E52A2E">
      <w:pPr>
        <w:pStyle w:val="31"/>
        <w:ind w:left="1200" w:hanging="400"/>
        <w:rPr>
          <w:rFonts w:asciiTheme="minorHAnsi" w:eastAsiaTheme="minorEastAsia" w:hAnsiTheme="minorHAnsi" w:cstheme="minorBidi"/>
          <w:b w:val="0"/>
          <w:i w:val="0"/>
          <w:noProof/>
          <w:sz w:val="21"/>
          <w:szCs w:val="22"/>
        </w:rPr>
      </w:pPr>
      <w:r w:rsidRPr="004724A6">
        <w:rPr>
          <w:rFonts w:ascii="Wingdings" w:hAnsi="Wingdings"/>
          <w:b w:val="0"/>
          <w:i w:val="0"/>
          <w:noProof/>
          <w:color w:val="000000"/>
        </w:rPr>
        <w:t></w:t>
      </w:r>
      <w:r>
        <w:rPr>
          <w:rFonts w:asciiTheme="minorHAnsi" w:eastAsiaTheme="minorEastAsia" w:hAnsiTheme="minorHAnsi" w:cstheme="minorBidi"/>
          <w:b w:val="0"/>
          <w:i w:val="0"/>
          <w:noProof/>
          <w:sz w:val="21"/>
          <w:szCs w:val="22"/>
        </w:rPr>
        <w:tab/>
      </w:r>
      <w:r w:rsidRPr="004724A6">
        <w:rPr>
          <w:noProof/>
          <w:color w:val="000000"/>
        </w:rPr>
        <w:t>One of these values is the default CPE starting position</w:t>
      </w:r>
    </w:p>
    <w:p w14:paraId="28D8EE9A" w14:textId="77777777" w:rsidR="00E52A2E" w:rsidRDefault="00E52A2E">
      <w:pPr>
        <w:pStyle w:val="31"/>
        <w:ind w:left="1200" w:hanging="400"/>
        <w:rPr>
          <w:rFonts w:asciiTheme="minorHAnsi" w:eastAsiaTheme="minorEastAsia" w:hAnsiTheme="minorHAnsi" w:cstheme="minorBidi"/>
          <w:b w:val="0"/>
          <w:i w:val="0"/>
          <w:noProof/>
          <w:sz w:val="21"/>
          <w:szCs w:val="22"/>
        </w:rPr>
      </w:pPr>
      <w:r w:rsidRPr="004724A6">
        <w:rPr>
          <w:rFonts w:ascii="Wingdings" w:hAnsi="Wingdings"/>
          <w:b w:val="0"/>
          <w:i w:val="0"/>
          <w:noProof/>
        </w:rPr>
        <w:t></w:t>
      </w:r>
      <w:r>
        <w:rPr>
          <w:rFonts w:asciiTheme="minorHAnsi" w:eastAsiaTheme="minorEastAsia" w:hAnsiTheme="minorHAnsi" w:cstheme="minorBidi"/>
          <w:b w:val="0"/>
          <w:i w:val="0"/>
          <w:noProof/>
          <w:sz w:val="21"/>
          <w:szCs w:val="22"/>
        </w:rPr>
        <w:tab/>
      </w:r>
      <w:r w:rsidRPr="004724A6">
        <w:rPr>
          <w:noProof/>
          <w:color w:val="000000"/>
        </w:rPr>
        <w:t>UE use the same method for using CPE for the case when UE performs Type 1 channel access to initiate a COT for PSCCH/PSSCH transmission</w:t>
      </w:r>
    </w:p>
    <w:p w14:paraId="254661B0"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6:</w:t>
      </w:r>
      <w:r>
        <w:rPr>
          <w:rFonts w:asciiTheme="minorHAnsi" w:eastAsiaTheme="minorEastAsia" w:hAnsiTheme="minorHAnsi" w:cstheme="minorBidi"/>
          <w:b w:val="0"/>
          <w:i w:val="0"/>
          <w:noProof/>
          <w:sz w:val="21"/>
          <w:szCs w:val="22"/>
        </w:rPr>
        <w:tab/>
      </w:r>
      <w:r w:rsidRPr="004724A6">
        <w:rPr>
          <w:rFonts w:eastAsia="宋体"/>
          <w:noProof/>
        </w:rPr>
        <w:t>Support MCSt only in the case that the gap between two consecutive sidelink slots does not exceed 16µs by using an available CPE starting position.</w:t>
      </w:r>
    </w:p>
    <w:p w14:paraId="181E6B51"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7:</w:t>
      </w:r>
      <w:r>
        <w:rPr>
          <w:rFonts w:asciiTheme="minorHAnsi" w:eastAsiaTheme="minorEastAsia" w:hAnsiTheme="minorHAnsi" w:cstheme="minorBidi"/>
          <w:b w:val="0"/>
          <w:i w:val="0"/>
          <w:noProof/>
          <w:sz w:val="21"/>
          <w:szCs w:val="22"/>
        </w:rPr>
        <w:tab/>
      </w:r>
      <w:r w:rsidRPr="004724A6">
        <w:rPr>
          <w:rFonts w:eastAsia="宋体"/>
          <w:noProof/>
        </w:rPr>
        <w:t>To identify gNB scheduling indication for sidelink on licensed spectrum and unlicensed spectrum, a carrier index should be added in DCI format 3_0.</w:t>
      </w:r>
    </w:p>
    <w:p w14:paraId="6207B5C0"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8:</w:t>
      </w:r>
      <w:r>
        <w:rPr>
          <w:rFonts w:asciiTheme="minorHAnsi" w:eastAsiaTheme="minorEastAsia" w:hAnsiTheme="minorHAnsi" w:cstheme="minorBidi"/>
          <w:b w:val="0"/>
          <w:i w:val="0"/>
          <w:noProof/>
          <w:sz w:val="21"/>
          <w:szCs w:val="22"/>
        </w:rPr>
        <w:tab/>
      </w:r>
      <w:r w:rsidRPr="004724A6">
        <w:rPr>
          <w:rFonts w:eastAsia="宋体"/>
          <w:noProof/>
        </w:rPr>
        <w:t>The RB set(s) indicator should be added in DCI format 3_0.</w:t>
      </w:r>
    </w:p>
    <w:p w14:paraId="5CD470D9"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9:</w:t>
      </w:r>
      <w:r>
        <w:rPr>
          <w:rFonts w:asciiTheme="minorHAnsi" w:eastAsiaTheme="minorEastAsia" w:hAnsiTheme="minorHAnsi" w:cstheme="minorBidi"/>
          <w:b w:val="0"/>
          <w:i w:val="0"/>
          <w:noProof/>
          <w:sz w:val="21"/>
          <w:szCs w:val="22"/>
        </w:rPr>
        <w:tab/>
      </w:r>
      <w:r w:rsidRPr="004724A6">
        <w:rPr>
          <w:rFonts w:eastAsia="宋体"/>
          <w:noProof/>
        </w:rPr>
        <w:t>The information about sharing an SL CO should be indicated through a dedicated 2</w:t>
      </w:r>
      <w:r w:rsidRPr="004724A6">
        <w:rPr>
          <w:rFonts w:eastAsia="宋体"/>
          <w:noProof/>
          <w:vertAlign w:val="superscript"/>
        </w:rPr>
        <w:t>nd</w:t>
      </w:r>
      <w:r w:rsidRPr="004724A6">
        <w:rPr>
          <w:rFonts w:eastAsia="宋体"/>
          <w:noProof/>
        </w:rPr>
        <w:t>-stage SCI, e.g., format 2E.</w:t>
      </w:r>
    </w:p>
    <w:p w14:paraId="5CFA1676"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10:</w:t>
      </w:r>
      <w:r>
        <w:rPr>
          <w:rFonts w:asciiTheme="minorHAnsi" w:eastAsiaTheme="minorEastAsia" w:hAnsiTheme="minorHAnsi" w:cstheme="minorBidi"/>
          <w:b w:val="0"/>
          <w:i w:val="0"/>
          <w:noProof/>
          <w:sz w:val="21"/>
          <w:szCs w:val="22"/>
        </w:rPr>
        <w:tab/>
      </w:r>
      <w:r w:rsidRPr="004724A6">
        <w:rPr>
          <w:rFonts w:eastAsia="宋体"/>
          <w:noProof/>
        </w:rPr>
        <w:t>To introduce an indicator in the 1</w:t>
      </w:r>
      <w:r w:rsidRPr="004724A6">
        <w:rPr>
          <w:rFonts w:eastAsia="宋体"/>
          <w:noProof/>
          <w:vertAlign w:val="superscript"/>
        </w:rPr>
        <w:t>st</w:t>
      </w:r>
      <w:r w:rsidRPr="004724A6">
        <w:rPr>
          <w:rFonts w:eastAsia="宋体"/>
          <w:noProof/>
        </w:rPr>
        <w:t xml:space="preserve"> stage SCI to indicate whether the COT-SI is presented in the current slot to avoid unnecessary overhead for COT-SI in non-shared COT.</w:t>
      </w:r>
    </w:p>
    <w:p w14:paraId="013CA0B6"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11:</w:t>
      </w:r>
      <w:r>
        <w:rPr>
          <w:rFonts w:asciiTheme="minorHAnsi" w:eastAsiaTheme="minorEastAsia" w:hAnsiTheme="minorHAnsi" w:cstheme="minorBidi"/>
          <w:b w:val="0"/>
          <w:i w:val="0"/>
          <w:noProof/>
          <w:sz w:val="21"/>
          <w:szCs w:val="22"/>
        </w:rPr>
        <w:tab/>
      </w:r>
      <w:r w:rsidRPr="004724A6">
        <w:rPr>
          <w:rFonts w:eastAsia="宋体"/>
          <w:noProof/>
        </w:rPr>
        <w:t>As the IUC function is not discussed for SL-U, SCI format 2C is not supported in SL-U.</w:t>
      </w:r>
    </w:p>
    <w:p w14:paraId="0DEE128E"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12:</w:t>
      </w:r>
      <w:r>
        <w:rPr>
          <w:rFonts w:asciiTheme="minorHAnsi" w:eastAsiaTheme="minorEastAsia" w:hAnsiTheme="minorHAnsi" w:cstheme="minorBidi"/>
          <w:b w:val="0"/>
          <w:i w:val="0"/>
          <w:noProof/>
          <w:sz w:val="21"/>
          <w:szCs w:val="22"/>
        </w:rPr>
        <w:tab/>
      </w:r>
      <w:r w:rsidRPr="004724A6">
        <w:rPr>
          <w:rFonts w:eastAsia="宋体"/>
          <w:noProof/>
        </w:rPr>
        <w:t>For sidelink UE-to-UE COT sharing, a responding UE can share the CO for PSFCH transmission(s) to a destination UE other than the initiating UE of the SL CO.</w:t>
      </w:r>
    </w:p>
    <w:p w14:paraId="014A7A0D"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13:</w:t>
      </w:r>
      <w:r>
        <w:rPr>
          <w:rFonts w:asciiTheme="minorHAnsi" w:eastAsiaTheme="minorEastAsia" w:hAnsiTheme="minorHAnsi" w:cstheme="minorBidi"/>
          <w:b w:val="0"/>
          <w:i w:val="0"/>
          <w:noProof/>
          <w:sz w:val="21"/>
          <w:szCs w:val="22"/>
        </w:rPr>
        <w:tab/>
      </w:r>
      <w:r w:rsidRPr="004724A6">
        <w:rPr>
          <w:rFonts w:eastAsia="宋体"/>
          <w:noProof/>
        </w:rPr>
        <w:t>The applicable RB set(s) for COT sharing is derived based on the first resource of the N resources as indicated in the “Frequency resource assignment” field in the 1</w:t>
      </w:r>
      <w:r w:rsidRPr="004724A6">
        <w:rPr>
          <w:rFonts w:eastAsia="宋体"/>
          <w:noProof/>
          <w:vertAlign w:val="superscript"/>
        </w:rPr>
        <w:t>st</w:t>
      </w:r>
      <w:r w:rsidRPr="004724A6">
        <w:rPr>
          <w:rFonts w:eastAsia="宋体"/>
          <w:noProof/>
        </w:rPr>
        <w:t xml:space="preserve"> stage SCI corresponding to PSSCH with COT sharing information.</w:t>
      </w:r>
    </w:p>
    <w:p w14:paraId="21390700" w14:textId="77777777" w:rsidR="00E52A2E" w:rsidRDefault="00E52A2E">
      <w:pPr>
        <w:pStyle w:val="11"/>
        <w:rPr>
          <w:rFonts w:asciiTheme="minorHAnsi" w:eastAsiaTheme="minorEastAsia" w:hAnsiTheme="minorHAnsi" w:cstheme="minorBidi"/>
          <w:b w:val="0"/>
          <w:i w:val="0"/>
          <w:noProof/>
          <w:sz w:val="21"/>
          <w:szCs w:val="22"/>
        </w:rPr>
      </w:pPr>
      <w:r w:rsidRPr="004724A6">
        <w:rPr>
          <w:rFonts w:eastAsia="宋体"/>
          <w:noProof/>
        </w:rPr>
        <w:t>Proposal 14:</w:t>
      </w:r>
      <w:r>
        <w:rPr>
          <w:rFonts w:asciiTheme="minorHAnsi" w:eastAsiaTheme="minorEastAsia" w:hAnsiTheme="minorHAnsi" w:cstheme="minorBidi"/>
          <w:b w:val="0"/>
          <w:i w:val="0"/>
          <w:noProof/>
          <w:sz w:val="21"/>
          <w:szCs w:val="22"/>
        </w:rPr>
        <w:tab/>
      </w:r>
      <w:r w:rsidRPr="004724A6">
        <w:rPr>
          <w:rFonts w:eastAsia="宋体"/>
          <w:noProof/>
        </w:rPr>
        <w:t>Regarding a responding UE shares an SL CO initiated by a COT initiating UE, in the case that a gap between the transmission of the COT initiating UE and the transmission of the responding UE is greater than 25us:</w:t>
      </w:r>
    </w:p>
    <w:p w14:paraId="23CE44A9" w14:textId="77777777" w:rsidR="00E52A2E" w:rsidRDefault="00E52A2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724A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4724A6">
        <w:rPr>
          <w:rFonts w:eastAsia="宋体"/>
          <w:noProof/>
        </w:rPr>
        <w:t>if the channel is sensed by the responding UE to be continuously idle after the initiating UE has stopped its transmission, the responding UE may transmit within the SL CO by using Type 2 channel access procedures.</w:t>
      </w:r>
    </w:p>
    <w:p w14:paraId="3A283E28" w14:textId="7F5EA9F5" w:rsidR="005C3A15" w:rsidRPr="00486CD4" w:rsidRDefault="00AB7819" w:rsidP="00270A85">
      <w:pPr>
        <w:spacing w:before="156" w:after="156"/>
        <w:rPr>
          <w:rFonts w:eastAsia="宋体" w:cs="Times New Roman"/>
        </w:rPr>
      </w:pPr>
      <w:r w:rsidRPr="00B55118">
        <w:rPr>
          <w:rFonts w:eastAsia="宋体" w:cs="Times New Roman"/>
        </w:rPr>
        <w:fldChar w:fldCharType="end"/>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t xml:space="preserve">Reference </w:t>
      </w:r>
      <w:bookmarkStart w:id="1978" w:name="_GoBack"/>
      <w:bookmarkEnd w:id="1978"/>
    </w:p>
    <w:p w14:paraId="6C1D6BFD" w14:textId="0C5B21C9" w:rsidR="00133AB7" w:rsidRDefault="00173B8F" w:rsidP="00CA1B43">
      <w:pPr>
        <w:pStyle w:val="a3"/>
        <w:numPr>
          <w:ilvl w:val="0"/>
          <w:numId w:val="2"/>
        </w:numPr>
        <w:spacing w:before="156" w:after="156"/>
        <w:ind w:firstLineChars="0"/>
        <w:rPr>
          <w:rFonts w:eastAsia="宋体" w:cs="Times New Roman"/>
        </w:rPr>
      </w:pPr>
      <w:bookmarkStart w:id="1979" w:name="_Ref145938644"/>
      <w:r>
        <w:rPr>
          <w:rFonts w:eastAsia="宋体" w:cs="Times New Roman"/>
        </w:rPr>
        <w:t>RP-231583</w:t>
      </w:r>
      <w:r w:rsidR="00F16ECE">
        <w:rPr>
          <w:rFonts w:eastAsia="宋体" w:cs="Times New Roman"/>
        </w:rPr>
        <w:t>,</w:t>
      </w:r>
      <w:r>
        <w:rPr>
          <w:rFonts w:eastAsia="宋体" w:cs="Times New Roman"/>
        </w:rPr>
        <w:t xml:space="preserve"> </w:t>
      </w:r>
      <w:r w:rsidR="00FB1E35">
        <w:rPr>
          <w:rFonts w:eastAsia="宋体" w:cs="Times New Roman"/>
        </w:rPr>
        <w:t>S</w:t>
      </w:r>
      <w:r w:rsidR="00FB1E35">
        <w:rPr>
          <w:rFonts w:eastAsia="宋体" w:cs="Times New Roman" w:hint="eastAsia"/>
        </w:rPr>
        <w:t>tatus</w:t>
      </w:r>
      <w:r w:rsidR="00FB1E35">
        <w:rPr>
          <w:rFonts w:eastAsia="宋体" w:cs="Times New Roman"/>
        </w:rPr>
        <w:t xml:space="preserve"> report for </w:t>
      </w:r>
      <w:r>
        <w:rPr>
          <w:rFonts w:eastAsia="宋体" w:cs="Times New Roman"/>
        </w:rPr>
        <w:t>NR sidelink evolution</w:t>
      </w:r>
      <w:bookmarkEnd w:id="1979"/>
    </w:p>
    <w:p w14:paraId="63CF128C" w14:textId="5ABC9000" w:rsidR="00EE2A27" w:rsidRDefault="009C2E16" w:rsidP="009C2E16">
      <w:pPr>
        <w:pStyle w:val="a3"/>
        <w:numPr>
          <w:ilvl w:val="0"/>
          <w:numId w:val="2"/>
        </w:numPr>
        <w:spacing w:before="156" w:after="156"/>
        <w:ind w:firstLineChars="0"/>
        <w:rPr>
          <w:rFonts w:eastAsia="宋体" w:cs="Times New Roman"/>
        </w:rPr>
      </w:pPr>
      <w:bookmarkStart w:id="1980" w:name="_Ref146111303"/>
      <w:r w:rsidRPr="009C2E16">
        <w:rPr>
          <w:rFonts w:eastAsia="宋体" w:cs="Times New Roman"/>
        </w:rPr>
        <w:t>R1-2308704</w:t>
      </w:r>
      <w:r w:rsidR="00F16ECE">
        <w:rPr>
          <w:rFonts w:eastAsia="宋体" w:cs="Times New Roman"/>
        </w:rPr>
        <w:t>,</w:t>
      </w:r>
      <w:r>
        <w:rPr>
          <w:rFonts w:eastAsia="宋体" w:cs="Times New Roman"/>
        </w:rPr>
        <w:t xml:space="preserve"> </w:t>
      </w:r>
      <w:r w:rsidR="00F16ECE">
        <w:rPr>
          <w:rFonts w:eastAsia="宋体" w:cs="Times New Roman"/>
        </w:rPr>
        <w:t>CR for 37.213</w:t>
      </w:r>
      <w:r w:rsidR="00105573">
        <w:rPr>
          <w:rFonts w:eastAsia="宋体" w:cs="Times New Roman"/>
        </w:rPr>
        <w:t>:</w:t>
      </w:r>
      <w:r w:rsidR="00F16ECE">
        <w:rPr>
          <w:rFonts w:eastAsia="宋体" w:cs="Times New Roman"/>
        </w:rPr>
        <w:t xml:space="preserve"> </w:t>
      </w:r>
      <w:r w:rsidR="00F16ECE" w:rsidRPr="00F16ECE">
        <w:rPr>
          <w:rFonts w:eastAsia="宋体" w:cs="Times New Roman"/>
        </w:rPr>
        <w:t>Introduction of NR Sidelink operation on shared spectrum</w:t>
      </w:r>
      <w:bookmarkEnd w:id="1980"/>
      <w:r w:rsidR="00F16ECE">
        <w:rPr>
          <w:rFonts w:eastAsia="宋体" w:cs="Times New Roman"/>
        </w:rPr>
        <w:t xml:space="preserve"> </w:t>
      </w:r>
    </w:p>
    <w:p w14:paraId="0EED3994" w14:textId="046479FE" w:rsidR="00D37426" w:rsidRPr="00D37426" w:rsidRDefault="00D37426" w:rsidP="00D37426">
      <w:pPr>
        <w:pStyle w:val="a3"/>
        <w:numPr>
          <w:ilvl w:val="0"/>
          <w:numId w:val="2"/>
        </w:numPr>
        <w:spacing w:before="156" w:after="156"/>
        <w:ind w:firstLineChars="0"/>
        <w:rPr>
          <w:rFonts w:eastAsia="宋体" w:cs="Times New Roman"/>
        </w:rPr>
      </w:pPr>
      <w:r w:rsidRPr="00D37426">
        <w:rPr>
          <w:rFonts w:eastAsia="宋体" w:cs="Times New Roman"/>
        </w:rPr>
        <w:t>R1-2308705</w:t>
      </w:r>
      <w:r>
        <w:rPr>
          <w:rFonts w:eastAsia="宋体" w:cs="Times New Roman"/>
        </w:rPr>
        <w:t xml:space="preserve">, CR for 38.211: </w:t>
      </w:r>
      <w:r>
        <w:t>Introduction of NR sidelink evolution</w:t>
      </w:r>
    </w:p>
    <w:p w14:paraId="1DA8B0EC" w14:textId="0022B91E" w:rsidR="00D37426" w:rsidRPr="00D37426" w:rsidRDefault="00D37426" w:rsidP="00D37426">
      <w:pPr>
        <w:pStyle w:val="a3"/>
        <w:numPr>
          <w:ilvl w:val="0"/>
          <w:numId w:val="2"/>
        </w:numPr>
        <w:spacing w:before="156" w:after="156"/>
        <w:ind w:firstLineChars="0"/>
        <w:rPr>
          <w:rFonts w:eastAsia="宋体" w:cs="Times New Roman"/>
        </w:rPr>
      </w:pPr>
      <w:r w:rsidRPr="00D37426">
        <w:rPr>
          <w:rFonts w:eastAsia="宋体" w:cs="Times New Roman"/>
        </w:rPr>
        <w:t>R1-2306323</w:t>
      </w:r>
      <w:r>
        <w:rPr>
          <w:rFonts w:eastAsia="宋体" w:cs="Times New Roman"/>
        </w:rPr>
        <w:t xml:space="preserve">, CR for 38.212: </w:t>
      </w:r>
      <w:r>
        <w:rPr>
          <w:noProof/>
        </w:rPr>
        <w:t>Introduction of Rel-18 NR sidelink evolution</w:t>
      </w:r>
    </w:p>
    <w:p w14:paraId="02319D8C" w14:textId="4B912C85" w:rsidR="00D37426" w:rsidRPr="00D37426" w:rsidRDefault="00D37426" w:rsidP="00D37426">
      <w:pPr>
        <w:pStyle w:val="a3"/>
        <w:numPr>
          <w:ilvl w:val="0"/>
          <w:numId w:val="2"/>
        </w:numPr>
        <w:spacing w:before="156" w:after="156"/>
        <w:ind w:firstLineChars="0"/>
        <w:rPr>
          <w:rFonts w:eastAsia="宋体" w:cs="Times New Roman"/>
        </w:rPr>
      </w:pPr>
      <w:r w:rsidRPr="00D37426">
        <w:rPr>
          <w:rFonts w:eastAsia="宋体" w:cs="Times New Roman"/>
        </w:rPr>
        <w:t>R1-2308703</w:t>
      </w:r>
      <w:r>
        <w:rPr>
          <w:rFonts w:eastAsia="宋体" w:cs="Times New Roman"/>
        </w:rPr>
        <w:t xml:space="preserve">, CR for 38.213: </w:t>
      </w:r>
      <w:r w:rsidRPr="00050604">
        <w:rPr>
          <w:rFonts w:eastAsia="宋体" w:cs="Times New Roman"/>
        </w:rPr>
        <w:t>Introduction of NR sidelink evolution</w:t>
      </w:r>
    </w:p>
    <w:p w14:paraId="1B65CCC6" w14:textId="2A17BF83" w:rsidR="00D37426" w:rsidRPr="00050604" w:rsidRDefault="00D37426" w:rsidP="006C0FCE">
      <w:pPr>
        <w:pStyle w:val="a3"/>
        <w:numPr>
          <w:ilvl w:val="0"/>
          <w:numId w:val="2"/>
        </w:numPr>
        <w:spacing w:before="156" w:after="156"/>
        <w:ind w:firstLineChars="0"/>
        <w:rPr>
          <w:rFonts w:eastAsia="宋体" w:cs="Times New Roman"/>
        </w:rPr>
      </w:pPr>
      <w:bookmarkStart w:id="1981" w:name="_Ref146111305"/>
      <w:r w:rsidRPr="00050604">
        <w:rPr>
          <w:rFonts w:eastAsia="宋体" w:cs="Times New Roman"/>
        </w:rPr>
        <w:t>R1-2308720, CR for 38.214: Introduction of specification enhancements for NR sidelink evolution</w:t>
      </w:r>
      <w:bookmarkEnd w:id="1981"/>
    </w:p>
    <w:sectPr w:rsidR="00D37426" w:rsidRPr="00050604" w:rsidSect="00E7665A">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ADFDA" w14:textId="77777777" w:rsidR="00C77FF9" w:rsidRDefault="00C77FF9" w:rsidP="008242C1">
      <w:pPr>
        <w:spacing w:before="120" w:after="120"/>
      </w:pPr>
      <w:r>
        <w:separator/>
      </w:r>
    </w:p>
    <w:p w14:paraId="330A9752" w14:textId="77777777" w:rsidR="00C77FF9" w:rsidRDefault="00C77FF9">
      <w:pPr>
        <w:spacing w:before="120" w:after="120"/>
      </w:pPr>
    </w:p>
  </w:endnote>
  <w:endnote w:type="continuationSeparator" w:id="0">
    <w:p w14:paraId="3B5B62A3" w14:textId="77777777" w:rsidR="00C77FF9" w:rsidRDefault="00C77FF9" w:rsidP="008242C1">
      <w:pPr>
        <w:spacing w:before="120" w:after="120"/>
      </w:pPr>
      <w:r>
        <w:continuationSeparator/>
      </w:r>
    </w:p>
    <w:p w14:paraId="3BE3D524" w14:textId="77777777" w:rsidR="00C77FF9" w:rsidRDefault="00C77FF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6C0FCE" w:rsidRDefault="006C0FCE">
    <w:pPr>
      <w:pStyle w:val="a7"/>
      <w:spacing w:before="120" w:after="120"/>
    </w:pPr>
  </w:p>
  <w:p w14:paraId="4BAE5318" w14:textId="77777777" w:rsidR="006C0FCE" w:rsidRDefault="006C0FC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75708D7F" w:rsidR="006C0FCE" w:rsidRPr="007B2F6F" w:rsidRDefault="006C0FC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52A2E" w:rsidRPr="00E52A2E">
          <w:rPr>
            <w:noProof/>
            <w:sz w:val="20"/>
            <w:szCs w:val="20"/>
            <w:lang w:val="zh-CN"/>
          </w:rPr>
          <w:t>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6C0FCE" w:rsidRDefault="006C0FC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2CD1B" w14:textId="77777777" w:rsidR="00C77FF9" w:rsidRDefault="00C77FF9" w:rsidP="008242C1">
      <w:pPr>
        <w:spacing w:before="120" w:after="120"/>
      </w:pPr>
      <w:r>
        <w:separator/>
      </w:r>
    </w:p>
    <w:p w14:paraId="4733574E" w14:textId="77777777" w:rsidR="00C77FF9" w:rsidRDefault="00C77FF9">
      <w:pPr>
        <w:spacing w:before="120" w:after="120"/>
      </w:pPr>
    </w:p>
  </w:footnote>
  <w:footnote w:type="continuationSeparator" w:id="0">
    <w:p w14:paraId="4EEFE1ED" w14:textId="77777777" w:rsidR="00C77FF9" w:rsidRDefault="00C77FF9" w:rsidP="008242C1">
      <w:pPr>
        <w:spacing w:before="120" w:after="120"/>
      </w:pPr>
      <w:r>
        <w:continuationSeparator/>
      </w:r>
    </w:p>
    <w:p w14:paraId="63BB10F8" w14:textId="77777777" w:rsidR="00C77FF9" w:rsidRDefault="00C77FF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6C0FCE" w:rsidRDefault="006C0FCE">
    <w:pPr>
      <w:pStyle w:val="a5"/>
      <w:spacing w:before="120" w:after="120"/>
    </w:pPr>
  </w:p>
  <w:p w14:paraId="5990060E" w14:textId="77777777" w:rsidR="006C0FCE" w:rsidRDefault="006C0FC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6C0FCE" w:rsidRPr="007B2F6F" w:rsidRDefault="006C0FC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6C0FCE" w:rsidRDefault="006C0FC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8"/>
  </w:num>
  <w:num w:numId="2">
    <w:abstractNumId w:val="1"/>
  </w:num>
  <w:num w:numId="3">
    <w:abstractNumId w:val="4"/>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
  </w:num>
  <w:num w:numId="8">
    <w:abstractNumId w:val="2"/>
  </w:num>
  <w:num w:numId="9">
    <w:abstractNumId w:val="2"/>
  </w:num>
  <w:num w:numId="10">
    <w:abstractNumId w:val="6"/>
  </w:num>
  <w:num w:numId="11">
    <w:abstractNumId w:val="9"/>
  </w:num>
  <w:num w:numId="12">
    <w:abstractNumId w:val="7"/>
  </w:num>
  <w:num w:numId="13">
    <w:abstractNumId w:val="4"/>
  </w:num>
  <w:num w:numId="14">
    <w:abstractNumId w:val="9"/>
  </w:num>
  <w:num w:numId="15">
    <w:abstractNumId w:val="0"/>
  </w:num>
  <w:num w:numId="16">
    <w:abstractNumId w:val="4"/>
  </w:num>
  <w:num w:numId="17">
    <w:abstractNumId w:val="9"/>
  </w:num>
  <w:num w:numId="18">
    <w:abstractNumId w:val="2"/>
  </w:num>
  <w:num w:numId="19">
    <w:abstractNumId w:val="4"/>
  </w:num>
  <w:num w:numId="20">
    <w:abstractNumId w:val="9"/>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0"/>
  </w:num>
  <w:num w:numId="32">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9"/>
  </w:num>
  <w:num w:numId="36">
    <w:abstractNumId w:val="4"/>
  </w:num>
  <w:num w:numId="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mwNK4FAEoeQw8tAAAA"/>
  </w:docVars>
  <w:rsids>
    <w:rsidRoot w:val="00B66B81"/>
    <w:rsid w:val="000006DA"/>
    <w:rsid w:val="000009A6"/>
    <w:rsid w:val="00000B77"/>
    <w:rsid w:val="00000D41"/>
    <w:rsid w:val="00000F82"/>
    <w:rsid w:val="0000161F"/>
    <w:rsid w:val="000017A0"/>
    <w:rsid w:val="000017BF"/>
    <w:rsid w:val="00002255"/>
    <w:rsid w:val="00002981"/>
    <w:rsid w:val="00002F1D"/>
    <w:rsid w:val="00003E7A"/>
    <w:rsid w:val="00004A51"/>
    <w:rsid w:val="00004F7D"/>
    <w:rsid w:val="00005852"/>
    <w:rsid w:val="00005C9A"/>
    <w:rsid w:val="00006920"/>
    <w:rsid w:val="00006B87"/>
    <w:rsid w:val="00006C06"/>
    <w:rsid w:val="00006E01"/>
    <w:rsid w:val="00007270"/>
    <w:rsid w:val="000074A9"/>
    <w:rsid w:val="00007B93"/>
    <w:rsid w:val="00007D16"/>
    <w:rsid w:val="0001010F"/>
    <w:rsid w:val="00010E9B"/>
    <w:rsid w:val="00010EE6"/>
    <w:rsid w:val="000122BC"/>
    <w:rsid w:val="000123ED"/>
    <w:rsid w:val="000129BF"/>
    <w:rsid w:val="00012B5E"/>
    <w:rsid w:val="00013C51"/>
    <w:rsid w:val="000143D0"/>
    <w:rsid w:val="000145F5"/>
    <w:rsid w:val="00014761"/>
    <w:rsid w:val="000159EA"/>
    <w:rsid w:val="00016D8C"/>
    <w:rsid w:val="000215C4"/>
    <w:rsid w:val="00021784"/>
    <w:rsid w:val="00021E95"/>
    <w:rsid w:val="0002304C"/>
    <w:rsid w:val="0002307D"/>
    <w:rsid w:val="00023F98"/>
    <w:rsid w:val="0002489B"/>
    <w:rsid w:val="00024A41"/>
    <w:rsid w:val="0002537D"/>
    <w:rsid w:val="00025580"/>
    <w:rsid w:val="0002612C"/>
    <w:rsid w:val="0002633A"/>
    <w:rsid w:val="0002742A"/>
    <w:rsid w:val="0003082F"/>
    <w:rsid w:val="00030DCF"/>
    <w:rsid w:val="00031161"/>
    <w:rsid w:val="00032251"/>
    <w:rsid w:val="0003252A"/>
    <w:rsid w:val="0003286B"/>
    <w:rsid w:val="00033474"/>
    <w:rsid w:val="00033A0B"/>
    <w:rsid w:val="00033C9E"/>
    <w:rsid w:val="000364F4"/>
    <w:rsid w:val="00036647"/>
    <w:rsid w:val="00036679"/>
    <w:rsid w:val="00037631"/>
    <w:rsid w:val="00040540"/>
    <w:rsid w:val="00040AA7"/>
    <w:rsid w:val="00040B64"/>
    <w:rsid w:val="000413E9"/>
    <w:rsid w:val="00041A7E"/>
    <w:rsid w:val="00041B8A"/>
    <w:rsid w:val="00041DC1"/>
    <w:rsid w:val="00042FA7"/>
    <w:rsid w:val="0004475E"/>
    <w:rsid w:val="000449CB"/>
    <w:rsid w:val="000458E9"/>
    <w:rsid w:val="00045D68"/>
    <w:rsid w:val="000461CD"/>
    <w:rsid w:val="00046C8B"/>
    <w:rsid w:val="000471B0"/>
    <w:rsid w:val="000475AB"/>
    <w:rsid w:val="0004781D"/>
    <w:rsid w:val="00047B80"/>
    <w:rsid w:val="00047F1B"/>
    <w:rsid w:val="00050604"/>
    <w:rsid w:val="000509D3"/>
    <w:rsid w:val="00050C25"/>
    <w:rsid w:val="000512E4"/>
    <w:rsid w:val="00051448"/>
    <w:rsid w:val="00051F77"/>
    <w:rsid w:val="00051F7F"/>
    <w:rsid w:val="000521FF"/>
    <w:rsid w:val="00052284"/>
    <w:rsid w:val="000523FC"/>
    <w:rsid w:val="00052AB4"/>
    <w:rsid w:val="00052C09"/>
    <w:rsid w:val="00053234"/>
    <w:rsid w:val="00053975"/>
    <w:rsid w:val="000540D9"/>
    <w:rsid w:val="0005493A"/>
    <w:rsid w:val="00054B74"/>
    <w:rsid w:val="00054E01"/>
    <w:rsid w:val="00054EA2"/>
    <w:rsid w:val="000553B9"/>
    <w:rsid w:val="0005543A"/>
    <w:rsid w:val="00055B03"/>
    <w:rsid w:val="00055E10"/>
    <w:rsid w:val="00056230"/>
    <w:rsid w:val="00057050"/>
    <w:rsid w:val="0005709A"/>
    <w:rsid w:val="00057337"/>
    <w:rsid w:val="00057CED"/>
    <w:rsid w:val="00057E9D"/>
    <w:rsid w:val="000608D9"/>
    <w:rsid w:val="000608EB"/>
    <w:rsid w:val="0006092E"/>
    <w:rsid w:val="00061467"/>
    <w:rsid w:val="00062568"/>
    <w:rsid w:val="00062D35"/>
    <w:rsid w:val="0006309D"/>
    <w:rsid w:val="000636F2"/>
    <w:rsid w:val="00063D1F"/>
    <w:rsid w:val="00066159"/>
    <w:rsid w:val="00066AFD"/>
    <w:rsid w:val="00066E79"/>
    <w:rsid w:val="00070290"/>
    <w:rsid w:val="0007029D"/>
    <w:rsid w:val="000702EF"/>
    <w:rsid w:val="00070978"/>
    <w:rsid w:val="00070B34"/>
    <w:rsid w:val="000716AE"/>
    <w:rsid w:val="00072889"/>
    <w:rsid w:val="000732C2"/>
    <w:rsid w:val="00073784"/>
    <w:rsid w:val="00073BC2"/>
    <w:rsid w:val="00074534"/>
    <w:rsid w:val="000756C5"/>
    <w:rsid w:val="00075AAF"/>
    <w:rsid w:val="000769F4"/>
    <w:rsid w:val="000775EA"/>
    <w:rsid w:val="00077D30"/>
    <w:rsid w:val="000806C1"/>
    <w:rsid w:val="00080B49"/>
    <w:rsid w:val="00080D57"/>
    <w:rsid w:val="000811EC"/>
    <w:rsid w:val="0008293A"/>
    <w:rsid w:val="00083800"/>
    <w:rsid w:val="00083A1A"/>
    <w:rsid w:val="000840FD"/>
    <w:rsid w:val="000842EC"/>
    <w:rsid w:val="00084F79"/>
    <w:rsid w:val="0008511F"/>
    <w:rsid w:val="00085669"/>
    <w:rsid w:val="00086100"/>
    <w:rsid w:val="00086C9C"/>
    <w:rsid w:val="00087135"/>
    <w:rsid w:val="00090636"/>
    <w:rsid w:val="000916A4"/>
    <w:rsid w:val="00091B89"/>
    <w:rsid w:val="00091CBA"/>
    <w:rsid w:val="00091E71"/>
    <w:rsid w:val="00091F43"/>
    <w:rsid w:val="00092077"/>
    <w:rsid w:val="00092238"/>
    <w:rsid w:val="00092594"/>
    <w:rsid w:val="000927EE"/>
    <w:rsid w:val="00093510"/>
    <w:rsid w:val="00093A7D"/>
    <w:rsid w:val="00094135"/>
    <w:rsid w:val="00094BCA"/>
    <w:rsid w:val="00095D8C"/>
    <w:rsid w:val="00095DDF"/>
    <w:rsid w:val="00095F4C"/>
    <w:rsid w:val="00096276"/>
    <w:rsid w:val="00096527"/>
    <w:rsid w:val="0009667E"/>
    <w:rsid w:val="000966E3"/>
    <w:rsid w:val="00096774"/>
    <w:rsid w:val="00097B73"/>
    <w:rsid w:val="000A0BCC"/>
    <w:rsid w:val="000A0C28"/>
    <w:rsid w:val="000A121B"/>
    <w:rsid w:val="000A1F83"/>
    <w:rsid w:val="000A1FCC"/>
    <w:rsid w:val="000A2935"/>
    <w:rsid w:val="000A4354"/>
    <w:rsid w:val="000A4377"/>
    <w:rsid w:val="000A4C11"/>
    <w:rsid w:val="000A5DE5"/>
    <w:rsid w:val="000A6326"/>
    <w:rsid w:val="000A6530"/>
    <w:rsid w:val="000A6988"/>
    <w:rsid w:val="000A7860"/>
    <w:rsid w:val="000B0583"/>
    <w:rsid w:val="000B1C70"/>
    <w:rsid w:val="000B20CC"/>
    <w:rsid w:val="000B2771"/>
    <w:rsid w:val="000B396E"/>
    <w:rsid w:val="000B3BBB"/>
    <w:rsid w:val="000B5344"/>
    <w:rsid w:val="000B549C"/>
    <w:rsid w:val="000B5C97"/>
    <w:rsid w:val="000B6163"/>
    <w:rsid w:val="000B67AE"/>
    <w:rsid w:val="000B6971"/>
    <w:rsid w:val="000B6EE6"/>
    <w:rsid w:val="000B7D16"/>
    <w:rsid w:val="000B7E57"/>
    <w:rsid w:val="000B7F9C"/>
    <w:rsid w:val="000C037F"/>
    <w:rsid w:val="000C1289"/>
    <w:rsid w:val="000C205C"/>
    <w:rsid w:val="000C25D4"/>
    <w:rsid w:val="000C30A7"/>
    <w:rsid w:val="000C3690"/>
    <w:rsid w:val="000C4BF3"/>
    <w:rsid w:val="000C53F3"/>
    <w:rsid w:val="000C6D79"/>
    <w:rsid w:val="000C6F4F"/>
    <w:rsid w:val="000C7864"/>
    <w:rsid w:val="000C7B31"/>
    <w:rsid w:val="000C7E4A"/>
    <w:rsid w:val="000D0372"/>
    <w:rsid w:val="000D0502"/>
    <w:rsid w:val="000D056F"/>
    <w:rsid w:val="000D0749"/>
    <w:rsid w:val="000D12B8"/>
    <w:rsid w:val="000D1483"/>
    <w:rsid w:val="000D15F1"/>
    <w:rsid w:val="000D194A"/>
    <w:rsid w:val="000D1C8D"/>
    <w:rsid w:val="000D2182"/>
    <w:rsid w:val="000D22FF"/>
    <w:rsid w:val="000D236D"/>
    <w:rsid w:val="000D297A"/>
    <w:rsid w:val="000D2C8B"/>
    <w:rsid w:val="000D3342"/>
    <w:rsid w:val="000D4B5D"/>
    <w:rsid w:val="000D5966"/>
    <w:rsid w:val="000D69AF"/>
    <w:rsid w:val="000D6AFA"/>
    <w:rsid w:val="000D73AB"/>
    <w:rsid w:val="000E07DF"/>
    <w:rsid w:val="000E0D86"/>
    <w:rsid w:val="000E0DBB"/>
    <w:rsid w:val="000E1037"/>
    <w:rsid w:val="000E2042"/>
    <w:rsid w:val="000E2C6C"/>
    <w:rsid w:val="000E3CB6"/>
    <w:rsid w:val="000E3FE7"/>
    <w:rsid w:val="000E49A3"/>
    <w:rsid w:val="000E54C3"/>
    <w:rsid w:val="000E5A30"/>
    <w:rsid w:val="000E626F"/>
    <w:rsid w:val="000E634B"/>
    <w:rsid w:val="000E69B9"/>
    <w:rsid w:val="000E7340"/>
    <w:rsid w:val="000E7341"/>
    <w:rsid w:val="000E77C5"/>
    <w:rsid w:val="000E7835"/>
    <w:rsid w:val="000F0101"/>
    <w:rsid w:val="000F0646"/>
    <w:rsid w:val="000F08B8"/>
    <w:rsid w:val="000F0CCB"/>
    <w:rsid w:val="000F19C1"/>
    <w:rsid w:val="000F2DE8"/>
    <w:rsid w:val="000F3AD4"/>
    <w:rsid w:val="000F41D2"/>
    <w:rsid w:val="000F4286"/>
    <w:rsid w:val="000F489C"/>
    <w:rsid w:val="000F5631"/>
    <w:rsid w:val="000F71DA"/>
    <w:rsid w:val="000F7B17"/>
    <w:rsid w:val="000F7DB2"/>
    <w:rsid w:val="00100103"/>
    <w:rsid w:val="00100440"/>
    <w:rsid w:val="00100AE8"/>
    <w:rsid w:val="00100BBC"/>
    <w:rsid w:val="00100C4C"/>
    <w:rsid w:val="0010150E"/>
    <w:rsid w:val="0010171A"/>
    <w:rsid w:val="00102242"/>
    <w:rsid w:val="00102A8F"/>
    <w:rsid w:val="001034DF"/>
    <w:rsid w:val="00103534"/>
    <w:rsid w:val="00103A82"/>
    <w:rsid w:val="00103F0F"/>
    <w:rsid w:val="00104359"/>
    <w:rsid w:val="00104C6B"/>
    <w:rsid w:val="00105207"/>
    <w:rsid w:val="0010528C"/>
    <w:rsid w:val="00105573"/>
    <w:rsid w:val="00106024"/>
    <w:rsid w:val="00107692"/>
    <w:rsid w:val="001076AD"/>
    <w:rsid w:val="00107EB3"/>
    <w:rsid w:val="00110F48"/>
    <w:rsid w:val="0011127B"/>
    <w:rsid w:val="00111363"/>
    <w:rsid w:val="001116B8"/>
    <w:rsid w:val="00111901"/>
    <w:rsid w:val="00111C3C"/>
    <w:rsid w:val="00111DE8"/>
    <w:rsid w:val="00112035"/>
    <w:rsid w:val="00112342"/>
    <w:rsid w:val="001125FC"/>
    <w:rsid w:val="001129B1"/>
    <w:rsid w:val="00112B26"/>
    <w:rsid w:val="00112F8C"/>
    <w:rsid w:val="0011466B"/>
    <w:rsid w:val="00114DC2"/>
    <w:rsid w:val="00114E97"/>
    <w:rsid w:val="00115310"/>
    <w:rsid w:val="001154A2"/>
    <w:rsid w:val="00115575"/>
    <w:rsid w:val="001178F4"/>
    <w:rsid w:val="00117A2A"/>
    <w:rsid w:val="00120184"/>
    <w:rsid w:val="00121B13"/>
    <w:rsid w:val="0012206D"/>
    <w:rsid w:val="00123AF0"/>
    <w:rsid w:val="00123FE7"/>
    <w:rsid w:val="00125495"/>
    <w:rsid w:val="001259CC"/>
    <w:rsid w:val="001262D3"/>
    <w:rsid w:val="00127ABA"/>
    <w:rsid w:val="00127D2D"/>
    <w:rsid w:val="0013068D"/>
    <w:rsid w:val="001307C8"/>
    <w:rsid w:val="001316A1"/>
    <w:rsid w:val="00131BAC"/>
    <w:rsid w:val="00131E0A"/>
    <w:rsid w:val="00132606"/>
    <w:rsid w:val="00132DBD"/>
    <w:rsid w:val="00132F38"/>
    <w:rsid w:val="001330F9"/>
    <w:rsid w:val="00133A8B"/>
    <w:rsid w:val="00133AB7"/>
    <w:rsid w:val="00133D44"/>
    <w:rsid w:val="00133F4E"/>
    <w:rsid w:val="001342D9"/>
    <w:rsid w:val="00134401"/>
    <w:rsid w:val="001345DD"/>
    <w:rsid w:val="00134E47"/>
    <w:rsid w:val="00135372"/>
    <w:rsid w:val="001361B0"/>
    <w:rsid w:val="00136E5F"/>
    <w:rsid w:val="00137548"/>
    <w:rsid w:val="001379BE"/>
    <w:rsid w:val="00137E38"/>
    <w:rsid w:val="00137FB5"/>
    <w:rsid w:val="001409C5"/>
    <w:rsid w:val="00140A9E"/>
    <w:rsid w:val="00140F62"/>
    <w:rsid w:val="00141D9F"/>
    <w:rsid w:val="00141E82"/>
    <w:rsid w:val="00142A0B"/>
    <w:rsid w:val="001434AF"/>
    <w:rsid w:val="00144758"/>
    <w:rsid w:val="00145204"/>
    <w:rsid w:val="0014558E"/>
    <w:rsid w:val="00145802"/>
    <w:rsid w:val="001476FD"/>
    <w:rsid w:val="00147FE8"/>
    <w:rsid w:val="00147FEF"/>
    <w:rsid w:val="0015008C"/>
    <w:rsid w:val="00150E66"/>
    <w:rsid w:val="00151DB9"/>
    <w:rsid w:val="00151EB1"/>
    <w:rsid w:val="00153D49"/>
    <w:rsid w:val="00154E13"/>
    <w:rsid w:val="001569A7"/>
    <w:rsid w:val="00156BA7"/>
    <w:rsid w:val="001572D4"/>
    <w:rsid w:val="001606D1"/>
    <w:rsid w:val="00160B12"/>
    <w:rsid w:val="00160B1E"/>
    <w:rsid w:val="00161013"/>
    <w:rsid w:val="00161195"/>
    <w:rsid w:val="0016130B"/>
    <w:rsid w:val="001624D9"/>
    <w:rsid w:val="00162790"/>
    <w:rsid w:val="00162838"/>
    <w:rsid w:val="00162B8B"/>
    <w:rsid w:val="00163607"/>
    <w:rsid w:val="001639C7"/>
    <w:rsid w:val="00163B08"/>
    <w:rsid w:val="00163C18"/>
    <w:rsid w:val="001644C3"/>
    <w:rsid w:val="00164D18"/>
    <w:rsid w:val="00165286"/>
    <w:rsid w:val="001676B2"/>
    <w:rsid w:val="00167733"/>
    <w:rsid w:val="001678C5"/>
    <w:rsid w:val="00167C81"/>
    <w:rsid w:val="0017037F"/>
    <w:rsid w:val="001706AA"/>
    <w:rsid w:val="00170B4B"/>
    <w:rsid w:val="00170E56"/>
    <w:rsid w:val="00170EE6"/>
    <w:rsid w:val="00171EE9"/>
    <w:rsid w:val="001720BE"/>
    <w:rsid w:val="00172380"/>
    <w:rsid w:val="001725DD"/>
    <w:rsid w:val="00172D21"/>
    <w:rsid w:val="00173B8F"/>
    <w:rsid w:val="0017412B"/>
    <w:rsid w:val="00174841"/>
    <w:rsid w:val="00174862"/>
    <w:rsid w:val="00174ABF"/>
    <w:rsid w:val="00176727"/>
    <w:rsid w:val="0017708D"/>
    <w:rsid w:val="00177371"/>
    <w:rsid w:val="00177DBF"/>
    <w:rsid w:val="001802B1"/>
    <w:rsid w:val="001807A6"/>
    <w:rsid w:val="00181C20"/>
    <w:rsid w:val="00182A22"/>
    <w:rsid w:val="001830EA"/>
    <w:rsid w:val="00183A31"/>
    <w:rsid w:val="0018439A"/>
    <w:rsid w:val="001844D3"/>
    <w:rsid w:val="001844F2"/>
    <w:rsid w:val="00184F19"/>
    <w:rsid w:val="00184F44"/>
    <w:rsid w:val="00185050"/>
    <w:rsid w:val="00185BA3"/>
    <w:rsid w:val="00186292"/>
    <w:rsid w:val="0018690E"/>
    <w:rsid w:val="00186EFB"/>
    <w:rsid w:val="00186F89"/>
    <w:rsid w:val="001877C8"/>
    <w:rsid w:val="00190194"/>
    <w:rsid w:val="00190709"/>
    <w:rsid w:val="00190E30"/>
    <w:rsid w:val="00191666"/>
    <w:rsid w:val="00191DFB"/>
    <w:rsid w:val="00191EBC"/>
    <w:rsid w:val="00192063"/>
    <w:rsid w:val="001923D8"/>
    <w:rsid w:val="00192932"/>
    <w:rsid w:val="001929AE"/>
    <w:rsid w:val="00193B10"/>
    <w:rsid w:val="00194799"/>
    <w:rsid w:val="0019520D"/>
    <w:rsid w:val="001954E1"/>
    <w:rsid w:val="00195A79"/>
    <w:rsid w:val="00196AA0"/>
    <w:rsid w:val="00197BC4"/>
    <w:rsid w:val="001A09D1"/>
    <w:rsid w:val="001A31F7"/>
    <w:rsid w:val="001A3262"/>
    <w:rsid w:val="001A38EB"/>
    <w:rsid w:val="001A3F70"/>
    <w:rsid w:val="001A4566"/>
    <w:rsid w:val="001A45BB"/>
    <w:rsid w:val="001A5574"/>
    <w:rsid w:val="001A5B14"/>
    <w:rsid w:val="001A5E48"/>
    <w:rsid w:val="001A6310"/>
    <w:rsid w:val="001A6606"/>
    <w:rsid w:val="001A6DB5"/>
    <w:rsid w:val="001A6DFA"/>
    <w:rsid w:val="001A6F85"/>
    <w:rsid w:val="001A7980"/>
    <w:rsid w:val="001A7B97"/>
    <w:rsid w:val="001A7F5E"/>
    <w:rsid w:val="001B0330"/>
    <w:rsid w:val="001B08E2"/>
    <w:rsid w:val="001B0921"/>
    <w:rsid w:val="001B2D3A"/>
    <w:rsid w:val="001B3AD5"/>
    <w:rsid w:val="001B4C17"/>
    <w:rsid w:val="001C05B1"/>
    <w:rsid w:val="001C06F2"/>
    <w:rsid w:val="001C0870"/>
    <w:rsid w:val="001C1700"/>
    <w:rsid w:val="001C1793"/>
    <w:rsid w:val="001C1B77"/>
    <w:rsid w:val="001C1C7E"/>
    <w:rsid w:val="001C2099"/>
    <w:rsid w:val="001C2E5B"/>
    <w:rsid w:val="001C3B10"/>
    <w:rsid w:val="001C42EF"/>
    <w:rsid w:val="001C4448"/>
    <w:rsid w:val="001C4712"/>
    <w:rsid w:val="001C4F09"/>
    <w:rsid w:val="001C5F43"/>
    <w:rsid w:val="001C6081"/>
    <w:rsid w:val="001C6AEE"/>
    <w:rsid w:val="001C6B71"/>
    <w:rsid w:val="001C7B70"/>
    <w:rsid w:val="001D0010"/>
    <w:rsid w:val="001D08D8"/>
    <w:rsid w:val="001D0A16"/>
    <w:rsid w:val="001D1144"/>
    <w:rsid w:val="001D14A8"/>
    <w:rsid w:val="001D15EF"/>
    <w:rsid w:val="001D1B3E"/>
    <w:rsid w:val="001D20D6"/>
    <w:rsid w:val="001D2694"/>
    <w:rsid w:val="001D26F6"/>
    <w:rsid w:val="001D2EE0"/>
    <w:rsid w:val="001D319D"/>
    <w:rsid w:val="001D3FF9"/>
    <w:rsid w:val="001D40B3"/>
    <w:rsid w:val="001D5A6C"/>
    <w:rsid w:val="001D6393"/>
    <w:rsid w:val="001D70B5"/>
    <w:rsid w:val="001D72FD"/>
    <w:rsid w:val="001D7B0F"/>
    <w:rsid w:val="001E039F"/>
    <w:rsid w:val="001E0C32"/>
    <w:rsid w:val="001E12AD"/>
    <w:rsid w:val="001E27D3"/>
    <w:rsid w:val="001E28FD"/>
    <w:rsid w:val="001E2F1A"/>
    <w:rsid w:val="001E3913"/>
    <w:rsid w:val="001E39FA"/>
    <w:rsid w:val="001E3E37"/>
    <w:rsid w:val="001E54B3"/>
    <w:rsid w:val="001E5906"/>
    <w:rsid w:val="001E5974"/>
    <w:rsid w:val="001E5B43"/>
    <w:rsid w:val="001E5BCC"/>
    <w:rsid w:val="001E617E"/>
    <w:rsid w:val="001E679B"/>
    <w:rsid w:val="001E741A"/>
    <w:rsid w:val="001E7E0E"/>
    <w:rsid w:val="001F0DA1"/>
    <w:rsid w:val="001F1535"/>
    <w:rsid w:val="001F1B72"/>
    <w:rsid w:val="001F1FF5"/>
    <w:rsid w:val="001F2022"/>
    <w:rsid w:val="001F3991"/>
    <w:rsid w:val="001F3AA2"/>
    <w:rsid w:val="001F3CD5"/>
    <w:rsid w:val="001F4927"/>
    <w:rsid w:val="001F4C74"/>
    <w:rsid w:val="001F524A"/>
    <w:rsid w:val="001F5514"/>
    <w:rsid w:val="001F5A26"/>
    <w:rsid w:val="001F6126"/>
    <w:rsid w:val="001F652C"/>
    <w:rsid w:val="001F6737"/>
    <w:rsid w:val="001F67B9"/>
    <w:rsid w:val="001F6849"/>
    <w:rsid w:val="001F7A51"/>
    <w:rsid w:val="00200E1A"/>
    <w:rsid w:val="00200EC7"/>
    <w:rsid w:val="002018DB"/>
    <w:rsid w:val="00201CA7"/>
    <w:rsid w:val="0020293F"/>
    <w:rsid w:val="00203832"/>
    <w:rsid w:val="00203A40"/>
    <w:rsid w:val="002040F0"/>
    <w:rsid w:val="002045CC"/>
    <w:rsid w:val="0020480A"/>
    <w:rsid w:val="00204907"/>
    <w:rsid w:val="00204A94"/>
    <w:rsid w:val="00205BAB"/>
    <w:rsid w:val="00205FED"/>
    <w:rsid w:val="00206890"/>
    <w:rsid w:val="00207303"/>
    <w:rsid w:val="002075BB"/>
    <w:rsid w:val="00207694"/>
    <w:rsid w:val="00207852"/>
    <w:rsid w:val="0021088A"/>
    <w:rsid w:val="00210DD1"/>
    <w:rsid w:val="00210E73"/>
    <w:rsid w:val="00210EA4"/>
    <w:rsid w:val="00211E94"/>
    <w:rsid w:val="002120CD"/>
    <w:rsid w:val="002121EC"/>
    <w:rsid w:val="0021281A"/>
    <w:rsid w:val="00212D33"/>
    <w:rsid w:val="00212D58"/>
    <w:rsid w:val="00212FE5"/>
    <w:rsid w:val="002136A7"/>
    <w:rsid w:val="0021381B"/>
    <w:rsid w:val="00213FE6"/>
    <w:rsid w:val="00214D65"/>
    <w:rsid w:val="00214F1B"/>
    <w:rsid w:val="00215366"/>
    <w:rsid w:val="00215C08"/>
    <w:rsid w:val="00215CE8"/>
    <w:rsid w:val="002160D3"/>
    <w:rsid w:val="002171A4"/>
    <w:rsid w:val="00217AB6"/>
    <w:rsid w:val="002200DB"/>
    <w:rsid w:val="0022044C"/>
    <w:rsid w:val="002221B2"/>
    <w:rsid w:val="0022278B"/>
    <w:rsid w:val="00222ED0"/>
    <w:rsid w:val="0022308E"/>
    <w:rsid w:val="00223577"/>
    <w:rsid w:val="00223732"/>
    <w:rsid w:val="00223776"/>
    <w:rsid w:val="00224849"/>
    <w:rsid w:val="002249B0"/>
    <w:rsid w:val="00224B27"/>
    <w:rsid w:val="00225056"/>
    <w:rsid w:val="002254F8"/>
    <w:rsid w:val="0022562D"/>
    <w:rsid w:val="0022610A"/>
    <w:rsid w:val="002268EF"/>
    <w:rsid w:val="00226AC3"/>
    <w:rsid w:val="00231052"/>
    <w:rsid w:val="00232BE5"/>
    <w:rsid w:val="00232D2B"/>
    <w:rsid w:val="002330B1"/>
    <w:rsid w:val="002332E1"/>
    <w:rsid w:val="00233926"/>
    <w:rsid w:val="00233961"/>
    <w:rsid w:val="002344AA"/>
    <w:rsid w:val="0023497E"/>
    <w:rsid w:val="00235178"/>
    <w:rsid w:val="00235202"/>
    <w:rsid w:val="00235519"/>
    <w:rsid w:val="00235614"/>
    <w:rsid w:val="00235E11"/>
    <w:rsid w:val="00236143"/>
    <w:rsid w:val="00236866"/>
    <w:rsid w:val="00236A7E"/>
    <w:rsid w:val="00237FC4"/>
    <w:rsid w:val="0024347B"/>
    <w:rsid w:val="002438C4"/>
    <w:rsid w:val="002440B1"/>
    <w:rsid w:val="00244341"/>
    <w:rsid w:val="002443A5"/>
    <w:rsid w:val="0024458A"/>
    <w:rsid w:val="0024502F"/>
    <w:rsid w:val="002453D8"/>
    <w:rsid w:val="0024559E"/>
    <w:rsid w:val="00245E2C"/>
    <w:rsid w:val="00246322"/>
    <w:rsid w:val="0024741A"/>
    <w:rsid w:val="00247741"/>
    <w:rsid w:val="00247F5A"/>
    <w:rsid w:val="00247F91"/>
    <w:rsid w:val="00250B24"/>
    <w:rsid w:val="00250D12"/>
    <w:rsid w:val="00250E73"/>
    <w:rsid w:val="00251346"/>
    <w:rsid w:val="002514EB"/>
    <w:rsid w:val="00252290"/>
    <w:rsid w:val="00252B41"/>
    <w:rsid w:val="00253C31"/>
    <w:rsid w:val="00253FF1"/>
    <w:rsid w:val="002545CE"/>
    <w:rsid w:val="0025479B"/>
    <w:rsid w:val="00254AD2"/>
    <w:rsid w:val="00254EEE"/>
    <w:rsid w:val="00255334"/>
    <w:rsid w:val="00256A81"/>
    <w:rsid w:val="00256C10"/>
    <w:rsid w:val="0025791B"/>
    <w:rsid w:val="00257CA0"/>
    <w:rsid w:val="00260814"/>
    <w:rsid w:val="0026114D"/>
    <w:rsid w:val="002612CF"/>
    <w:rsid w:val="002615AD"/>
    <w:rsid w:val="002616E4"/>
    <w:rsid w:val="002619D2"/>
    <w:rsid w:val="002628C7"/>
    <w:rsid w:val="00262ABD"/>
    <w:rsid w:val="00262F5A"/>
    <w:rsid w:val="0026372B"/>
    <w:rsid w:val="00263F7E"/>
    <w:rsid w:val="002642ED"/>
    <w:rsid w:val="002663C2"/>
    <w:rsid w:val="002676FE"/>
    <w:rsid w:val="00270246"/>
    <w:rsid w:val="0027041A"/>
    <w:rsid w:val="0027055F"/>
    <w:rsid w:val="00270A85"/>
    <w:rsid w:val="00271A36"/>
    <w:rsid w:val="00272159"/>
    <w:rsid w:val="00272B19"/>
    <w:rsid w:val="00272B9C"/>
    <w:rsid w:val="00272D63"/>
    <w:rsid w:val="00272F7B"/>
    <w:rsid w:val="00274364"/>
    <w:rsid w:val="0027469A"/>
    <w:rsid w:val="00274D0F"/>
    <w:rsid w:val="00274D53"/>
    <w:rsid w:val="00275317"/>
    <w:rsid w:val="00275346"/>
    <w:rsid w:val="002755D3"/>
    <w:rsid w:val="00275D35"/>
    <w:rsid w:val="00276090"/>
    <w:rsid w:val="002765DF"/>
    <w:rsid w:val="0027694C"/>
    <w:rsid w:val="002776A1"/>
    <w:rsid w:val="0027795D"/>
    <w:rsid w:val="0028068E"/>
    <w:rsid w:val="0028116C"/>
    <w:rsid w:val="002812FD"/>
    <w:rsid w:val="002814F9"/>
    <w:rsid w:val="00282A70"/>
    <w:rsid w:val="0028443B"/>
    <w:rsid w:val="00285B09"/>
    <w:rsid w:val="0028638A"/>
    <w:rsid w:val="002865D1"/>
    <w:rsid w:val="0028782A"/>
    <w:rsid w:val="00290896"/>
    <w:rsid w:val="00291BD7"/>
    <w:rsid w:val="00291DEA"/>
    <w:rsid w:val="00291F5E"/>
    <w:rsid w:val="00291FA6"/>
    <w:rsid w:val="0029261C"/>
    <w:rsid w:val="002928DC"/>
    <w:rsid w:val="00292DD3"/>
    <w:rsid w:val="002930A9"/>
    <w:rsid w:val="002930D6"/>
    <w:rsid w:val="002932F6"/>
    <w:rsid w:val="0029336B"/>
    <w:rsid w:val="00294CF7"/>
    <w:rsid w:val="002953F9"/>
    <w:rsid w:val="002960CA"/>
    <w:rsid w:val="00296B4E"/>
    <w:rsid w:val="00296D15"/>
    <w:rsid w:val="002A0900"/>
    <w:rsid w:val="002A0F70"/>
    <w:rsid w:val="002A11FC"/>
    <w:rsid w:val="002A16E1"/>
    <w:rsid w:val="002A2BE4"/>
    <w:rsid w:val="002A2DAA"/>
    <w:rsid w:val="002A2E2B"/>
    <w:rsid w:val="002A2E7C"/>
    <w:rsid w:val="002A3836"/>
    <w:rsid w:val="002A3AC6"/>
    <w:rsid w:val="002A5A0A"/>
    <w:rsid w:val="002A5B0B"/>
    <w:rsid w:val="002A6573"/>
    <w:rsid w:val="002A6CD2"/>
    <w:rsid w:val="002A6FAC"/>
    <w:rsid w:val="002A7533"/>
    <w:rsid w:val="002B040C"/>
    <w:rsid w:val="002B0EF5"/>
    <w:rsid w:val="002B13EA"/>
    <w:rsid w:val="002B1A27"/>
    <w:rsid w:val="002B1A2C"/>
    <w:rsid w:val="002B2826"/>
    <w:rsid w:val="002B28FD"/>
    <w:rsid w:val="002B2987"/>
    <w:rsid w:val="002B2B65"/>
    <w:rsid w:val="002B35B3"/>
    <w:rsid w:val="002B3905"/>
    <w:rsid w:val="002B3AF5"/>
    <w:rsid w:val="002B3E40"/>
    <w:rsid w:val="002B3F87"/>
    <w:rsid w:val="002B4403"/>
    <w:rsid w:val="002B47D3"/>
    <w:rsid w:val="002B4814"/>
    <w:rsid w:val="002B4879"/>
    <w:rsid w:val="002B4AC3"/>
    <w:rsid w:val="002B5098"/>
    <w:rsid w:val="002B5624"/>
    <w:rsid w:val="002B568F"/>
    <w:rsid w:val="002B5BB4"/>
    <w:rsid w:val="002B644E"/>
    <w:rsid w:val="002B6EC6"/>
    <w:rsid w:val="002B72D5"/>
    <w:rsid w:val="002C08F6"/>
    <w:rsid w:val="002C1061"/>
    <w:rsid w:val="002C2119"/>
    <w:rsid w:val="002C2858"/>
    <w:rsid w:val="002C2B81"/>
    <w:rsid w:val="002C2CE1"/>
    <w:rsid w:val="002C41BF"/>
    <w:rsid w:val="002C4821"/>
    <w:rsid w:val="002C5722"/>
    <w:rsid w:val="002C6637"/>
    <w:rsid w:val="002C700A"/>
    <w:rsid w:val="002C7912"/>
    <w:rsid w:val="002C7B0F"/>
    <w:rsid w:val="002C7B44"/>
    <w:rsid w:val="002D0577"/>
    <w:rsid w:val="002D0768"/>
    <w:rsid w:val="002D0D71"/>
    <w:rsid w:val="002D0F6B"/>
    <w:rsid w:val="002D12C5"/>
    <w:rsid w:val="002D1438"/>
    <w:rsid w:val="002D17FF"/>
    <w:rsid w:val="002D1D3A"/>
    <w:rsid w:val="002D2187"/>
    <w:rsid w:val="002D2265"/>
    <w:rsid w:val="002D2433"/>
    <w:rsid w:val="002D3051"/>
    <w:rsid w:val="002D4424"/>
    <w:rsid w:val="002D508E"/>
    <w:rsid w:val="002D51F1"/>
    <w:rsid w:val="002D5430"/>
    <w:rsid w:val="002D5E1F"/>
    <w:rsid w:val="002D61BF"/>
    <w:rsid w:val="002D646B"/>
    <w:rsid w:val="002D67EC"/>
    <w:rsid w:val="002D6943"/>
    <w:rsid w:val="002D773A"/>
    <w:rsid w:val="002D7B91"/>
    <w:rsid w:val="002D7BF0"/>
    <w:rsid w:val="002D7F92"/>
    <w:rsid w:val="002E01DE"/>
    <w:rsid w:val="002E0454"/>
    <w:rsid w:val="002E0A48"/>
    <w:rsid w:val="002E1763"/>
    <w:rsid w:val="002E21B1"/>
    <w:rsid w:val="002E228B"/>
    <w:rsid w:val="002E2EB1"/>
    <w:rsid w:val="002E36DC"/>
    <w:rsid w:val="002E3AB5"/>
    <w:rsid w:val="002E4007"/>
    <w:rsid w:val="002E4113"/>
    <w:rsid w:val="002E4223"/>
    <w:rsid w:val="002E534F"/>
    <w:rsid w:val="002E5556"/>
    <w:rsid w:val="002E5EB4"/>
    <w:rsid w:val="002E62C1"/>
    <w:rsid w:val="002E67B5"/>
    <w:rsid w:val="002E7523"/>
    <w:rsid w:val="002E76B9"/>
    <w:rsid w:val="002F07E0"/>
    <w:rsid w:val="002F2315"/>
    <w:rsid w:val="002F23B6"/>
    <w:rsid w:val="002F3263"/>
    <w:rsid w:val="002F4480"/>
    <w:rsid w:val="002F5538"/>
    <w:rsid w:val="002F56EC"/>
    <w:rsid w:val="002F5AEC"/>
    <w:rsid w:val="002F730C"/>
    <w:rsid w:val="002F7721"/>
    <w:rsid w:val="00300043"/>
    <w:rsid w:val="00300097"/>
    <w:rsid w:val="0030093A"/>
    <w:rsid w:val="0030094D"/>
    <w:rsid w:val="00300A40"/>
    <w:rsid w:val="00300E5C"/>
    <w:rsid w:val="00301F01"/>
    <w:rsid w:val="003022A2"/>
    <w:rsid w:val="00302338"/>
    <w:rsid w:val="003028B0"/>
    <w:rsid w:val="003048F9"/>
    <w:rsid w:val="00304B6A"/>
    <w:rsid w:val="00304DBC"/>
    <w:rsid w:val="003064D2"/>
    <w:rsid w:val="0030674D"/>
    <w:rsid w:val="003068DD"/>
    <w:rsid w:val="0030694C"/>
    <w:rsid w:val="003074AD"/>
    <w:rsid w:val="00310BFB"/>
    <w:rsid w:val="0031221D"/>
    <w:rsid w:val="003127D2"/>
    <w:rsid w:val="00312B93"/>
    <w:rsid w:val="0031325D"/>
    <w:rsid w:val="003136F5"/>
    <w:rsid w:val="0031426C"/>
    <w:rsid w:val="003147C2"/>
    <w:rsid w:val="003150C3"/>
    <w:rsid w:val="003150C9"/>
    <w:rsid w:val="0031558B"/>
    <w:rsid w:val="00315A4D"/>
    <w:rsid w:val="003167A9"/>
    <w:rsid w:val="00316810"/>
    <w:rsid w:val="00316855"/>
    <w:rsid w:val="00316AB6"/>
    <w:rsid w:val="00317600"/>
    <w:rsid w:val="00317E34"/>
    <w:rsid w:val="00320024"/>
    <w:rsid w:val="00320215"/>
    <w:rsid w:val="00320A65"/>
    <w:rsid w:val="003232D8"/>
    <w:rsid w:val="00323494"/>
    <w:rsid w:val="00323C3D"/>
    <w:rsid w:val="00323D0D"/>
    <w:rsid w:val="00323E6C"/>
    <w:rsid w:val="00324B7C"/>
    <w:rsid w:val="00324BDA"/>
    <w:rsid w:val="003254EF"/>
    <w:rsid w:val="0032562F"/>
    <w:rsid w:val="003264B1"/>
    <w:rsid w:val="0032651C"/>
    <w:rsid w:val="00326CBD"/>
    <w:rsid w:val="00326F1C"/>
    <w:rsid w:val="003275BE"/>
    <w:rsid w:val="00330288"/>
    <w:rsid w:val="003309CE"/>
    <w:rsid w:val="00331791"/>
    <w:rsid w:val="0033228B"/>
    <w:rsid w:val="00332427"/>
    <w:rsid w:val="0033298B"/>
    <w:rsid w:val="00332BDC"/>
    <w:rsid w:val="00332F53"/>
    <w:rsid w:val="003334C8"/>
    <w:rsid w:val="0033387F"/>
    <w:rsid w:val="003343B5"/>
    <w:rsid w:val="00334580"/>
    <w:rsid w:val="00334D73"/>
    <w:rsid w:val="00335430"/>
    <w:rsid w:val="0033549E"/>
    <w:rsid w:val="003355AE"/>
    <w:rsid w:val="0033607A"/>
    <w:rsid w:val="00336E04"/>
    <w:rsid w:val="00337252"/>
    <w:rsid w:val="003400FE"/>
    <w:rsid w:val="003408D3"/>
    <w:rsid w:val="00340C64"/>
    <w:rsid w:val="00341405"/>
    <w:rsid w:val="00341939"/>
    <w:rsid w:val="00341CF5"/>
    <w:rsid w:val="00342A05"/>
    <w:rsid w:val="00342ECE"/>
    <w:rsid w:val="003463EF"/>
    <w:rsid w:val="003466DA"/>
    <w:rsid w:val="003478EF"/>
    <w:rsid w:val="00350E4F"/>
    <w:rsid w:val="0035157F"/>
    <w:rsid w:val="00351748"/>
    <w:rsid w:val="003523DB"/>
    <w:rsid w:val="00352693"/>
    <w:rsid w:val="00352CA1"/>
    <w:rsid w:val="00353EA7"/>
    <w:rsid w:val="0035537B"/>
    <w:rsid w:val="003558A9"/>
    <w:rsid w:val="00356363"/>
    <w:rsid w:val="0035685C"/>
    <w:rsid w:val="00356FC4"/>
    <w:rsid w:val="003572AD"/>
    <w:rsid w:val="003577C1"/>
    <w:rsid w:val="003606AB"/>
    <w:rsid w:val="003619D6"/>
    <w:rsid w:val="00361DE4"/>
    <w:rsid w:val="003636DE"/>
    <w:rsid w:val="003645CD"/>
    <w:rsid w:val="00364682"/>
    <w:rsid w:val="00364C1B"/>
    <w:rsid w:val="00366032"/>
    <w:rsid w:val="003668C1"/>
    <w:rsid w:val="00366A34"/>
    <w:rsid w:val="0036705C"/>
    <w:rsid w:val="003670CE"/>
    <w:rsid w:val="00367367"/>
    <w:rsid w:val="00367417"/>
    <w:rsid w:val="00367854"/>
    <w:rsid w:val="00367998"/>
    <w:rsid w:val="00370A6B"/>
    <w:rsid w:val="0037135F"/>
    <w:rsid w:val="003713D7"/>
    <w:rsid w:val="00371495"/>
    <w:rsid w:val="003727A0"/>
    <w:rsid w:val="003727B0"/>
    <w:rsid w:val="0037283C"/>
    <w:rsid w:val="00372E47"/>
    <w:rsid w:val="003738DD"/>
    <w:rsid w:val="00373B73"/>
    <w:rsid w:val="00373F8B"/>
    <w:rsid w:val="00374341"/>
    <w:rsid w:val="003752D7"/>
    <w:rsid w:val="003753C2"/>
    <w:rsid w:val="003767A3"/>
    <w:rsid w:val="0037684E"/>
    <w:rsid w:val="00377425"/>
    <w:rsid w:val="00377624"/>
    <w:rsid w:val="00377B1B"/>
    <w:rsid w:val="003801B3"/>
    <w:rsid w:val="00380213"/>
    <w:rsid w:val="00380718"/>
    <w:rsid w:val="00381745"/>
    <w:rsid w:val="00382913"/>
    <w:rsid w:val="003842B1"/>
    <w:rsid w:val="00384A0F"/>
    <w:rsid w:val="00385030"/>
    <w:rsid w:val="00385A40"/>
    <w:rsid w:val="00385DBB"/>
    <w:rsid w:val="00385E4E"/>
    <w:rsid w:val="003878BA"/>
    <w:rsid w:val="0039059E"/>
    <w:rsid w:val="003915E9"/>
    <w:rsid w:val="003916E0"/>
    <w:rsid w:val="00391820"/>
    <w:rsid w:val="00391CDA"/>
    <w:rsid w:val="00391E0E"/>
    <w:rsid w:val="00392688"/>
    <w:rsid w:val="00392718"/>
    <w:rsid w:val="003929C6"/>
    <w:rsid w:val="00392CA1"/>
    <w:rsid w:val="00393563"/>
    <w:rsid w:val="00393583"/>
    <w:rsid w:val="0039392D"/>
    <w:rsid w:val="00393C24"/>
    <w:rsid w:val="00393D6D"/>
    <w:rsid w:val="00393ED1"/>
    <w:rsid w:val="0039487C"/>
    <w:rsid w:val="00395054"/>
    <w:rsid w:val="003950E8"/>
    <w:rsid w:val="003958AC"/>
    <w:rsid w:val="003959BA"/>
    <w:rsid w:val="00395D06"/>
    <w:rsid w:val="003963ED"/>
    <w:rsid w:val="0039697D"/>
    <w:rsid w:val="00396DA6"/>
    <w:rsid w:val="00397273"/>
    <w:rsid w:val="003975BE"/>
    <w:rsid w:val="00397679"/>
    <w:rsid w:val="00397895"/>
    <w:rsid w:val="003979CC"/>
    <w:rsid w:val="00397B09"/>
    <w:rsid w:val="003A060E"/>
    <w:rsid w:val="003A0A8C"/>
    <w:rsid w:val="003A0EC6"/>
    <w:rsid w:val="003A1113"/>
    <w:rsid w:val="003A185A"/>
    <w:rsid w:val="003A1939"/>
    <w:rsid w:val="003A24BB"/>
    <w:rsid w:val="003A34CA"/>
    <w:rsid w:val="003A3A3D"/>
    <w:rsid w:val="003A3F72"/>
    <w:rsid w:val="003A4529"/>
    <w:rsid w:val="003A467E"/>
    <w:rsid w:val="003A5C81"/>
    <w:rsid w:val="003A5D71"/>
    <w:rsid w:val="003A649C"/>
    <w:rsid w:val="003A6BB4"/>
    <w:rsid w:val="003A71B5"/>
    <w:rsid w:val="003A72D5"/>
    <w:rsid w:val="003A7C23"/>
    <w:rsid w:val="003B08B2"/>
    <w:rsid w:val="003B0EAD"/>
    <w:rsid w:val="003B1745"/>
    <w:rsid w:val="003B1A63"/>
    <w:rsid w:val="003B21D6"/>
    <w:rsid w:val="003B2795"/>
    <w:rsid w:val="003B2EA6"/>
    <w:rsid w:val="003B331B"/>
    <w:rsid w:val="003B3FE9"/>
    <w:rsid w:val="003B41CD"/>
    <w:rsid w:val="003B4743"/>
    <w:rsid w:val="003B49AF"/>
    <w:rsid w:val="003B5582"/>
    <w:rsid w:val="003B5CA1"/>
    <w:rsid w:val="003B6A02"/>
    <w:rsid w:val="003B705C"/>
    <w:rsid w:val="003C0196"/>
    <w:rsid w:val="003C077F"/>
    <w:rsid w:val="003C12E4"/>
    <w:rsid w:val="003C185E"/>
    <w:rsid w:val="003C1B6A"/>
    <w:rsid w:val="003C3340"/>
    <w:rsid w:val="003C3F29"/>
    <w:rsid w:val="003C4018"/>
    <w:rsid w:val="003C4965"/>
    <w:rsid w:val="003C4B26"/>
    <w:rsid w:val="003C52B3"/>
    <w:rsid w:val="003C5B85"/>
    <w:rsid w:val="003C684D"/>
    <w:rsid w:val="003C6EA5"/>
    <w:rsid w:val="003C700F"/>
    <w:rsid w:val="003C7082"/>
    <w:rsid w:val="003C787E"/>
    <w:rsid w:val="003C78A4"/>
    <w:rsid w:val="003C7936"/>
    <w:rsid w:val="003D0368"/>
    <w:rsid w:val="003D0A2E"/>
    <w:rsid w:val="003D1E3A"/>
    <w:rsid w:val="003D2F85"/>
    <w:rsid w:val="003D3051"/>
    <w:rsid w:val="003D418E"/>
    <w:rsid w:val="003D48FA"/>
    <w:rsid w:val="003D49CB"/>
    <w:rsid w:val="003D692F"/>
    <w:rsid w:val="003D6C32"/>
    <w:rsid w:val="003D7B62"/>
    <w:rsid w:val="003D7B74"/>
    <w:rsid w:val="003E0CB4"/>
    <w:rsid w:val="003E1C2E"/>
    <w:rsid w:val="003E1E4A"/>
    <w:rsid w:val="003E1F21"/>
    <w:rsid w:val="003E218A"/>
    <w:rsid w:val="003E21EA"/>
    <w:rsid w:val="003E313D"/>
    <w:rsid w:val="003E4500"/>
    <w:rsid w:val="003E45DF"/>
    <w:rsid w:val="003E546F"/>
    <w:rsid w:val="003E6A25"/>
    <w:rsid w:val="003E6A7C"/>
    <w:rsid w:val="003E6C15"/>
    <w:rsid w:val="003E6F76"/>
    <w:rsid w:val="003E722E"/>
    <w:rsid w:val="003F00E0"/>
    <w:rsid w:val="003F0897"/>
    <w:rsid w:val="003F0BB2"/>
    <w:rsid w:val="003F10EB"/>
    <w:rsid w:val="003F15AF"/>
    <w:rsid w:val="003F1F16"/>
    <w:rsid w:val="003F2825"/>
    <w:rsid w:val="003F2FE0"/>
    <w:rsid w:val="003F31B5"/>
    <w:rsid w:val="003F452D"/>
    <w:rsid w:val="003F4B89"/>
    <w:rsid w:val="003F5EE7"/>
    <w:rsid w:val="003F707E"/>
    <w:rsid w:val="003F798C"/>
    <w:rsid w:val="003F7FBE"/>
    <w:rsid w:val="0040031F"/>
    <w:rsid w:val="00400973"/>
    <w:rsid w:val="004009F5"/>
    <w:rsid w:val="00400DDA"/>
    <w:rsid w:val="00400E86"/>
    <w:rsid w:val="00401848"/>
    <w:rsid w:val="00401F24"/>
    <w:rsid w:val="00401F72"/>
    <w:rsid w:val="00403624"/>
    <w:rsid w:val="0040410F"/>
    <w:rsid w:val="0040537B"/>
    <w:rsid w:val="00405EEF"/>
    <w:rsid w:val="00407135"/>
    <w:rsid w:val="0041030D"/>
    <w:rsid w:val="00410F4E"/>
    <w:rsid w:val="004115B7"/>
    <w:rsid w:val="0041165E"/>
    <w:rsid w:val="00411E38"/>
    <w:rsid w:val="00412328"/>
    <w:rsid w:val="0041241D"/>
    <w:rsid w:val="00412EC8"/>
    <w:rsid w:val="00413D1E"/>
    <w:rsid w:val="00413EDE"/>
    <w:rsid w:val="00413F0B"/>
    <w:rsid w:val="00414A05"/>
    <w:rsid w:val="00414C40"/>
    <w:rsid w:val="00414D95"/>
    <w:rsid w:val="00414DE8"/>
    <w:rsid w:val="004150D3"/>
    <w:rsid w:val="004164CC"/>
    <w:rsid w:val="00416B14"/>
    <w:rsid w:val="00417101"/>
    <w:rsid w:val="00417338"/>
    <w:rsid w:val="00417946"/>
    <w:rsid w:val="00417FE8"/>
    <w:rsid w:val="004239D9"/>
    <w:rsid w:val="00423B79"/>
    <w:rsid w:val="00424422"/>
    <w:rsid w:val="0042446D"/>
    <w:rsid w:val="0042471D"/>
    <w:rsid w:val="0042502A"/>
    <w:rsid w:val="004257EE"/>
    <w:rsid w:val="0042627E"/>
    <w:rsid w:val="004264A0"/>
    <w:rsid w:val="00426868"/>
    <w:rsid w:val="004276F6"/>
    <w:rsid w:val="00427F26"/>
    <w:rsid w:val="00430271"/>
    <w:rsid w:val="0043035C"/>
    <w:rsid w:val="00430554"/>
    <w:rsid w:val="00430F97"/>
    <w:rsid w:val="0043189F"/>
    <w:rsid w:val="00431942"/>
    <w:rsid w:val="0043195B"/>
    <w:rsid w:val="00432136"/>
    <w:rsid w:val="00432874"/>
    <w:rsid w:val="00432AA1"/>
    <w:rsid w:val="00432F61"/>
    <w:rsid w:val="00432F78"/>
    <w:rsid w:val="00433419"/>
    <w:rsid w:val="00433C8C"/>
    <w:rsid w:val="00434204"/>
    <w:rsid w:val="00434AE6"/>
    <w:rsid w:val="00435036"/>
    <w:rsid w:val="004352B0"/>
    <w:rsid w:val="00435493"/>
    <w:rsid w:val="004356A4"/>
    <w:rsid w:val="00435880"/>
    <w:rsid w:val="00435E13"/>
    <w:rsid w:val="0043625C"/>
    <w:rsid w:val="004402F7"/>
    <w:rsid w:val="004405A2"/>
    <w:rsid w:val="0044081B"/>
    <w:rsid w:val="00440B3B"/>
    <w:rsid w:val="00440EFE"/>
    <w:rsid w:val="00441912"/>
    <w:rsid w:val="00441ACA"/>
    <w:rsid w:val="00442316"/>
    <w:rsid w:val="004435BF"/>
    <w:rsid w:val="00443A17"/>
    <w:rsid w:val="00443B90"/>
    <w:rsid w:val="00443EBD"/>
    <w:rsid w:val="004445AF"/>
    <w:rsid w:val="00444693"/>
    <w:rsid w:val="00444AAF"/>
    <w:rsid w:val="00444E4F"/>
    <w:rsid w:val="00445849"/>
    <w:rsid w:val="0044609D"/>
    <w:rsid w:val="004462B3"/>
    <w:rsid w:val="00446B8D"/>
    <w:rsid w:val="00446FFE"/>
    <w:rsid w:val="0044712E"/>
    <w:rsid w:val="0044723C"/>
    <w:rsid w:val="004475E1"/>
    <w:rsid w:val="00447D8D"/>
    <w:rsid w:val="00447FEB"/>
    <w:rsid w:val="00450517"/>
    <w:rsid w:val="0045068E"/>
    <w:rsid w:val="00451C1E"/>
    <w:rsid w:val="004526E5"/>
    <w:rsid w:val="004527EB"/>
    <w:rsid w:val="00453527"/>
    <w:rsid w:val="00454281"/>
    <w:rsid w:val="0045453E"/>
    <w:rsid w:val="004546D9"/>
    <w:rsid w:val="00454A3E"/>
    <w:rsid w:val="004551EF"/>
    <w:rsid w:val="00456608"/>
    <w:rsid w:val="00457DDD"/>
    <w:rsid w:val="00460220"/>
    <w:rsid w:val="00461A96"/>
    <w:rsid w:val="0046269D"/>
    <w:rsid w:val="00462D10"/>
    <w:rsid w:val="004637A9"/>
    <w:rsid w:val="00463E4A"/>
    <w:rsid w:val="00464C28"/>
    <w:rsid w:val="00465801"/>
    <w:rsid w:val="004663AB"/>
    <w:rsid w:val="00466DC0"/>
    <w:rsid w:val="00466E5A"/>
    <w:rsid w:val="004670C5"/>
    <w:rsid w:val="004672F7"/>
    <w:rsid w:val="00467492"/>
    <w:rsid w:val="00467DA4"/>
    <w:rsid w:val="00467E7E"/>
    <w:rsid w:val="00467F94"/>
    <w:rsid w:val="004701A5"/>
    <w:rsid w:val="00470258"/>
    <w:rsid w:val="004711D4"/>
    <w:rsid w:val="0047124C"/>
    <w:rsid w:val="00471407"/>
    <w:rsid w:val="00471C1E"/>
    <w:rsid w:val="00471F90"/>
    <w:rsid w:val="00472176"/>
    <w:rsid w:val="004729CA"/>
    <w:rsid w:val="00472A3E"/>
    <w:rsid w:val="00472ECA"/>
    <w:rsid w:val="00473854"/>
    <w:rsid w:val="00473D9D"/>
    <w:rsid w:val="00474C07"/>
    <w:rsid w:val="00474C48"/>
    <w:rsid w:val="00475912"/>
    <w:rsid w:val="00475A11"/>
    <w:rsid w:val="00476069"/>
    <w:rsid w:val="00477068"/>
    <w:rsid w:val="00477474"/>
    <w:rsid w:val="00477D77"/>
    <w:rsid w:val="00480175"/>
    <w:rsid w:val="004802D4"/>
    <w:rsid w:val="00480DBF"/>
    <w:rsid w:val="00481C70"/>
    <w:rsid w:val="00482B17"/>
    <w:rsid w:val="00482BA7"/>
    <w:rsid w:val="0048385A"/>
    <w:rsid w:val="00483944"/>
    <w:rsid w:val="00483CE3"/>
    <w:rsid w:val="00484FFD"/>
    <w:rsid w:val="0048661E"/>
    <w:rsid w:val="00486CD4"/>
    <w:rsid w:val="00487421"/>
    <w:rsid w:val="00487471"/>
    <w:rsid w:val="00487FAA"/>
    <w:rsid w:val="0049079E"/>
    <w:rsid w:val="004919B7"/>
    <w:rsid w:val="00491A54"/>
    <w:rsid w:val="00493122"/>
    <w:rsid w:val="00493B5C"/>
    <w:rsid w:val="0049486C"/>
    <w:rsid w:val="00494A57"/>
    <w:rsid w:val="004951A6"/>
    <w:rsid w:val="0049562A"/>
    <w:rsid w:val="0049593C"/>
    <w:rsid w:val="004959CA"/>
    <w:rsid w:val="004959F6"/>
    <w:rsid w:val="00495EEF"/>
    <w:rsid w:val="0049685B"/>
    <w:rsid w:val="0049779F"/>
    <w:rsid w:val="00497C9E"/>
    <w:rsid w:val="00497E26"/>
    <w:rsid w:val="004A0B80"/>
    <w:rsid w:val="004A0BF2"/>
    <w:rsid w:val="004A0DC9"/>
    <w:rsid w:val="004A21B3"/>
    <w:rsid w:val="004A2E14"/>
    <w:rsid w:val="004A33EF"/>
    <w:rsid w:val="004A3E1D"/>
    <w:rsid w:val="004A4724"/>
    <w:rsid w:val="004A480C"/>
    <w:rsid w:val="004A52B4"/>
    <w:rsid w:val="004A57E9"/>
    <w:rsid w:val="004A5E3B"/>
    <w:rsid w:val="004A6D57"/>
    <w:rsid w:val="004A6D8A"/>
    <w:rsid w:val="004A6DFA"/>
    <w:rsid w:val="004A79BE"/>
    <w:rsid w:val="004A7F39"/>
    <w:rsid w:val="004B06E5"/>
    <w:rsid w:val="004B09F7"/>
    <w:rsid w:val="004B12A7"/>
    <w:rsid w:val="004B1376"/>
    <w:rsid w:val="004B1B9A"/>
    <w:rsid w:val="004B26C0"/>
    <w:rsid w:val="004B2DC3"/>
    <w:rsid w:val="004B3F33"/>
    <w:rsid w:val="004B52D0"/>
    <w:rsid w:val="004B55DA"/>
    <w:rsid w:val="004B5798"/>
    <w:rsid w:val="004B5CF3"/>
    <w:rsid w:val="004B6FFB"/>
    <w:rsid w:val="004B73B0"/>
    <w:rsid w:val="004B75FB"/>
    <w:rsid w:val="004B7A08"/>
    <w:rsid w:val="004C010C"/>
    <w:rsid w:val="004C05D9"/>
    <w:rsid w:val="004C07B0"/>
    <w:rsid w:val="004C16C2"/>
    <w:rsid w:val="004C2103"/>
    <w:rsid w:val="004C237B"/>
    <w:rsid w:val="004C2614"/>
    <w:rsid w:val="004C3FD2"/>
    <w:rsid w:val="004C4154"/>
    <w:rsid w:val="004C469D"/>
    <w:rsid w:val="004C4BD9"/>
    <w:rsid w:val="004C4EB9"/>
    <w:rsid w:val="004C53DD"/>
    <w:rsid w:val="004C62A5"/>
    <w:rsid w:val="004C6871"/>
    <w:rsid w:val="004C7DE0"/>
    <w:rsid w:val="004C7F78"/>
    <w:rsid w:val="004D06E8"/>
    <w:rsid w:val="004D2550"/>
    <w:rsid w:val="004D289C"/>
    <w:rsid w:val="004D3DAD"/>
    <w:rsid w:val="004D43C9"/>
    <w:rsid w:val="004D4460"/>
    <w:rsid w:val="004D55DD"/>
    <w:rsid w:val="004D6160"/>
    <w:rsid w:val="004D64F9"/>
    <w:rsid w:val="004D72C4"/>
    <w:rsid w:val="004D7FB6"/>
    <w:rsid w:val="004E0EC3"/>
    <w:rsid w:val="004E1604"/>
    <w:rsid w:val="004E229E"/>
    <w:rsid w:val="004E239C"/>
    <w:rsid w:val="004E28A3"/>
    <w:rsid w:val="004E2CB8"/>
    <w:rsid w:val="004E4DC8"/>
    <w:rsid w:val="004E52FA"/>
    <w:rsid w:val="004E5718"/>
    <w:rsid w:val="004E5CE4"/>
    <w:rsid w:val="004E675E"/>
    <w:rsid w:val="004E6AF4"/>
    <w:rsid w:val="004E72CA"/>
    <w:rsid w:val="004E7B54"/>
    <w:rsid w:val="004E7BE1"/>
    <w:rsid w:val="004E7BF9"/>
    <w:rsid w:val="004F054E"/>
    <w:rsid w:val="004F07B4"/>
    <w:rsid w:val="004F0C69"/>
    <w:rsid w:val="004F0EDA"/>
    <w:rsid w:val="004F1219"/>
    <w:rsid w:val="004F34C8"/>
    <w:rsid w:val="004F3800"/>
    <w:rsid w:val="004F4CF7"/>
    <w:rsid w:val="004F5662"/>
    <w:rsid w:val="004F5DE1"/>
    <w:rsid w:val="004F679F"/>
    <w:rsid w:val="004F7F3A"/>
    <w:rsid w:val="005004D6"/>
    <w:rsid w:val="005009FF"/>
    <w:rsid w:val="00500B32"/>
    <w:rsid w:val="00501F53"/>
    <w:rsid w:val="0050299C"/>
    <w:rsid w:val="005038B4"/>
    <w:rsid w:val="0050419E"/>
    <w:rsid w:val="005045D2"/>
    <w:rsid w:val="005059A4"/>
    <w:rsid w:val="00505B1C"/>
    <w:rsid w:val="00506A6A"/>
    <w:rsid w:val="0050714D"/>
    <w:rsid w:val="0050771C"/>
    <w:rsid w:val="00507C12"/>
    <w:rsid w:val="00507CC7"/>
    <w:rsid w:val="005108E5"/>
    <w:rsid w:val="00511A2E"/>
    <w:rsid w:val="00511D14"/>
    <w:rsid w:val="00511E0C"/>
    <w:rsid w:val="00512007"/>
    <w:rsid w:val="00512756"/>
    <w:rsid w:val="0051290B"/>
    <w:rsid w:val="00512A93"/>
    <w:rsid w:val="00513864"/>
    <w:rsid w:val="005152E9"/>
    <w:rsid w:val="00516068"/>
    <w:rsid w:val="00516D83"/>
    <w:rsid w:val="0051708B"/>
    <w:rsid w:val="005170C0"/>
    <w:rsid w:val="0051785E"/>
    <w:rsid w:val="00517C32"/>
    <w:rsid w:val="005202B8"/>
    <w:rsid w:val="00520A54"/>
    <w:rsid w:val="00520C6C"/>
    <w:rsid w:val="00521AE2"/>
    <w:rsid w:val="00521B92"/>
    <w:rsid w:val="005222C9"/>
    <w:rsid w:val="0052364B"/>
    <w:rsid w:val="005237C1"/>
    <w:rsid w:val="00523823"/>
    <w:rsid w:val="00523DE2"/>
    <w:rsid w:val="00523E42"/>
    <w:rsid w:val="005241E9"/>
    <w:rsid w:val="0052448A"/>
    <w:rsid w:val="0052558B"/>
    <w:rsid w:val="005255B5"/>
    <w:rsid w:val="0052564E"/>
    <w:rsid w:val="005269C0"/>
    <w:rsid w:val="00526F6D"/>
    <w:rsid w:val="00530A30"/>
    <w:rsid w:val="00531DD6"/>
    <w:rsid w:val="00532A8A"/>
    <w:rsid w:val="00532FBE"/>
    <w:rsid w:val="00533FE4"/>
    <w:rsid w:val="00534684"/>
    <w:rsid w:val="0053468A"/>
    <w:rsid w:val="00534A4F"/>
    <w:rsid w:val="00534DF5"/>
    <w:rsid w:val="005351B4"/>
    <w:rsid w:val="0053596A"/>
    <w:rsid w:val="005361F2"/>
    <w:rsid w:val="00536647"/>
    <w:rsid w:val="00536707"/>
    <w:rsid w:val="0053686A"/>
    <w:rsid w:val="00536E7A"/>
    <w:rsid w:val="005377F5"/>
    <w:rsid w:val="00537E6F"/>
    <w:rsid w:val="00537E7E"/>
    <w:rsid w:val="0054023E"/>
    <w:rsid w:val="0054037B"/>
    <w:rsid w:val="00540E7D"/>
    <w:rsid w:val="00541586"/>
    <w:rsid w:val="0054237B"/>
    <w:rsid w:val="005426B4"/>
    <w:rsid w:val="00542814"/>
    <w:rsid w:val="00542E34"/>
    <w:rsid w:val="00544168"/>
    <w:rsid w:val="00544731"/>
    <w:rsid w:val="00544D59"/>
    <w:rsid w:val="00546D0E"/>
    <w:rsid w:val="005473F0"/>
    <w:rsid w:val="00547B9A"/>
    <w:rsid w:val="005501BF"/>
    <w:rsid w:val="005506D1"/>
    <w:rsid w:val="00550A23"/>
    <w:rsid w:val="00550F78"/>
    <w:rsid w:val="005510DA"/>
    <w:rsid w:val="00551875"/>
    <w:rsid w:val="005519FA"/>
    <w:rsid w:val="00552B9A"/>
    <w:rsid w:val="00552F56"/>
    <w:rsid w:val="00553583"/>
    <w:rsid w:val="0055392B"/>
    <w:rsid w:val="00553CBE"/>
    <w:rsid w:val="00556610"/>
    <w:rsid w:val="005567F5"/>
    <w:rsid w:val="00556FE0"/>
    <w:rsid w:val="005577AF"/>
    <w:rsid w:val="005602AB"/>
    <w:rsid w:val="00560A9A"/>
    <w:rsid w:val="0056171A"/>
    <w:rsid w:val="0056216A"/>
    <w:rsid w:val="00563B09"/>
    <w:rsid w:val="00563E76"/>
    <w:rsid w:val="005645C1"/>
    <w:rsid w:val="0056468E"/>
    <w:rsid w:val="00564998"/>
    <w:rsid w:val="00565053"/>
    <w:rsid w:val="005656A6"/>
    <w:rsid w:val="00565794"/>
    <w:rsid w:val="00566154"/>
    <w:rsid w:val="00566226"/>
    <w:rsid w:val="00566725"/>
    <w:rsid w:val="00566AD9"/>
    <w:rsid w:val="00567198"/>
    <w:rsid w:val="00567684"/>
    <w:rsid w:val="00570585"/>
    <w:rsid w:val="0057133F"/>
    <w:rsid w:val="00571954"/>
    <w:rsid w:val="005726C1"/>
    <w:rsid w:val="005729EA"/>
    <w:rsid w:val="00572DF5"/>
    <w:rsid w:val="00573203"/>
    <w:rsid w:val="005736EF"/>
    <w:rsid w:val="00573E68"/>
    <w:rsid w:val="00573F20"/>
    <w:rsid w:val="0057417C"/>
    <w:rsid w:val="00574A8F"/>
    <w:rsid w:val="00574C4F"/>
    <w:rsid w:val="00574D49"/>
    <w:rsid w:val="0057650B"/>
    <w:rsid w:val="005769DB"/>
    <w:rsid w:val="005769F4"/>
    <w:rsid w:val="00576A03"/>
    <w:rsid w:val="00577BFB"/>
    <w:rsid w:val="00580961"/>
    <w:rsid w:val="00580A98"/>
    <w:rsid w:val="00580ADD"/>
    <w:rsid w:val="0058102E"/>
    <w:rsid w:val="005819BE"/>
    <w:rsid w:val="00581E8D"/>
    <w:rsid w:val="005825D7"/>
    <w:rsid w:val="00582B9D"/>
    <w:rsid w:val="00583BD5"/>
    <w:rsid w:val="005843A1"/>
    <w:rsid w:val="00584576"/>
    <w:rsid w:val="00584BCD"/>
    <w:rsid w:val="00586079"/>
    <w:rsid w:val="005866A6"/>
    <w:rsid w:val="005869C2"/>
    <w:rsid w:val="0059064F"/>
    <w:rsid w:val="00590799"/>
    <w:rsid w:val="005917EC"/>
    <w:rsid w:val="00592578"/>
    <w:rsid w:val="00592E52"/>
    <w:rsid w:val="00592ED2"/>
    <w:rsid w:val="00593392"/>
    <w:rsid w:val="0059369A"/>
    <w:rsid w:val="00593AEC"/>
    <w:rsid w:val="00593D0F"/>
    <w:rsid w:val="00594207"/>
    <w:rsid w:val="0059420A"/>
    <w:rsid w:val="00594954"/>
    <w:rsid w:val="00594D7B"/>
    <w:rsid w:val="005950CF"/>
    <w:rsid w:val="0059546B"/>
    <w:rsid w:val="00595D9B"/>
    <w:rsid w:val="00596130"/>
    <w:rsid w:val="0059668E"/>
    <w:rsid w:val="00596C63"/>
    <w:rsid w:val="00597751"/>
    <w:rsid w:val="00597793"/>
    <w:rsid w:val="00597C5E"/>
    <w:rsid w:val="005A3136"/>
    <w:rsid w:val="005A33D3"/>
    <w:rsid w:val="005A4527"/>
    <w:rsid w:val="005A48BC"/>
    <w:rsid w:val="005A4C5B"/>
    <w:rsid w:val="005A505A"/>
    <w:rsid w:val="005A61A6"/>
    <w:rsid w:val="005A712F"/>
    <w:rsid w:val="005B0022"/>
    <w:rsid w:val="005B0644"/>
    <w:rsid w:val="005B077C"/>
    <w:rsid w:val="005B10BC"/>
    <w:rsid w:val="005B17B3"/>
    <w:rsid w:val="005B1A4F"/>
    <w:rsid w:val="005B2145"/>
    <w:rsid w:val="005B2252"/>
    <w:rsid w:val="005B24B4"/>
    <w:rsid w:val="005B299D"/>
    <w:rsid w:val="005B2D6C"/>
    <w:rsid w:val="005B30B1"/>
    <w:rsid w:val="005B31C3"/>
    <w:rsid w:val="005B3253"/>
    <w:rsid w:val="005B41F9"/>
    <w:rsid w:val="005B4529"/>
    <w:rsid w:val="005B4DD9"/>
    <w:rsid w:val="005B5A7F"/>
    <w:rsid w:val="005B5BFC"/>
    <w:rsid w:val="005B5CBD"/>
    <w:rsid w:val="005B6349"/>
    <w:rsid w:val="005B640B"/>
    <w:rsid w:val="005B663E"/>
    <w:rsid w:val="005B66A2"/>
    <w:rsid w:val="005B6BC9"/>
    <w:rsid w:val="005B7055"/>
    <w:rsid w:val="005B71AF"/>
    <w:rsid w:val="005B73DC"/>
    <w:rsid w:val="005B7AD6"/>
    <w:rsid w:val="005C042D"/>
    <w:rsid w:val="005C050E"/>
    <w:rsid w:val="005C1480"/>
    <w:rsid w:val="005C239F"/>
    <w:rsid w:val="005C24A3"/>
    <w:rsid w:val="005C3A15"/>
    <w:rsid w:val="005C50DE"/>
    <w:rsid w:val="005C5207"/>
    <w:rsid w:val="005C5CE4"/>
    <w:rsid w:val="005C5EE3"/>
    <w:rsid w:val="005C61D6"/>
    <w:rsid w:val="005C6A76"/>
    <w:rsid w:val="005C7677"/>
    <w:rsid w:val="005C7D90"/>
    <w:rsid w:val="005D03C5"/>
    <w:rsid w:val="005D0AB8"/>
    <w:rsid w:val="005D0C27"/>
    <w:rsid w:val="005D12D6"/>
    <w:rsid w:val="005D1882"/>
    <w:rsid w:val="005D1F82"/>
    <w:rsid w:val="005D2C31"/>
    <w:rsid w:val="005D30D3"/>
    <w:rsid w:val="005D33E4"/>
    <w:rsid w:val="005D4232"/>
    <w:rsid w:val="005D4787"/>
    <w:rsid w:val="005D489B"/>
    <w:rsid w:val="005D49CB"/>
    <w:rsid w:val="005D5144"/>
    <w:rsid w:val="005D5664"/>
    <w:rsid w:val="005D573E"/>
    <w:rsid w:val="005D6D4D"/>
    <w:rsid w:val="005D7159"/>
    <w:rsid w:val="005D7A9A"/>
    <w:rsid w:val="005E0709"/>
    <w:rsid w:val="005E327E"/>
    <w:rsid w:val="005E60F1"/>
    <w:rsid w:val="005E687B"/>
    <w:rsid w:val="005E6CCB"/>
    <w:rsid w:val="005E71B8"/>
    <w:rsid w:val="005E7402"/>
    <w:rsid w:val="005E775E"/>
    <w:rsid w:val="005E7A57"/>
    <w:rsid w:val="005F0C12"/>
    <w:rsid w:val="005F0D36"/>
    <w:rsid w:val="005F104C"/>
    <w:rsid w:val="005F1162"/>
    <w:rsid w:val="005F2A4D"/>
    <w:rsid w:val="005F3EC2"/>
    <w:rsid w:val="005F5B49"/>
    <w:rsid w:val="005F5CE7"/>
    <w:rsid w:val="005F5D2C"/>
    <w:rsid w:val="005F6625"/>
    <w:rsid w:val="005F6B6C"/>
    <w:rsid w:val="005F6E87"/>
    <w:rsid w:val="005F72A3"/>
    <w:rsid w:val="005F7F03"/>
    <w:rsid w:val="0060110F"/>
    <w:rsid w:val="00601B80"/>
    <w:rsid w:val="006023B4"/>
    <w:rsid w:val="00602B0E"/>
    <w:rsid w:val="00602E2B"/>
    <w:rsid w:val="00602E31"/>
    <w:rsid w:val="00603F62"/>
    <w:rsid w:val="0060498A"/>
    <w:rsid w:val="00604BFF"/>
    <w:rsid w:val="00605977"/>
    <w:rsid w:val="00606E0E"/>
    <w:rsid w:val="0060758F"/>
    <w:rsid w:val="00607926"/>
    <w:rsid w:val="00607D7C"/>
    <w:rsid w:val="00610A93"/>
    <w:rsid w:val="00610AFD"/>
    <w:rsid w:val="00611506"/>
    <w:rsid w:val="00611626"/>
    <w:rsid w:val="00611D46"/>
    <w:rsid w:val="006125D9"/>
    <w:rsid w:val="006126B2"/>
    <w:rsid w:val="00612757"/>
    <w:rsid w:val="00612F8C"/>
    <w:rsid w:val="00613845"/>
    <w:rsid w:val="00613D2E"/>
    <w:rsid w:val="00613E8B"/>
    <w:rsid w:val="00613FA5"/>
    <w:rsid w:val="00614868"/>
    <w:rsid w:val="00614ACA"/>
    <w:rsid w:val="00615155"/>
    <w:rsid w:val="00616FF9"/>
    <w:rsid w:val="006170AA"/>
    <w:rsid w:val="006173E9"/>
    <w:rsid w:val="006178FE"/>
    <w:rsid w:val="00617C5C"/>
    <w:rsid w:val="00620181"/>
    <w:rsid w:val="006208ED"/>
    <w:rsid w:val="00620AF0"/>
    <w:rsid w:val="00620E25"/>
    <w:rsid w:val="00621675"/>
    <w:rsid w:val="00621CCD"/>
    <w:rsid w:val="00621E38"/>
    <w:rsid w:val="00622451"/>
    <w:rsid w:val="006224B9"/>
    <w:rsid w:val="00622726"/>
    <w:rsid w:val="00622A03"/>
    <w:rsid w:val="006234EB"/>
    <w:rsid w:val="006235DA"/>
    <w:rsid w:val="00623A66"/>
    <w:rsid w:val="00623A74"/>
    <w:rsid w:val="00623D96"/>
    <w:rsid w:val="00624704"/>
    <w:rsid w:val="00624748"/>
    <w:rsid w:val="00624FB2"/>
    <w:rsid w:val="00625250"/>
    <w:rsid w:val="00625453"/>
    <w:rsid w:val="00625667"/>
    <w:rsid w:val="00625B13"/>
    <w:rsid w:val="00626AAC"/>
    <w:rsid w:val="0062785A"/>
    <w:rsid w:val="00627CDB"/>
    <w:rsid w:val="0063040F"/>
    <w:rsid w:val="00630497"/>
    <w:rsid w:val="0063097E"/>
    <w:rsid w:val="00630DF3"/>
    <w:rsid w:val="00632377"/>
    <w:rsid w:val="006326A7"/>
    <w:rsid w:val="00632ACA"/>
    <w:rsid w:val="00632B46"/>
    <w:rsid w:val="00632F6F"/>
    <w:rsid w:val="00632FE3"/>
    <w:rsid w:val="0063323A"/>
    <w:rsid w:val="0063332E"/>
    <w:rsid w:val="006345EC"/>
    <w:rsid w:val="00634861"/>
    <w:rsid w:val="00634FF4"/>
    <w:rsid w:val="00635117"/>
    <w:rsid w:val="006351FB"/>
    <w:rsid w:val="0063549D"/>
    <w:rsid w:val="00636ACE"/>
    <w:rsid w:val="00636C51"/>
    <w:rsid w:val="00636C72"/>
    <w:rsid w:val="00637181"/>
    <w:rsid w:val="00637C4F"/>
    <w:rsid w:val="006406A0"/>
    <w:rsid w:val="00640A18"/>
    <w:rsid w:val="00640AA4"/>
    <w:rsid w:val="00641BA1"/>
    <w:rsid w:val="00641EA7"/>
    <w:rsid w:val="0064220E"/>
    <w:rsid w:val="0064238C"/>
    <w:rsid w:val="00642804"/>
    <w:rsid w:val="00642A1C"/>
    <w:rsid w:val="00642B54"/>
    <w:rsid w:val="00643DA5"/>
    <w:rsid w:val="00644530"/>
    <w:rsid w:val="0064509E"/>
    <w:rsid w:val="0064512E"/>
    <w:rsid w:val="0064517F"/>
    <w:rsid w:val="00645251"/>
    <w:rsid w:val="00645655"/>
    <w:rsid w:val="00645A18"/>
    <w:rsid w:val="00647889"/>
    <w:rsid w:val="00647DF8"/>
    <w:rsid w:val="00650E8E"/>
    <w:rsid w:val="006514A8"/>
    <w:rsid w:val="00652245"/>
    <w:rsid w:val="00652674"/>
    <w:rsid w:val="006529F9"/>
    <w:rsid w:val="00652DC4"/>
    <w:rsid w:val="00653417"/>
    <w:rsid w:val="006535B1"/>
    <w:rsid w:val="006536E4"/>
    <w:rsid w:val="00653F6A"/>
    <w:rsid w:val="0065465B"/>
    <w:rsid w:val="00654C91"/>
    <w:rsid w:val="006550B5"/>
    <w:rsid w:val="00655DEE"/>
    <w:rsid w:val="00656066"/>
    <w:rsid w:val="006560F9"/>
    <w:rsid w:val="0065620A"/>
    <w:rsid w:val="00656986"/>
    <w:rsid w:val="006572BE"/>
    <w:rsid w:val="00657B3B"/>
    <w:rsid w:val="00660785"/>
    <w:rsid w:val="006608A3"/>
    <w:rsid w:val="006614BF"/>
    <w:rsid w:val="00661CC6"/>
    <w:rsid w:val="0066284B"/>
    <w:rsid w:val="006633F1"/>
    <w:rsid w:val="00663C69"/>
    <w:rsid w:val="00664545"/>
    <w:rsid w:val="00664AD2"/>
    <w:rsid w:val="006660BB"/>
    <w:rsid w:val="0066612E"/>
    <w:rsid w:val="0066615D"/>
    <w:rsid w:val="00666188"/>
    <w:rsid w:val="00666264"/>
    <w:rsid w:val="00666998"/>
    <w:rsid w:val="00670A93"/>
    <w:rsid w:val="00670DD3"/>
    <w:rsid w:val="00671934"/>
    <w:rsid w:val="00671D9D"/>
    <w:rsid w:val="006726AE"/>
    <w:rsid w:val="0067276D"/>
    <w:rsid w:val="006732F0"/>
    <w:rsid w:val="00673B17"/>
    <w:rsid w:val="006748B7"/>
    <w:rsid w:val="00674C51"/>
    <w:rsid w:val="00675234"/>
    <w:rsid w:val="00675CC3"/>
    <w:rsid w:val="0067651A"/>
    <w:rsid w:val="00677010"/>
    <w:rsid w:val="0067718D"/>
    <w:rsid w:val="006772DC"/>
    <w:rsid w:val="00677CCF"/>
    <w:rsid w:val="00680010"/>
    <w:rsid w:val="006800B4"/>
    <w:rsid w:val="006805A9"/>
    <w:rsid w:val="00680B84"/>
    <w:rsid w:val="00682E59"/>
    <w:rsid w:val="00683B20"/>
    <w:rsid w:val="006840C6"/>
    <w:rsid w:val="0068426A"/>
    <w:rsid w:val="00684EF3"/>
    <w:rsid w:val="00684FCC"/>
    <w:rsid w:val="00685216"/>
    <w:rsid w:val="00685373"/>
    <w:rsid w:val="00686AD2"/>
    <w:rsid w:val="00686D24"/>
    <w:rsid w:val="0068752E"/>
    <w:rsid w:val="0069066D"/>
    <w:rsid w:val="0069168B"/>
    <w:rsid w:val="00691FAA"/>
    <w:rsid w:val="00692B24"/>
    <w:rsid w:val="006931BB"/>
    <w:rsid w:val="00693958"/>
    <w:rsid w:val="0069431A"/>
    <w:rsid w:val="006948C6"/>
    <w:rsid w:val="00694B06"/>
    <w:rsid w:val="00695934"/>
    <w:rsid w:val="00696264"/>
    <w:rsid w:val="00696CF6"/>
    <w:rsid w:val="00697305"/>
    <w:rsid w:val="0069798B"/>
    <w:rsid w:val="006A01EE"/>
    <w:rsid w:val="006A0B43"/>
    <w:rsid w:val="006A0D16"/>
    <w:rsid w:val="006A11FE"/>
    <w:rsid w:val="006A1547"/>
    <w:rsid w:val="006A166A"/>
    <w:rsid w:val="006A171F"/>
    <w:rsid w:val="006A239C"/>
    <w:rsid w:val="006A26CC"/>
    <w:rsid w:val="006A35CA"/>
    <w:rsid w:val="006A40F3"/>
    <w:rsid w:val="006A413F"/>
    <w:rsid w:val="006A459B"/>
    <w:rsid w:val="006A45FA"/>
    <w:rsid w:val="006A632C"/>
    <w:rsid w:val="006A6875"/>
    <w:rsid w:val="006A7221"/>
    <w:rsid w:val="006A777D"/>
    <w:rsid w:val="006A7A18"/>
    <w:rsid w:val="006A7B70"/>
    <w:rsid w:val="006B059B"/>
    <w:rsid w:val="006B1337"/>
    <w:rsid w:val="006B1A03"/>
    <w:rsid w:val="006B2282"/>
    <w:rsid w:val="006B2B2E"/>
    <w:rsid w:val="006B2CE0"/>
    <w:rsid w:val="006B3EEC"/>
    <w:rsid w:val="006B4075"/>
    <w:rsid w:val="006B4466"/>
    <w:rsid w:val="006B4943"/>
    <w:rsid w:val="006B5E38"/>
    <w:rsid w:val="006B68CE"/>
    <w:rsid w:val="006B7215"/>
    <w:rsid w:val="006B7DBB"/>
    <w:rsid w:val="006C00EB"/>
    <w:rsid w:val="006C0E84"/>
    <w:rsid w:val="006C0F36"/>
    <w:rsid w:val="006C0FCE"/>
    <w:rsid w:val="006C228F"/>
    <w:rsid w:val="006C232A"/>
    <w:rsid w:val="006C257C"/>
    <w:rsid w:val="006C36DC"/>
    <w:rsid w:val="006C3C7C"/>
    <w:rsid w:val="006C54F1"/>
    <w:rsid w:val="006C63EF"/>
    <w:rsid w:val="006C67CD"/>
    <w:rsid w:val="006C6C83"/>
    <w:rsid w:val="006C753D"/>
    <w:rsid w:val="006C7803"/>
    <w:rsid w:val="006C7860"/>
    <w:rsid w:val="006D05CB"/>
    <w:rsid w:val="006D1540"/>
    <w:rsid w:val="006D380E"/>
    <w:rsid w:val="006D4911"/>
    <w:rsid w:val="006D4A2B"/>
    <w:rsid w:val="006D4CF4"/>
    <w:rsid w:val="006D52C3"/>
    <w:rsid w:val="006D54AE"/>
    <w:rsid w:val="006D55FC"/>
    <w:rsid w:val="006D722D"/>
    <w:rsid w:val="006E00D2"/>
    <w:rsid w:val="006E1B8A"/>
    <w:rsid w:val="006E240D"/>
    <w:rsid w:val="006E2454"/>
    <w:rsid w:val="006E2559"/>
    <w:rsid w:val="006E2C3D"/>
    <w:rsid w:val="006E2C88"/>
    <w:rsid w:val="006E5216"/>
    <w:rsid w:val="006E559F"/>
    <w:rsid w:val="006E5A5A"/>
    <w:rsid w:val="006E5D15"/>
    <w:rsid w:val="006E6024"/>
    <w:rsid w:val="006E62EF"/>
    <w:rsid w:val="006E66B7"/>
    <w:rsid w:val="006E6F5E"/>
    <w:rsid w:val="006E7277"/>
    <w:rsid w:val="006E786A"/>
    <w:rsid w:val="006F011D"/>
    <w:rsid w:val="006F03AC"/>
    <w:rsid w:val="006F072D"/>
    <w:rsid w:val="006F0851"/>
    <w:rsid w:val="006F0E28"/>
    <w:rsid w:val="006F1F39"/>
    <w:rsid w:val="006F3018"/>
    <w:rsid w:val="006F45C9"/>
    <w:rsid w:val="006F4748"/>
    <w:rsid w:val="006F592C"/>
    <w:rsid w:val="006F631D"/>
    <w:rsid w:val="006F6E47"/>
    <w:rsid w:val="00700EB1"/>
    <w:rsid w:val="0070124C"/>
    <w:rsid w:val="007014E2"/>
    <w:rsid w:val="00701634"/>
    <w:rsid w:val="00702905"/>
    <w:rsid w:val="007037F8"/>
    <w:rsid w:val="00703855"/>
    <w:rsid w:val="00703A74"/>
    <w:rsid w:val="00703C2F"/>
    <w:rsid w:val="007040B9"/>
    <w:rsid w:val="007042BD"/>
    <w:rsid w:val="0070442C"/>
    <w:rsid w:val="007048FF"/>
    <w:rsid w:val="00705464"/>
    <w:rsid w:val="00705690"/>
    <w:rsid w:val="00705BBC"/>
    <w:rsid w:val="007063F4"/>
    <w:rsid w:val="00706C71"/>
    <w:rsid w:val="00706CB4"/>
    <w:rsid w:val="00710610"/>
    <w:rsid w:val="007106BD"/>
    <w:rsid w:val="00710CE3"/>
    <w:rsid w:val="00710FAC"/>
    <w:rsid w:val="0071212D"/>
    <w:rsid w:val="00712B01"/>
    <w:rsid w:val="00713E65"/>
    <w:rsid w:val="007140E7"/>
    <w:rsid w:val="007150D8"/>
    <w:rsid w:val="0071543D"/>
    <w:rsid w:val="00715CDF"/>
    <w:rsid w:val="00715E9D"/>
    <w:rsid w:val="00715F85"/>
    <w:rsid w:val="0071696C"/>
    <w:rsid w:val="007170E4"/>
    <w:rsid w:val="00717338"/>
    <w:rsid w:val="0072039D"/>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9C5"/>
    <w:rsid w:val="00726A59"/>
    <w:rsid w:val="00730090"/>
    <w:rsid w:val="0073048A"/>
    <w:rsid w:val="00730F5C"/>
    <w:rsid w:val="00731016"/>
    <w:rsid w:val="00731829"/>
    <w:rsid w:val="007321C3"/>
    <w:rsid w:val="0073234F"/>
    <w:rsid w:val="00732991"/>
    <w:rsid w:val="0073321C"/>
    <w:rsid w:val="00733A59"/>
    <w:rsid w:val="007342D8"/>
    <w:rsid w:val="00735285"/>
    <w:rsid w:val="00735D3D"/>
    <w:rsid w:val="00736342"/>
    <w:rsid w:val="00736631"/>
    <w:rsid w:val="00736699"/>
    <w:rsid w:val="00736D7D"/>
    <w:rsid w:val="007371E1"/>
    <w:rsid w:val="007403C2"/>
    <w:rsid w:val="0074046E"/>
    <w:rsid w:val="00740A73"/>
    <w:rsid w:val="00740E47"/>
    <w:rsid w:val="0074103D"/>
    <w:rsid w:val="007411DF"/>
    <w:rsid w:val="00741BE6"/>
    <w:rsid w:val="00742854"/>
    <w:rsid w:val="00742BB5"/>
    <w:rsid w:val="00742C28"/>
    <w:rsid w:val="00742DAB"/>
    <w:rsid w:val="007438B7"/>
    <w:rsid w:val="00743A06"/>
    <w:rsid w:val="00743B02"/>
    <w:rsid w:val="00744A07"/>
    <w:rsid w:val="007450A6"/>
    <w:rsid w:val="0074577E"/>
    <w:rsid w:val="00745B82"/>
    <w:rsid w:val="00746CE6"/>
    <w:rsid w:val="00747E72"/>
    <w:rsid w:val="00747ED2"/>
    <w:rsid w:val="0075029B"/>
    <w:rsid w:val="0075106D"/>
    <w:rsid w:val="00751578"/>
    <w:rsid w:val="007515C3"/>
    <w:rsid w:val="0075287F"/>
    <w:rsid w:val="00753D85"/>
    <w:rsid w:val="00753F0A"/>
    <w:rsid w:val="00754573"/>
    <w:rsid w:val="00754DDA"/>
    <w:rsid w:val="007557CD"/>
    <w:rsid w:val="00755904"/>
    <w:rsid w:val="00756AF8"/>
    <w:rsid w:val="00756D64"/>
    <w:rsid w:val="007570C7"/>
    <w:rsid w:val="00760FBF"/>
    <w:rsid w:val="007614B7"/>
    <w:rsid w:val="0076172C"/>
    <w:rsid w:val="0076241E"/>
    <w:rsid w:val="0076315A"/>
    <w:rsid w:val="0076329F"/>
    <w:rsid w:val="00763D17"/>
    <w:rsid w:val="007640A2"/>
    <w:rsid w:val="00764527"/>
    <w:rsid w:val="00764EA3"/>
    <w:rsid w:val="007651B7"/>
    <w:rsid w:val="00765E2C"/>
    <w:rsid w:val="0076679F"/>
    <w:rsid w:val="0076701A"/>
    <w:rsid w:val="0076743E"/>
    <w:rsid w:val="00767693"/>
    <w:rsid w:val="007703B8"/>
    <w:rsid w:val="00770A44"/>
    <w:rsid w:val="00770B61"/>
    <w:rsid w:val="00770C07"/>
    <w:rsid w:val="00771589"/>
    <w:rsid w:val="00772082"/>
    <w:rsid w:val="0077389C"/>
    <w:rsid w:val="00774A5E"/>
    <w:rsid w:val="007757FD"/>
    <w:rsid w:val="00777A2C"/>
    <w:rsid w:val="00777A42"/>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4809"/>
    <w:rsid w:val="00785271"/>
    <w:rsid w:val="00785287"/>
    <w:rsid w:val="00786B38"/>
    <w:rsid w:val="00787740"/>
    <w:rsid w:val="00787CB7"/>
    <w:rsid w:val="00791357"/>
    <w:rsid w:val="00791C49"/>
    <w:rsid w:val="00791D83"/>
    <w:rsid w:val="007927F6"/>
    <w:rsid w:val="00792DBA"/>
    <w:rsid w:val="00792F86"/>
    <w:rsid w:val="0079317D"/>
    <w:rsid w:val="00793622"/>
    <w:rsid w:val="00793B0A"/>
    <w:rsid w:val="00793CD4"/>
    <w:rsid w:val="00794B84"/>
    <w:rsid w:val="00794D44"/>
    <w:rsid w:val="0079569A"/>
    <w:rsid w:val="00795798"/>
    <w:rsid w:val="00795DFA"/>
    <w:rsid w:val="00796754"/>
    <w:rsid w:val="00796A68"/>
    <w:rsid w:val="00797078"/>
    <w:rsid w:val="00797E86"/>
    <w:rsid w:val="007A0160"/>
    <w:rsid w:val="007A0453"/>
    <w:rsid w:val="007A1456"/>
    <w:rsid w:val="007A1F6E"/>
    <w:rsid w:val="007A30C9"/>
    <w:rsid w:val="007A3268"/>
    <w:rsid w:val="007A35A9"/>
    <w:rsid w:val="007A3859"/>
    <w:rsid w:val="007A5215"/>
    <w:rsid w:val="007A62B7"/>
    <w:rsid w:val="007A678E"/>
    <w:rsid w:val="007A679B"/>
    <w:rsid w:val="007A6842"/>
    <w:rsid w:val="007A68D8"/>
    <w:rsid w:val="007A70B5"/>
    <w:rsid w:val="007B0926"/>
    <w:rsid w:val="007B24FE"/>
    <w:rsid w:val="007B2F4E"/>
    <w:rsid w:val="007B2F6F"/>
    <w:rsid w:val="007B32BD"/>
    <w:rsid w:val="007B3D3F"/>
    <w:rsid w:val="007B3F45"/>
    <w:rsid w:val="007B4BCD"/>
    <w:rsid w:val="007B4E6F"/>
    <w:rsid w:val="007B5049"/>
    <w:rsid w:val="007B52B5"/>
    <w:rsid w:val="007B5766"/>
    <w:rsid w:val="007B5895"/>
    <w:rsid w:val="007B5AA4"/>
    <w:rsid w:val="007B6278"/>
    <w:rsid w:val="007B6852"/>
    <w:rsid w:val="007B6B82"/>
    <w:rsid w:val="007C0434"/>
    <w:rsid w:val="007C04D2"/>
    <w:rsid w:val="007C0BC0"/>
    <w:rsid w:val="007C1D4B"/>
    <w:rsid w:val="007C2266"/>
    <w:rsid w:val="007C2EB9"/>
    <w:rsid w:val="007C333A"/>
    <w:rsid w:val="007C4F76"/>
    <w:rsid w:val="007C54BA"/>
    <w:rsid w:val="007C64D4"/>
    <w:rsid w:val="007C6FAF"/>
    <w:rsid w:val="007C71F7"/>
    <w:rsid w:val="007D046A"/>
    <w:rsid w:val="007D0EFA"/>
    <w:rsid w:val="007D0FD1"/>
    <w:rsid w:val="007D1B65"/>
    <w:rsid w:val="007D1B6D"/>
    <w:rsid w:val="007D3542"/>
    <w:rsid w:val="007D37CE"/>
    <w:rsid w:val="007D4713"/>
    <w:rsid w:val="007D4BC7"/>
    <w:rsid w:val="007D4CB7"/>
    <w:rsid w:val="007D50C1"/>
    <w:rsid w:val="007D5369"/>
    <w:rsid w:val="007D5E9B"/>
    <w:rsid w:val="007D6419"/>
    <w:rsid w:val="007D727C"/>
    <w:rsid w:val="007D7546"/>
    <w:rsid w:val="007E02A9"/>
    <w:rsid w:val="007E0368"/>
    <w:rsid w:val="007E04C0"/>
    <w:rsid w:val="007E04FF"/>
    <w:rsid w:val="007E06D7"/>
    <w:rsid w:val="007E1359"/>
    <w:rsid w:val="007E138A"/>
    <w:rsid w:val="007E24A5"/>
    <w:rsid w:val="007E2BE4"/>
    <w:rsid w:val="007E3816"/>
    <w:rsid w:val="007E38AD"/>
    <w:rsid w:val="007E4B6E"/>
    <w:rsid w:val="007E59AC"/>
    <w:rsid w:val="007E5ADC"/>
    <w:rsid w:val="007E6172"/>
    <w:rsid w:val="007E7427"/>
    <w:rsid w:val="007E74DF"/>
    <w:rsid w:val="007F038B"/>
    <w:rsid w:val="007F125D"/>
    <w:rsid w:val="007F149D"/>
    <w:rsid w:val="007F1664"/>
    <w:rsid w:val="007F1D22"/>
    <w:rsid w:val="007F236F"/>
    <w:rsid w:val="007F2478"/>
    <w:rsid w:val="007F3046"/>
    <w:rsid w:val="007F34DA"/>
    <w:rsid w:val="007F3838"/>
    <w:rsid w:val="007F3FBC"/>
    <w:rsid w:val="007F40C3"/>
    <w:rsid w:val="007F4D90"/>
    <w:rsid w:val="007F5229"/>
    <w:rsid w:val="007F53C2"/>
    <w:rsid w:val="007F545D"/>
    <w:rsid w:val="007F55A2"/>
    <w:rsid w:val="007F55C2"/>
    <w:rsid w:val="007F6752"/>
    <w:rsid w:val="007F7300"/>
    <w:rsid w:val="007F7859"/>
    <w:rsid w:val="007F7F25"/>
    <w:rsid w:val="007F7FAB"/>
    <w:rsid w:val="00800676"/>
    <w:rsid w:val="00800D37"/>
    <w:rsid w:val="0080116D"/>
    <w:rsid w:val="008020EE"/>
    <w:rsid w:val="008021E8"/>
    <w:rsid w:val="008023BA"/>
    <w:rsid w:val="008037D1"/>
    <w:rsid w:val="00803F90"/>
    <w:rsid w:val="008054A7"/>
    <w:rsid w:val="00805780"/>
    <w:rsid w:val="008059C9"/>
    <w:rsid w:val="00805BCD"/>
    <w:rsid w:val="00805C17"/>
    <w:rsid w:val="008061B7"/>
    <w:rsid w:val="00806535"/>
    <w:rsid w:val="00806E28"/>
    <w:rsid w:val="0080770B"/>
    <w:rsid w:val="00807A33"/>
    <w:rsid w:val="00810172"/>
    <w:rsid w:val="00810319"/>
    <w:rsid w:val="008104B9"/>
    <w:rsid w:val="0081155A"/>
    <w:rsid w:val="00812C79"/>
    <w:rsid w:val="008136C4"/>
    <w:rsid w:val="00814137"/>
    <w:rsid w:val="008141A4"/>
    <w:rsid w:val="00814CAA"/>
    <w:rsid w:val="00814FF5"/>
    <w:rsid w:val="0081563A"/>
    <w:rsid w:val="008161F8"/>
    <w:rsid w:val="0081747F"/>
    <w:rsid w:val="00817683"/>
    <w:rsid w:val="00817D9B"/>
    <w:rsid w:val="00817DEB"/>
    <w:rsid w:val="00820F31"/>
    <w:rsid w:val="00822A87"/>
    <w:rsid w:val="00822AA6"/>
    <w:rsid w:val="0082318B"/>
    <w:rsid w:val="0082343A"/>
    <w:rsid w:val="008241F5"/>
    <w:rsid w:val="008242C1"/>
    <w:rsid w:val="0082536F"/>
    <w:rsid w:val="0082545E"/>
    <w:rsid w:val="00825AF5"/>
    <w:rsid w:val="00825D94"/>
    <w:rsid w:val="00826AB0"/>
    <w:rsid w:val="00826C30"/>
    <w:rsid w:val="00827E4C"/>
    <w:rsid w:val="008302DE"/>
    <w:rsid w:val="00830703"/>
    <w:rsid w:val="00831745"/>
    <w:rsid w:val="00831DF0"/>
    <w:rsid w:val="00832D59"/>
    <w:rsid w:val="0083414B"/>
    <w:rsid w:val="0083487B"/>
    <w:rsid w:val="008348F1"/>
    <w:rsid w:val="0083499B"/>
    <w:rsid w:val="00834DB5"/>
    <w:rsid w:val="0083508C"/>
    <w:rsid w:val="00835149"/>
    <w:rsid w:val="008360D8"/>
    <w:rsid w:val="008364C1"/>
    <w:rsid w:val="00836F85"/>
    <w:rsid w:val="00837796"/>
    <w:rsid w:val="0084036B"/>
    <w:rsid w:val="0084126F"/>
    <w:rsid w:val="0084174A"/>
    <w:rsid w:val="008418E0"/>
    <w:rsid w:val="00841D19"/>
    <w:rsid w:val="00841F40"/>
    <w:rsid w:val="00841F58"/>
    <w:rsid w:val="00842810"/>
    <w:rsid w:val="00844C15"/>
    <w:rsid w:val="0084516D"/>
    <w:rsid w:val="0084524C"/>
    <w:rsid w:val="008453CD"/>
    <w:rsid w:val="008455DB"/>
    <w:rsid w:val="008459F8"/>
    <w:rsid w:val="00846594"/>
    <w:rsid w:val="00846769"/>
    <w:rsid w:val="00846C7B"/>
    <w:rsid w:val="0084757D"/>
    <w:rsid w:val="008519AE"/>
    <w:rsid w:val="008521D3"/>
    <w:rsid w:val="00852729"/>
    <w:rsid w:val="00852882"/>
    <w:rsid w:val="00852A9E"/>
    <w:rsid w:val="00853A4C"/>
    <w:rsid w:val="00854560"/>
    <w:rsid w:val="00854FF6"/>
    <w:rsid w:val="00855FF1"/>
    <w:rsid w:val="00856A40"/>
    <w:rsid w:val="00860150"/>
    <w:rsid w:val="00861747"/>
    <w:rsid w:val="00861E38"/>
    <w:rsid w:val="00861E93"/>
    <w:rsid w:val="00862588"/>
    <w:rsid w:val="0086292B"/>
    <w:rsid w:val="008630A5"/>
    <w:rsid w:val="0086326B"/>
    <w:rsid w:val="0086337A"/>
    <w:rsid w:val="0086381F"/>
    <w:rsid w:val="008639EC"/>
    <w:rsid w:val="00863B8A"/>
    <w:rsid w:val="00863F4D"/>
    <w:rsid w:val="0086454A"/>
    <w:rsid w:val="0086613D"/>
    <w:rsid w:val="008661BB"/>
    <w:rsid w:val="008664DB"/>
    <w:rsid w:val="0086721C"/>
    <w:rsid w:val="00867513"/>
    <w:rsid w:val="008678FF"/>
    <w:rsid w:val="00867A2E"/>
    <w:rsid w:val="00867AA4"/>
    <w:rsid w:val="00867D45"/>
    <w:rsid w:val="00870FD0"/>
    <w:rsid w:val="008718F5"/>
    <w:rsid w:val="00871911"/>
    <w:rsid w:val="00872206"/>
    <w:rsid w:val="00872619"/>
    <w:rsid w:val="0087285D"/>
    <w:rsid w:val="00872E38"/>
    <w:rsid w:val="00873579"/>
    <w:rsid w:val="00874601"/>
    <w:rsid w:val="00875338"/>
    <w:rsid w:val="008757A1"/>
    <w:rsid w:val="00875896"/>
    <w:rsid w:val="00875F81"/>
    <w:rsid w:val="0087618F"/>
    <w:rsid w:val="008769B9"/>
    <w:rsid w:val="00877314"/>
    <w:rsid w:val="008776CF"/>
    <w:rsid w:val="008776E9"/>
    <w:rsid w:val="00877BA5"/>
    <w:rsid w:val="00877C91"/>
    <w:rsid w:val="00880216"/>
    <w:rsid w:val="00880A14"/>
    <w:rsid w:val="00880D8F"/>
    <w:rsid w:val="0088121F"/>
    <w:rsid w:val="00881462"/>
    <w:rsid w:val="008817D6"/>
    <w:rsid w:val="00881DC3"/>
    <w:rsid w:val="00882AF8"/>
    <w:rsid w:val="00883D8B"/>
    <w:rsid w:val="00884037"/>
    <w:rsid w:val="00884116"/>
    <w:rsid w:val="00884215"/>
    <w:rsid w:val="0088494D"/>
    <w:rsid w:val="00885933"/>
    <w:rsid w:val="00885D37"/>
    <w:rsid w:val="0088712E"/>
    <w:rsid w:val="00887AC6"/>
    <w:rsid w:val="008908ED"/>
    <w:rsid w:val="00890BE3"/>
    <w:rsid w:val="00890EEB"/>
    <w:rsid w:val="008917F3"/>
    <w:rsid w:val="008919AA"/>
    <w:rsid w:val="00891B28"/>
    <w:rsid w:val="0089294E"/>
    <w:rsid w:val="00893406"/>
    <w:rsid w:val="008936F8"/>
    <w:rsid w:val="00893742"/>
    <w:rsid w:val="00893FF1"/>
    <w:rsid w:val="00895CE6"/>
    <w:rsid w:val="00896AE1"/>
    <w:rsid w:val="00896F18"/>
    <w:rsid w:val="00896F61"/>
    <w:rsid w:val="00897B3C"/>
    <w:rsid w:val="008A018F"/>
    <w:rsid w:val="008A042B"/>
    <w:rsid w:val="008A0B88"/>
    <w:rsid w:val="008A1972"/>
    <w:rsid w:val="008A27AC"/>
    <w:rsid w:val="008A4273"/>
    <w:rsid w:val="008A4353"/>
    <w:rsid w:val="008A46AB"/>
    <w:rsid w:val="008A55DD"/>
    <w:rsid w:val="008A59F9"/>
    <w:rsid w:val="008A65AE"/>
    <w:rsid w:val="008A6831"/>
    <w:rsid w:val="008A70B4"/>
    <w:rsid w:val="008A75C1"/>
    <w:rsid w:val="008A7BDE"/>
    <w:rsid w:val="008A7F7B"/>
    <w:rsid w:val="008B03DD"/>
    <w:rsid w:val="008B0FEF"/>
    <w:rsid w:val="008B1BA3"/>
    <w:rsid w:val="008B279D"/>
    <w:rsid w:val="008B2B07"/>
    <w:rsid w:val="008B3284"/>
    <w:rsid w:val="008B357C"/>
    <w:rsid w:val="008B3B6D"/>
    <w:rsid w:val="008B3CAF"/>
    <w:rsid w:val="008B41DC"/>
    <w:rsid w:val="008B458D"/>
    <w:rsid w:val="008B49C0"/>
    <w:rsid w:val="008B4BA1"/>
    <w:rsid w:val="008B5359"/>
    <w:rsid w:val="008B5B56"/>
    <w:rsid w:val="008B6480"/>
    <w:rsid w:val="008B7A62"/>
    <w:rsid w:val="008C0913"/>
    <w:rsid w:val="008C1D53"/>
    <w:rsid w:val="008C3454"/>
    <w:rsid w:val="008C5832"/>
    <w:rsid w:val="008C5944"/>
    <w:rsid w:val="008C5C03"/>
    <w:rsid w:val="008C5DAD"/>
    <w:rsid w:val="008C5F0F"/>
    <w:rsid w:val="008C66C6"/>
    <w:rsid w:val="008C6EDC"/>
    <w:rsid w:val="008C7458"/>
    <w:rsid w:val="008C758D"/>
    <w:rsid w:val="008C76F3"/>
    <w:rsid w:val="008C7A3B"/>
    <w:rsid w:val="008D0307"/>
    <w:rsid w:val="008D0903"/>
    <w:rsid w:val="008D1B7B"/>
    <w:rsid w:val="008D1DAE"/>
    <w:rsid w:val="008D1F14"/>
    <w:rsid w:val="008D201B"/>
    <w:rsid w:val="008D26AC"/>
    <w:rsid w:val="008D275C"/>
    <w:rsid w:val="008D2837"/>
    <w:rsid w:val="008D2936"/>
    <w:rsid w:val="008D2D7B"/>
    <w:rsid w:val="008D2EE8"/>
    <w:rsid w:val="008D3D81"/>
    <w:rsid w:val="008D41BD"/>
    <w:rsid w:val="008D454B"/>
    <w:rsid w:val="008D48F4"/>
    <w:rsid w:val="008D4A9B"/>
    <w:rsid w:val="008D50EC"/>
    <w:rsid w:val="008D680F"/>
    <w:rsid w:val="008D689D"/>
    <w:rsid w:val="008D6D8A"/>
    <w:rsid w:val="008D70E0"/>
    <w:rsid w:val="008D7D00"/>
    <w:rsid w:val="008E05E2"/>
    <w:rsid w:val="008E06FE"/>
    <w:rsid w:val="008E0F01"/>
    <w:rsid w:val="008E0F09"/>
    <w:rsid w:val="008E177D"/>
    <w:rsid w:val="008E2947"/>
    <w:rsid w:val="008E3619"/>
    <w:rsid w:val="008E44A2"/>
    <w:rsid w:val="008E47E7"/>
    <w:rsid w:val="008E4E2B"/>
    <w:rsid w:val="008E59EE"/>
    <w:rsid w:val="008E73F7"/>
    <w:rsid w:val="008E7750"/>
    <w:rsid w:val="008F1FB1"/>
    <w:rsid w:val="008F24B9"/>
    <w:rsid w:val="008F24F0"/>
    <w:rsid w:val="008F2708"/>
    <w:rsid w:val="008F2AF7"/>
    <w:rsid w:val="008F2BD9"/>
    <w:rsid w:val="008F3593"/>
    <w:rsid w:val="008F3896"/>
    <w:rsid w:val="008F3CC2"/>
    <w:rsid w:val="008F4E37"/>
    <w:rsid w:val="008F4F48"/>
    <w:rsid w:val="008F50E3"/>
    <w:rsid w:val="008F59B3"/>
    <w:rsid w:val="008F5E63"/>
    <w:rsid w:val="008F5F9F"/>
    <w:rsid w:val="008F6095"/>
    <w:rsid w:val="008F6DEF"/>
    <w:rsid w:val="008F7CE3"/>
    <w:rsid w:val="008F7F2D"/>
    <w:rsid w:val="0090059D"/>
    <w:rsid w:val="00900B26"/>
    <w:rsid w:val="009027A1"/>
    <w:rsid w:val="00902E0B"/>
    <w:rsid w:val="00903217"/>
    <w:rsid w:val="00903CE6"/>
    <w:rsid w:val="009052A0"/>
    <w:rsid w:val="00905660"/>
    <w:rsid w:val="0090583B"/>
    <w:rsid w:val="0090642C"/>
    <w:rsid w:val="00906EE6"/>
    <w:rsid w:val="009101F4"/>
    <w:rsid w:val="00910369"/>
    <w:rsid w:val="0091056F"/>
    <w:rsid w:val="00910E9E"/>
    <w:rsid w:val="00910F70"/>
    <w:rsid w:val="009113FE"/>
    <w:rsid w:val="00911B23"/>
    <w:rsid w:val="00911CB2"/>
    <w:rsid w:val="00912BCC"/>
    <w:rsid w:val="00913E96"/>
    <w:rsid w:val="009141DA"/>
    <w:rsid w:val="0091449E"/>
    <w:rsid w:val="009144DE"/>
    <w:rsid w:val="0091462B"/>
    <w:rsid w:val="00914DEE"/>
    <w:rsid w:val="00914F40"/>
    <w:rsid w:val="0091557A"/>
    <w:rsid w:val="009155CD"/>
    <w:rsid w:val="00915CB8"/>
    <w:rsid w:val="00915F38"/>
    <w:rsid w:val="0091657B"/>
    <w:rsid w:val="009166CC"/>
    <w:rsid w:val="00916ABE"/>
    <w:rsid w:val="00916CCA"/>
    <w:rsid w:val="00916D99"/>
    <w:rsid w:val="00916E62"/>
    <w:rsid w:val="009171FF"/>
    <w:rsid w:val="00917272"/>
    <w:rsid w:val="0091749A"/>
    <w:rsid w:val="009209A0"/>
    <w:rsid w:val="00920A0A"/>
    <w:rsid w:val="00920B55"/>
    <w:rsid w:val="0092121C"/>
    <w:rsid w:val="0092202D"/>
    <w:rsid w:val="00923EB9"/>
    <w:rsid w:val="009247BD"/>
    <w:rsid w:val="00924BF1"/>
    <w:rsid w:val="009256C9"/>
    <w:rsid w:val="009257C6"/>
    <w:rsid w:val="009258EB"/>
    <w:rsid w:val="00926002"/>
    <w:rsid w:val="00926345"/>
    <w:rsid w:val="009269A2"/>
    <w:rsid w:val="00926F0E"/>
    <w:rsid w:val="00927420"/>
    <w:rsid w:val="00927507"/>
    <w:rsid w:val="00927A87"/>
    <w:rsid w:val="009300AA"/>
    <w:rsid w:val="009303B2"/>
    <w:rsid w:val="0093282C"/>
    <w:rsid w:val="00932A18"/>
    <w:rsid w:val="00932A19"/>
    <w:rsid w:val="00932DBC"/>
    <w:rsid w:val="00933956"/>
    <w:rsid w:val="00933F95"/>
    <w:rsid w:val="00934371"/>
    <w:rsid w:val="009349A8"/>
    <w:rsid w:val="00934AEE"/>
    <w:rsid w:val="00935308"/>
    <w:rsid w:val="0093532F"/>
    <w:rsid w:val="009353AE"/>
    <w:rsid w:val="00935A3B"/>
    <w:rsid w:val="00935DFF"/>
    <w:rsid w:val="009360E1"/>
    <w:rsid w:val="00936134"/>
    <w:rsid w:val="00936605"/>
    <w:rsid w:val="00936FFA"/>
    <w:rsid w:val="00937AAA"/>
    <w:rsid w:val="00937B16"/>
    <w:rsid w:val="00937DA7"/>
    <w:rsid w:val="00937F98"/>
    <w:rsid w:val="009410CC"/>
    <w:rsid w:val="00941272"/>
    <w:rsid w:val="00941AA1"/>
    <w:rsid w:val="00941B43"/>
    <w:rsid w:val="00941CF9"/>
    <w:rsid w:val="00941DCD"/>
    <w:rsid w:val="009421EE"/>
    <w:rsid w:val="0094228D"/>
    <w:rsid w:val="0094298B"/>
    <w:rsid w:val="009432E8"/>
    <w:rsid w:val="00943AF1"/>
    <w:rsid w:val="00943ED3"/>
    <w:rsid w:val="009443DD"/>
    <w:rsid w:val="00944424"/>
    <w:rsid w:val="009448F3"/>
    <w:rsid w:val="00944A8C"/>
    <w:rsid w:val="00944B2C"/>
    <w:rsid w:val="00944F72"/>
    <w:rsid w:val="00945612"/>
    <w:rsid w:val="009456B2"/>
    <w:rsid w:val="00946E2A"/>
    <w:rsid w:val="0094706E"/>
    <w:rsid w:val="009470AF"/>
    <w:rsid w:val="00947238"/>
    <w:rsid w:val="009474A4"/>
    <w:rsid w:val="0094770F"/>
    <w:rsid w:val="00947AB3"/>
    <w:rsid w:val="00950580"/>
    <w:rsid w:val="009506CF"/>
    <w:rsid w:val="00950D3F"/>
    <w:rsid w:val="00950F07"/>
    <w:rsid w:val="00951829"/>
    <w:rsid w:val="009519B5"/>
    <w:rsid w:val="00951A7C"/>
    <w:rsid w:val="00952A0F"/>
    <w:rsid w:val="00952F28"/>
    <w:rsid w:val="00952FA1"/>
    <w:rsid w:val="009538B8"/>
    <w:rsid w:val="00953E57"/>
    <w:rsid w:val="00953EE6"/>
    <w:rsid w:val="009540CA"/>
    <w:rsid w:val="00954794"/>
    <w:rsid w:val="00954FF0"/>
    <w:rsid w:val="00955361"/>
    <w:rsid w:val="00957070"/>
    <w:rsid w:val="00957797"/>
    <w:rsid w:val="009579A2"/>
    <w:rsid w:val="0096030C"/>
    <w:rsid w:val="00960751"/>
    <w:rsid w:val="00960C5A"/>
    <w:rsid w:val="00960EA5"/>
    <w:rsid w:val="009614ED"/>
    <w:rsid w:val="00961952"/>
    <w:rsid w:val="00961D3D"/>
    <w:rsid w:val="00962260"/>
    <w:rsid w:val="009622D2"/>
    <w:rsid w:val="0096341F"/>
    <w:rsid w:val="00965833"/>
    <w:rsid w:val="009658F1"/>
    <w:rsid w:val="00965BAB"/>
    <w:rsid w:val="00965DE5"/>
    <w:rsid w:val="0096635B"/>
    <w:rsid w:val="009663CA"/>
    <w:rsid w:val="00966842"/>
    <w:rsid w:val="0096718F"/>
    <w:rsid w:val="00967653"/>
    <w:rsid w:val="00967A84"/>
    <w:rsid w:val="00967CA5"/>
    <w:rsid w:val="0097043C"/>
    <w:rsid w:val="009709F4"/>
    <w:rsid w:val="00970DC6"/>
    <w:rsid w:val="00971C2C"/>
    <w:rsid w:val="009724A0"/>
    <w:rsid w:val="0097283F"/>
    <w:rsid w:val="00973F52"/>
    <w:rsid w:val="00974429"/>
    <w:rsid w:val="00974C89"/>
    <w:rsid w:val="00974C91"/>
    <w:rsid w:val="009753F4"/>
    <w:rsid w:val="009759FB"/>
    <w:rsid w:val="0097618B"/>
    <w:rsid w:val="009767C2"/>
    <w:rsid w:val="00976E1B"/>
    <w:rsid w:val="00977326"/>
    <w:rsid w:val="009773A0"/>
    <w:rsid w:val="0097741A"/>
    <w:rsid w:val="00977455"/>
    <w:rsid w:val="00977B38"/>
    <w:rsid w:val="00977F35"/>
    <w:rsid w:val="00980965"/>
    <w:rsid w:val="009822E7"/>
    <w:rsid w:val="00982AA7"/>
    <w:rsid w:val="009832F1"/>
    <w:rsid w:val="0098434F"/>
    <w:rsid w:val="009843EC"/>
    <w:rsid w:val="00984D83"/>
    <w:rsid w:val="00984DBE"/>
    <w:rsid w:val="009851CA"/>
    <w:rsid w:val="00985C2B"/>
    <w:rsid w:val="00986B05"/>
    <w:rsid w:val="0099158C"/>
    <w:rsid w:val="00991FAF"/>
    <w:rsid w:val="0099227C"/>
    <w:rsid w:val="0099286C"/>
    <w:rsid w:val="00992BBC"/>
    <w:rsid w:val="00993E68"/>
    <w:rsid w:val="009958C4"/>
    <w:rsid w:val="00995E22"/>
    <w:rsid w:val="00995FD4"/>
    <w:rsid w:val="009963F2"/>
    <w:rsid w:val="00996B70"/>
    <w:rsid w:val="009970DB"/>
    <w:rsid w:val="00997842"/>
    <w:rsid w:val="00997EAE"/>
    <w:rsid w:val="009A015D"/>
    <w:rsid w:val="009A097F"/>
    <w:rsid w:val="009A11D5"/>
    <w:rsid w:val="009A25A2"/>
    <w:rsid w:val="009A26E1"/>
    <w:rsid w:val="009A2F2F"/>
    <w:rsid w:val="009A2F5E"/>
    <w:rsid w:val="009A33A4"/>
    <w:rsid w:val="009A38F1"/>
    <w:rsid w:val="009A4C14"/>
    <w:rsid w:val="009A5BF6"/>
    <w:rsid w:val="009A5E79"/>
    <w:rsid w:val="009A65ED"/>
    <w:rsid w:val="009A7049"/>
    <w:rsid w:val="009A769F"/>
    <w:rsid w:val="009A7E95"/>
    <w:rsid w:val="009B05B4"/>
    <w:rsid w:val="009B0E0D"/>
    <w:rsid w:val="009B1444"/>
    <w:rsid w:val="009B19B1"/>
    <w:rsid w:val="009B296C"/>
    <w:rsid w:val="009B2976"/>
    <w:rsid w:val="009B2C85"/>
    <w:rsid w:val="009B2CD5"/>
    <w:rsid w:val="009B3443"/>
    <w:rsid w:val="009B3758"/>
    <w:rsid w:val="009B5171"/>
    <w:rsid w:val="009B523E"/>
    <w:rsid w:val="009B56D9"/>
    <w:rsid w:val="009B586D"/>
    <w:rsid w:val="009B59E1"/>
    <w:rsid w:val="009B65EA"/>
    <w:rsid w:val="009B67E7"/>
    <w:rsid w:val="009B6BFC"/>
    <w:rsid w:val="009B6F92"/>
    <w:rsid w:val="009B73B4"/>
    <w:rsid w:val="009C14FD"/>
    <w:rsid w:val="009C1B03"/>
    <w:rsid w:val="009C1B45"/>
    <w:rsid w:val="009C1C76"/>
    <w:rsid w:val="009C2235"/>
    <w:rsid w:val="009C2B8F"/>
    <w:rsid w:val="009C2E16"/>
    <w:rsid w:val="009C322F"/>
    <w:rsid w:val="009C3E5D"/>
    <w:rsid w:val="009C435F"/>
    <w:rsid w:val="009C4EEC"/>
    <w:rsid w:val="009C51A7"/>
    <w:rsid w:val="009C526D"/>
    <w:rsid w:val="009C7136"/>
    <w:rsid w:val="009C731D"/>
    <w:rsid w:val="009C7BFF"/>
    <w:rsid w:val="009D03EF"/>
    <w:rsid w:val="009D0B28"/>
    <w:rsid w:val="009D1087"/>
    <w:rsid w:val="009D1491"/>
    <w:rsid w:val="009D1517"/>
    <w:rsid w:val="009D1A99"/>
    <w:rsid w:val="009D294D"/>
    <w:rsid w:val="009D33DE"/>
    <w:rsid w:val="009D3989"/>
    <w:rsid w:val="009D3B7E"/>
    <w:rsid w:val="009D4452"/>
    <w:rsid w:val="009D53C8"/>
    <w:rsid w:val="009D62B1"/>
    <w:rsid w:val="009D671C"/>
    <w:rsid w:val="009D6AD9"/>
    <w:rsid w:val="009D6CD6"/>
    <w:rsid w:val="009D7341"/>
    <w:rsid w:val="009D7E09"/>
    <w:rsid w:val="009D7F04"/>
    <w:rsid w:val="009E1265"/>
    <w:rsid w:val="009E159D"/>
    <w:rsid w:val="009E177E"/>
    <w:rsid w:val="009E2A92"/>
    <w:rsid w:val="009E3AD9"/>
    <w:rsid w:val="009E4A32"/>
    <w:rsid w:val="009E529F"/>
    <w:rsid w:val="009E5944"/>
    <w:rsid w:val="009E5C5F"/>
    <w:rsid w:val="009E62D9"/>
    <w:rsid w:val="009E6663"/>
    <w:rsid w:val="009E669D"/>
    <w:rsid w:val="009E702C"/>
    <w:rsid w:val="009E74E6"/>
    <w:rsid w:val="009E7AA9"/>
    <w:rsid w:val="009F0AC6"/>
    <w:rsid w:val="009F16FE"/>
    <w:rsid w:val="009F17C4"/>
    <w:rsid w:val="009F1D9B"/>
    <w:rsid w:val="009F2495"/>
    <w:rsid w:val="009F3728"/>
    <w:rsid w:val="009F3D98"/>
    <w:rsid w:val="009F3EC9"/>
    <w:rsid w:val="009F410C"/>
    <w:rsid w:val="009F4122"/>
    <w:rsid w:val="009F4556"/>
    <w:rsid w:val="009F4971"/>
    <w:rsid w:val="009F55C7"/>
    <w:rsid w:val="009F5ADB"/>
    <w:rsid w:val="009F6612"/>
    <w:rsid w:val="009F6657"/>
    <w:rsid w:val="009F7A2D"/>
    <w:rsid w:val="009F7BDC"/>
    <w:rsid w:val="009F7E20"/>
    <w:rsid w:val="00A003E2"/>
    <w:rsid w:val="00A0105F"/>
    <w:rsid w:val="00A01190"/>
    <w:rsid w:val="00A01512"/>
    <w:rsid w:val="00A01D52"/>
    <w:rsid w:val="00A030B0"/>
    <w:rsid w:val="00A03641"/>
    <w:rsid w:val="00A03B9E"/>
    <w:rsid w:val="00A03E20"/>
    <w:rsid w:val="00A052A6"/>
    <w:rsid w:val="00A075F5"/>
    <w:rsid w:val="00A07855"/>
    <w:rsid w:val="00A10B8B"/>
    <w:rsid w:val="00A10FED"/>
    <w:rsid w:val="00A110D8"/>
    <w:rsid w:val="00A1145E"/>
    <w:rsid w:val="00A122FC"/>
    <w:rsid w:val="00A12888"/>
    <w:rsid w:val="00A12E3C"/>
    <w:rsid w:val="00A14032"/>
    <w:rsid w:val="00A1416A"/>
    <w:rsid w:val="00A14F3F"/>
    <w:rsid w:val="00A1566C"/>
    <w:rsid w:val="00A15AF1"/>
    <w:rsid w:val="00A15B6F"/>
    <w:rsid w:val="00A15E71"/>
    <w:rsid w:val="00A16245"/>
    <w:rsid w:val="00A166AD"/>
    <w:rsid w:val="00A16A0B"/>
    <w:rsid w:val="00A17A5B"/>
    <w:rsid w:val="00A207F3"/>
    <w:rsid w:val="00A21029"/>
    <w:rsid w:val="00A2103E"/>
    <w:rsid w:val="00A2169D"/>
    <w:rsid w:val="00A21CA8"/>
    <w:rsid w:val="00A227F8"/>
    <w:rsid w:val="00A22DD0"/>
    <w:rsid w:val="00A248B6"/>
    <w:rsid w:val="00A24F1D"/>
    <w:rsid w:val="00A25986"/>
    <w:rsid w:val="00A26610"/>
    <w:rsid w:val="00A26C25"/>
    <w:rsid w:val="00A26F56"/>
    <w:rsid w:val="00A26F64"/>
    <w:rsid w:val="00A275A4"/>
    <w:rsid w:val="00A2765D"/>
    <w:rsid w:val="00A30644"/>
    <w:rsid w:val="00A3085E"/>
    <w:rsid w:val="00A309EE"/>
    <w:rsid w:val="00A30AF2"/>
    <w:rsid w:val="00A318E0"/>
    <w:rsid w:val="00A31D0B"/>
    <w:rsid w:val="00A3318E"/>
    <w:rsid w:val="00A346CF"/>
    <w:rsid w:val="00A34705"/>
    <w:rsid w:val="00A349FA"/>
    <w:rsid w:val="00A34BDA"/>
    <w:rsid w:val="00A352B7"/>
    <w:rsid w:val="00A3541A"/>
    <w:rsid w:val="00A358D5"/>
    <w:rsid w:val="00A35B98"/>
    <w:rsid w:val="00A35CE2"/>
    <w:rsid w:val="00A3606E"/>
    <w:rsid w:val="00A36344"/>
    <w:rsid w:val="00A37334"/>
    <w:rsid w:val="00A37909"/>
    <w:rsid w:val="00A4052E"/>
    <w:rsid w:val="00A408CB"/>
    <w:rsid w:val="00A41451"/>
    <w:rsid w:val="00A41E64"/>
    <w:rsid w:val="00A420FD"/>
    <w:rsid w:val="00A4256A"/>
    <w:rsid w:val="00A42A75"/>
    <w:rsid w:val="00A43F2D"/>
    <w:rsid w:val="00A45D89"/>
    <w:rsid w:val="00A45F2E"/>
    <w:rsid w:val="00A46764"/>
    <w:rsid w:val="00A469A0"/>
    <w:rsid w:val="00A47B37"/>
    <w:rsid w:val="00A51F1A"/>
    <w:rsid w:val="00A52578"/>
    <w:rsid w:val="00A5297D"/>
    <w:rsid w:val="00A541A9"/>
    <w:rsid w:val="00A54C5F"/>
    <w:rsid w:val="00A5554F"/>
    <w:rsid w:val="00A55ED5"/>
    <w:rsid w:val="00A56198"/>
    <w:rsid w:val="00A5687C"/>
    <w:rsid w:val="00A56992"/>
    <w:rsid w:val="00A56E65"/>
    <w:rsid w:val="00A622A5"/>
    <w:rsid w:val="00A622F1"/>
    <w:rsid w:val="00A6276E"/>
    <w:rsid w:val="00A62A84"/>
    <w:rsid w:val="00A62FBA"/>
    <w:rsid w:val="00A637B0"/>
    <w:rsid w:val="00A65421"/>
    <w:rsid w:val="00A6549E"/>
    <w:rsid w:val="00A65726"/>
    <w:rsid w:val="00A65C5E"/>
    <w:rsid w:val="00A65FE3"/>
    <w:rsid w:val="00A66370"/>
    <w:rsid w:val="00A66381"/>
    <w:rsid w:val="00A665D8"/>
    <w:rsid w:val="00A676B6"/>
    <w:rsid w:val="00A67EFA"/>
    <w:rsid w:val="00A7060E"/>
    <w:rsid w:val="00A710F6"/>
    <w:rsid w:val="00A720B8"/>
    <w:rsid w:val="00A72617"/>
    <w:rsid w:val="00A7380D"/>
    <w:rsid w:val="00A748AD"/>
    <w:rsid w:val="00A74E88"/>
    <w:rsid w:val="00A75603"/>
    <w:rsid w:val="00A75BAD"/>
    <w:rsid w:val="00A7603C"/>
    <w:rsid w:val="00A76C4B"/>
    <w:rsid w:val="00A76D74"/>
    <w:rsid w:val="00A76DB1"/>
    <w:rsid w:val="00A77C6C"/>
    <w:rsid w:val="00A80165"/>
    <w:rsid w:val="00A80F79"/>
    <w:rsid w:val="00A815D8"/>
    <w:rsid w:val="00A82129"/>
    <w:rsid w:val="00A82291"/>
    <w:rsid w:val="00A82DCE"/>
    <w:rsid w:val="00A831A5"/>
    <w:rsid w:val="00A831C4"/>
    <w:rsid w:val="00A83421"/>
    <w:rsid w:val="00A835CA"/>
    <w:rsid w:val="00A8527E"/>
    <w:rsid w:val="00A86F2A"/>
    <w:rsid w:val="00A873D5"/>
    <w:rsid w:val="00A87876"/>
    <w:rsid w:val="00A900F9"/>
    <w:rsid w:val="00A90335"/>
    <w:rsid w:val="00A9102C"/>
    <w:rsid w:val="00A910B7"/>
    <w:rsid w:val="00A9179C"/>
    <w:rsid w:val="00A91C77"/>
    <w:rsid w:val="00A91E88"/>
    <w:rsid w:val="00A92311"/>
    <w:rsid w:val="00A92878"/>
    <w:rsid w:val="00A92DC7"/>
    <w:rsid w:val="00A9304F"/>
    <w:rsid w:val="00A9372A"/>
    <w:rsid w:val="00A93C13"/>
    <w:rsid w:val="00A93F71"/>
    <w:rsid w:val="00A9522E"/>
    <w:rsid w:val="00A953FE"/>
    <w:rsid w:val="00A95857"/>
    <w:rsid w:val="00A95C07"/>
    <w:rsid w:val="00A95C31"/>
    <w:rsid w:val="00A9615D"/>
    <w:rsid w:val="00A96234"/>
    <w:rsid w:val="00A9671F"/>
    <w:rsid w:val="00A96B62"/>
    <w:rsid w:val="00A97198"/>
    <w:rsid w:val="00A97AA2"/>
    <w:rsid w:val="00AA0607"/>
    <w:rsid w:val="00AA088F"/>
    <w:rsid w:val="00AA0CE2"/>
    <w:rsid w:val="00AA0F55"/>
    <w:rsid w:val="00AA1592"/>
    <w:rsid w:val="00AA1A78"/>
    <w:rsid w:val="00AA2641"/>
    <w:rsid w:val="00AA29F8"/>
    <w:rsid w:val="00AA401E"/>
    <w:rsid w:val="00AA43D2"/>
    <w:rsid w:val="00AA4662"/>
    <w:rsid w:val="00AA4703"/>
    <w:rsid w:val="00AA59F2"/>
    <w:rsid w:val="00AA601F"/>
    <w:rsid w:val="00AA62ED"/>
    <w:rsid w:val="00AA67D0"/>
    <w:rsid w:val="00AA6D47"/>
    <w:rsid w:val="00AA7338"/>
    <w:rsid w:val="00AA75DA"/>
    <w:rsid w:val="00AA7B34"/>
    <w:rsid w:val="00AA7EE5"/>
    <w:rsid w:val="00AB00A9"/>
    <w:rsid w:val="00AB085C"/>
    <w:rsid w:val="00AB166A"/>
    <w:rsid w:val="00AB187C"/>
    <w:rsid w:val="00AB1930"/>
    <w:rsid w:val="00AB2206"/>
    <w:rsid w:val="00AB251D"/>
    <w:rsid w:val="00AB2760"/>
    <w:rsid w:val="00AB2D40"/>
    <w:rsid w:val="00AB31AB"/>
    <w:rsid w:val="00AB450A"/>
    <w:rsid w:val="00AB491C"/>
    <w:rsid w:val="00AB49E8"/>
    <w:rsid w:val="00AB4A2B"/>
    <w:rsid w:val="00AB51D2"/>
    <w:rsid w:val="00AB5B6C"/>
    <w:rsid w:val="00AB5DA5"/>
    <w:rsid w:val="00AB63A7"/>
    <w:rsid w:val="00AB6AAD"/>
    <w:rsid w:val="00AB7364"/>
    <w:rsid w:val="00AB7523"/>
    <w:rsid w:val="00AB7819"/>
    <w:rsid w:val="00AB7D41"/>
    <w:rsid w:val="00AC13E1"/>
    <w:rsid w:val="00AC1F64"/>
    <w:rsid w:val="00AC21AB"/>
    <w:rsid w:val="00AC2466"/>
    <w:rsid w:val="00AC253B"/>
    <w:rsid w:val="00AC2575"/>
    <w:rsid w:val="00AC2A59"/>
    <w:rsid w:val="00AC2D88"/>
    <w:rsid w:val="00AC3C06"/>
    <w:rsid w:val="00AC3DC5"/>
    <w:rsid w:val="00AC3DDF"/>
    <w:rsid w:val="00AC4BA0"/>
    <w:rsid w:val="00AC4FB9"/>
    <w:rsid w:val="00AC5061"/>
    <w:rsid w:val="00AC52D9"/>
    <w:rsid w:val="00AC53AA"/>
    <w:rsid w:val="00AC5A23"/>
    <w:rsid w:val="00AC5DAD"/>
    <w:rsid w:val="00AC5E3A"/>
    <w:rsid w:val="00AC62A9"/>
    <w:rsid w:val="00AC65E3"/>
    <w:rsid w:val="00AC6687"/>
    <w:rsid w:val="00AC6813"/>
    <w:rsid w:val="00AC71D1"/>
    <w:rsid w:val="00AC7FB5"/>
    <w:rsid w:val="00AD0207"/>
    <w:rsid w:val="00AD040D"/>
    <w:rsid w:val="00AD050D"/>
    <w:rsid w:val="00AD1BA8"/>
    <w:rsid w:val="00AD20B1"/>
    <w:rsid w:val="00AD20DA"/>
    <w:rsid w:val="00AD2132"/>
    <w:rsid w:val="00AD21D4"/>
    <w:rsid w:val="00AD2823"/>
    <w:rsid w:val="00AD3525"/>
    <w:rsid w:val="00AD3827"/>
    <w:rsid w:val="00AD3846"/>
    <w:rsid w:val="00AD4D2B"/>
    <w:rsid w:val="00AD5563"/>
    <w:rsid w:val="00AD62B0"/>
    <w:rsid w:val="00AD7837"/>
    <w:rsid w:val="00AD7C06"/>
    <w:rsid w:val="00AD7CCB"/>
    <w:rsid w:val="00AE02F2"/>
    <w:rsid w:val="00AE04AA"/>
    <w:rsid w:val="00AE087B"/>
    <w:rsid w:val="00AE0A3E"/>
    <w:rsid w:val="00AE0AA9"/>
    <w:rsid w:val="00AE0AE5"/>
    <w:rsid w:val="00AE198A"/>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E7B3E"/>
    <w:rsid w:val="00AF0306"/>
    <w:rsid w:val="00AF0939"/>
    <w:rsid w:val="00AF0ABD"/>
    <w:rsid w:val="00AF1129"/>
    <w:rsid w:val="00AF1201"/>
    <w:rsid w:val="00AF1C35"/>
    <w:rsid w:val="00AF380D"/>
    <w:rsid w:val="00AF405F"/>
    <w:rsid w:val="00AF42A8"/>
    <w:rsid w:val="00AF45E2"/>
    <w:rsid w:val="00AF499A"/>
    <w:rsid w:val="00AF6122"/>
    <w:rsid w:val="00AF6987"/>
    <w:rsid w:val="00AF713A"/>
    <w:rsid w:val="00AF7182"/>
    <w:rsid w:val="00AF72E6"/>
    <w:rsid w:val="00B005A5"/>
    <w:rsid w:val="00B00C15"/>
    <w:rsid w:val="00B0232C"/>
    <w:rsid w:val="00B02665"/>
    <w:rsid w:val="00B02CC5"/>
    <w:rsid w:val="00B035C1"/>
    <w:rsid w:val="00B0391F"/>
    <w:rsid w:val="00B0396C"/>
    <w:rsid w:val="00B03E3A"/>
    <w:rsid w:val="00B04397"/>
    <w:rsid w:val="00B0448A"/>
    <w:rsid w:val="00B050A2"/>
    <w:rsid w:val="00B05221"/>
    <w:rsid w:val="00B052D6"/>
    <w:rsid w:val="00B05918"/>
    <w:rsid w:val="00B05B09"/>
    <w:rsid w:val="00B05D3A"/>
    <w:rsid w:val="00B061BB"/>
    <w:rsid w:val="00B0633E"/>
    <w:rsid w:val="00B0686F"/>
    <w:rsid w:val="00B07328"/>
    <w:rsid w:val="00B07558"/>
    <w:rsid w:val="00B07866"/>
    <w:rsid w:val="00B07F55"/>
    <w:rsid w:val="00B1057B"/>
    <w:rsid w:val="00B106A3"/>
    <w:rsid w:val="00B10A02"/>
    <w:rsid w:val="00B11102"/>
    <w:rsid w:val="00B11520"/>
    <w:rsid w:val="00B11ED3"/>
    <w:rsid w:val="00B12D24"/>
    <w:rsid w:val="00B13991"/>
    <w:rsid w:val="00B13993"/>
    <w:rsid w:val="00B13A82"/>
    <w:rsid w:val="00B14083"/>
    <w:rsid w:val="00B1453E"/>
    <w:rsid w:val="00B14573"/>
    <w:rsid w:val="00B14CEF"/>
    <w:rsid w:val="00B15799"/>
    <w:rsid w:val="00B15D6F"/>
    <w:rsid w:val="00B16F55"/>
    <w:rsid w:val="00B17221"/>
    <w:rsid w:val="00B1762E"/>
    <w:rsid w:val="00B17971"/>
    <w:rsid w:val="00B204F0"/>
    <w:rsid w:val="00B20709"/>
    <w:rsid w:val="00B20898"/>
    <w:rsid w:val="00B20EFA"/>
    <w:rsid w:val="00B21A0A"/>
    <w:rsid w:val="00B21A2E"/>
    <w:rsid w:val="00B22A40"/>
    <w:rsid w:val="00B233F6"/>
    <w:rsid w:val="00B23553"/>
    <w:rsid w:val="00B2356A"/>
    <w:rsid w:val="00B23A64"/>
    <w:rsid w:val="00B23B40"/>
    <w:rsid w:val="00B24485"/>
    <w:rsid w:val="00B2635F"/>
    <w:rsid w:val="00B26458"/>
    <w:rsid w:val="00B26EA5"/>
    <w:rsid w:val="00B27751"/>
    <w:rsid w:val="00B27D07"/>
    <w:rsid w:val="00B3026E"/>
    <w:rsid w:val="00B30674"/>
    <w:rsid w:val="00B3104A"/>
    <w:rsid w:val="00B31335"/>
    <w:rsid w:val="00B321C7"/>
    <w:rsid w:val="00B3263B"/>
    <w:rsid w:val="00B32695"/>
    <w:rsid w:val="00B33948"/>
    <w:rsid w:val="00B33BB1"/>
    <w:rsid w:val="00B33BE8"/>
    <w:rsid w:val="00B3429C"/>
    <w:rsid w:val="00B34E37"/>
    <w:rsid w:val="00B34E3B"/>
    <w:rsid w:val="00B34E48"/>
    <w:rsid w:val="00B35883"/>
    <w:rsid w:val="00B35E45"/>
    <w:rsid w:val="00B360A8"/>
    <w:rsid w:val="00B361BC"/>
    <w:rsid w:val="00B36497"/>
    <w:rsid w:val="00B37608"/>
    <w:rsid w:val="00B3776B"/>
    <w:rsid w:val="00B37C28"/>
    <w:rsid w:val="00B37F69"/>
    <w:rsid w:val="00B413CF"/>
    <w:rsid w:val="00B42491"/>
    <w:rsid w:val="00B42EFE"/>
    <w:rsid w:val="00B43900"/>
    <w:rsid w:val="00B43F5C"/>
    <w:rsid w:val="00B44157"/>
    <w:rsid w:val="00B44A85"/>
    <w:rsid w:val="00B4526C"/>
    <w:rsid w:val="00B4663F"/>
    <w:rsid w:val="00B46B96"/>
    <w:rsid w:val="00B4733F"/>
    <w:rsid w:val="00B478C0"/>
    <w:rsid w:val="00B47F1D"/>
    <w:rsid w:val="00B47F45"/>
    <w:rsid w:val="00B502BF"/>
    <w:rsid w:val="00B5062F"/>
    <w:rsid w:val="00B513FF"/>
    <w:rsid w:val="00B51947"/>
    <w:rsid w:val="00B51E15"/>
    <w:rsid w:val="00B5217F"/>
    <w:rsid w:val="00B52274"/>
    <w:rsid w:val="00B52D1D"/>
    <w:rsid w:val="00B52D6B"/>
    <w:rsid w:val="00B52EB8"/>
    <w:rsid w:val="00B530FA"/>
    <w:rsid w:val="00B53D5B"/>
    <w:rsid w:val="00B53EFA"/>
    <w:rsid w:val="00B53F1B"/>
    <w:rsid w:val="00B54964"/>
    <w:rsid w:val="00B55118"/>
    <w:rsid w:val="00B5674D"/>
    <w:rsid w:val="00B56899"/>
    <w:rsid w:val="00B56E74"/>
    <w:rsid w:val="00B57040"/>
    <w:rsid w:val="00B57181"/>
    <w:rsid w:val="00B57268"/>
    <w:rsid w:val="00B5736C"/>
    <w:rsid w:val="00B57F04"/>
    <w:rsid w:val="00B60D1E"/>
    <w:rsid w:val="00B61069"/>
    <w:rsid w:val="00B61AA2"/>
    <w:rsid w:val="00B61DA9"/>
    <w:rsid w:val="00B61DF6"/>
    <w:rsid w:val="00B62576"/>
    <w:rsid w:val="00B626A3"/>
    <w:rsid w:val="00B62A1D"/>
    <w:rsid w:val="00B63629"/>
    <w:rsid w:val="00B636B1"/>
    <w:rsid w:val="00B63D19"/>
    <w:rsid w:val="00B64692"/>
    <w:rsid w:val="00B64752"/>
    <w:rsid w:val="00B6475F"/>
    <w:rsid w:val="00B64F11"/>
    <w:rsid w:val="00B651A1"/>
    <w:rsid w:val="00B65264"/>
    <w:rsid w:val="00B652C2"/>
    <w:rsid w:val="00B659BF"/>
    <w:rsid w:val="00B661AB"/>
    <w:rsid w:val="00B661EF"/>
    <w:rsid w:val="00B661F4"/>
    <w:rsid w:val="00B66B81"/>
    <w:rsid w:val="00B66E5E"/>
    <w:rsid w:val="00B67211"/>
    <w:rsid w:val="00B67B5F"/>
    <w:rsid w:val="00B67D19"/>
    <w:rsid w:val="00B70598"/>
    <w:rsid w:val="00B707FA"/>
    <w:rsid w:val="00B712AE"/>
    <w:rsid w:val="00B719AE"/>
    <w:rsid w:val="00B7210D"/>
    <w:rsid w:val="00B72362"/>
    <w:rsid w:val="00B724C2"/>
    <w:rsid w:val="00B73536"/>
    <w:rsid w:val="00B73BBA"/>
    <w:rsid w:val="00B73E6D"/>
    <w:rsid w:val="00B760F1"/>
    <w:rsid w:val="00B768E5"/>
    <w:rsid w:val="00B76F93"/>
    <w:rsid w:val="00B76FDD"/>
    <w:rsid w:val="00B77220"/>
    <w:rsid w:val="00B80A65"/>
    <w:rsid w:val="00B80C96"/>
    <w:rsid w:val="00B82AEC"/>
    <w:rsid w:val="00B835BA"/>
    <w:rsid w:val="00B83659"/>
    <w:rsid w:val="00B83812"/>
    <w:rsid w:val="00B83AFF"/>
    <w:rsid w:val="00B83C26"/>
    <w:rsid w:val="00B83EEE"/>
    <w:rsid w:val="00B8408D"/>
    <w:rsid w:val="00B848A6"/>
    <w:rsid w:val="00B84B93"/>
    <w:rsid w:val="00B86538"/>
    <w:rsid w:val="00B86C43"/>
    <w:rsid w:val="00B87500"/>
    <w:rsid w:val="00B900A9"/>
    <w:rsid w:val="00B90B3E"/>
    <w:rsid w:val="00B915D8"/>
    <w:rsid w:val="00B92746"/>
    <w:rsid w:val="00B93032"/>
    <w:rsid w:val="00B937A6"/>
    <w:rsid w:val="00B93A29"/>
    <w:rsid w:val="00B945AC"/>
    <w:rsid w:val="00B949E2"/>
    <w:rsid w:val="00B9577D"/>
    <w:rsid w:val="00B957A0"/>
    <w:rsid w:val="00B95C2D"/>
    <w:rsid w:val="00B95CC1"/>
    <w:rsid w:val="00B965CE"/>
    <w:rsid w:val="00BA0052"/>
    <w:rsid w:val="00BA0475"/>
    <w:rsid w:val="00BA17BB"/>
    <w:rsid w:val="00BA18EF"/>
    <w:rsid w:val="00BA1BD8"/>
    <w:rsid w:val="00BA2935"/>
    <w:rsid w:val="00BA2C06"/>
    <w:rsid w:val="00BA339C"/>
    <w:rsid w:val="00BA3589"/>
    <w:rsid w:val="00BA3C92"/>
    <w:rsid w:val="00BA54DA"/>
    <w:rsid w:val="00BA5AD2"/>
    <w:rsid w:val="00BA608D"/>
    <w:rsid w:val="00BA6339"/>
    <w:rsid w:val="00BA7555"/>
    <w:rsid w:val="00BA75F2"/>
    <w:rsid w:val="00BB012A"/>
    <w:rsid w:val="00BB082F"/>
    <w:rsid w:val="00BB0D15"/>
    <w:rsid w:val="00BB1D88"/>
    <w:rsid w:val="00BB210A"/>
    <w:rsid w:val="00BB3C65"/>
    <w:rsid w:val="00BB48DA"/>
    <w:rsid w:val="00BB4A46"/>
    <w:rsid w:val="00BB584D"/>
    <w:rsid w:val="00BB5A9C"/>
    <w:rsid w:val="00BB5C61"/>
    <w:rsid w:val="00BB6DC7"/>
    <w:rsid w:val="00BB6F44"/>
    <w:rsid w:val="00BB7E8E"/>
    <w:rsid w:val="00BB7FA0"/>
    <w:rsid w:val="00BC059E"/>
    <w:rsid w:val="00BC12D2"/>
    <w:rsid w:val="00BC2AD7"/>
    <w:rsid w:val="00BC35AB"/>
    <w:rsid w:val="00BC3993"/>
    <w:rsid w:val="00BC402D"/>
    <w:rsid w:val="00BC4341"/>
    <w:rsid w:val="00BC466E"/>
    <w:rsid w:val="00BC50D8"/>
    <w:rsid w:val="00BC5849"/>
    <w:rsid w:val="00BC5D73"/>
    <w:rsid w:val="00BC63ED"/>
    <w:rsid w:val="00BC6D6A"/>
    <w:rsid w:val="00BC72BE"/>
    <w:rsid w:val="00BC7B54"/>
    <w:rsid w:val="00BC7B75"/>
    <w:rsid w:val="00BC7C84"/>
    <w:rsid w:val="00BD062B"/>
    <w:rsid w:val="00BD1AE9"/>
    <w:rsid w:val="00BD248E"/>
    <w:rsid w:val="00BD24E4"/>
    <w:rsid w:val="00BD2913"/>
    <w:rsid w:val="00BD2AB7"/>
    <w:rsid w:val="00BD2C22"/>
    <w:rsid w:val="00BD2D2E"/>
    <w:rsid w:val="00BD34C4"/>
    <w:rsid w:val="00BD3712"/>
    <w:rsid w:val="00BD3859"/>
    <w:rsid w:val="00BD3B52"/>
    <w:rsid w:val="00BD47B4"/>
    <w:rsid w:val="00BD4D77"/>
    <w:rsid w:val="00BD50F5"/>
    <w:rsid w:val="00BD5356"/>
    <w:rsid w:val="00BD598D"/>
    <w:rsid w:val="00BD7541"/>
    <w:rsid w:val="00BD7716"/>
    <w:rsid w:val="00BD7B19"/>
    <w:rsid w:val="00BD7D78"/>
    <w:rsid w:val="00BE046C"/>
    <w:rsid w:val="00BE1869"/>
    <w:rsid w:val="00BE1A61"/>
    <w:rsid w:val="00BE1E67"/>
    <w:rsid w:val="00BE1FE0"/>
    <w:rsid w:val="00BE2757"/>
    <w:rsid w:val="00BE2857"/>
    <w:rsid w:val="00BE2E8F"/>
    <w:rsid w:val="00BE318C"/>
    <w:rsid w:val="00BE48AC"/>
    <w:rsid w:val="00BE5952"/>
    <w:rsid w:val="00BE59D4"/>
    <w:rsid w:val="00BE64BB"/>
    <w:rsid w:val="00BE66EB"/>
    <w:rsid w:val="00BE6B7C"/>
    <w:rsid w:val="00BE70CC"/>
    <w:rsid w:val="00BE7C78"/>
    <w:rsid w:val="00BF04C0"/>
    <w:rsid w:val="00BF1534"/>
    <w:rsid w:val="00BF16CC"/>
    <w:rsid w:val="00BF1ADC"/>
    <w:rsid w:val="00BF1F65"/>
    <w:rsid w:val="00BF205E"/>
    <w:rsid w:val="00BF209A"/>
    <w:rsid w:val="00BF2D2D"/>
    <w:rsid w:val="00BF5D20"/>
    <w:rsid w:val="00BF6658"/>
    <w:rsid w:val="00BF6BB0"/>
    <w:rsid w:val="00BF74DE"/>
    <w:rsid w:val="00BF798F"/>
    <w:rsid w:val="00BF7C6D"/>
    <w:rsid w:val="00C0040E"/>
    <w:rsid w:val="00C02135"/>
    <w:rsid w:val="00C02361"/>
    <w:rsid w:val="00C026AB"/>
    <w:rsid w:val="00C02D96"/>
    <w:rsid w:val="00C031E5"/>
    <w:rsid w:val="00C050B3"/>
    <w:rsid w:val="00C0552D"/>
    <w:rsid w:val="00C059B3"/>
    <w:rsid w:val="00C05FC0"/>
    <w:rsid w:val="00C060D1"/>
    <w:rsid w:val="00C063EA"/>
    <w:rsid w:val="00C079FE"/>
    <w:rsid w:val="00C07B4E"/>
    <w:rsid w:val="00C07DFF"/>
    <w:rsid w:val="00C106E3"/>
    <w:rsid w:val="00C109F0"/>
    <w:rsid w:val="00C11012"/>
    <w:rsid w:val="00C1309F"/>
    <w:rsid w:val="00C13221"/>
    <w:rsid w:val="00C13229"/>
    <w:rsid w:val="00C136EF"/>
    <w:rsid w:val="00C14E0F"/>
    <w:rsid w:val="00C15DC3"/>
    <w:rsid w:val="00C16015"/>
    <w:rsid w:val="00C16611"/>
    <w:rsid w:val="00C1695A"/>
    <w:rsid w:val="00C17431"/>
    <w:rsid w:val="00C17683"/>
    <w:rsid w:val="00C20279"/>
    <w:rsid w:val="00C20A83"/>
    <w:rsid w:val="00C20BC9"/>
    <w:rsid w:val="00C20D49"/>
    <w:rsid w:val="00C21237"/>
    <w:rsid w:val="00C214E1"/>
    <w:rsid w:val="00C21E35"/>
    <w:rsid w:val="00C21F60"/>
    <w:rsid w:val="00C232DC"/>
    <w:rsid w:val="00C23B1D"/>
    <w:rsid w:val="00C242AD"/>
    <w:rsid w:val="00C24532"/>
    <w:rsid w:val="00C24708"/>
    <w:rsid w:val="00C2489F"/>
    <w:rsid w:val="00C24B58"/>
    <w:rsid w:val="00C25947"/>
    <w:rsid w:val="00C259BC"/>
    <w:rsid w:val="00C26C8E"/>
    <w:rsid w:val="00C26CA8"/>
    <w:rsid w:val="00C2766B"/>
    <w:rsid w:val="00C27BD5"/>
    <w:rsid w:val="00C27CDC"/>
    <w:rsid w:val="00C301F3"/>
    <w:rsid w:val="00C3105A"/>
    <w:rsid w:val="00C322C7"/>
    <w:rsid w:val="00C326C5"/>
    <w:rsid w:val="00C336FC"/>
    <w:rsid w:val="00C33E38"/>
    <w:rsid w:val="00C34340"/>
    <w:rsid w:val="00C34BDC"/>
    <w:rsid w:val="00C34E5B"/>
    <w:rsid w:val="00C356AB"/>
    <w:rsid w:val="00C35B08"/>
    <w:rsid w:val="00C35B20"/>
    <w:rsid w:val="00C364CD"/>
    <w:rsid w:val="00C36DA2"/>
    <w:rsid w:val="00C3701D"/>
    <w:rsid w:val="00C37732"/>
    <w:rsid w:val="00C40178"/>
    <w:rsid w:val="00C405C8"/>
    <w:rsid w:val="00C41002"/>
    <w:rsid w:val="00C41271"/>
    <w:rsid w:val="00C419C0"/>
    <w:rsid w:val="00C41A71"/>
    <w:rsid w:val="00C41CE0"/>
    <w:rsid w:val="00C42260"/>
    <w:rsid w:val="00C42B52"/>
    <w:rsid w:val="00C4353C"/>
    <w:rsid w:val="00C43893"/>
    <w:rsid w:val="00C43B26"/>
    <w:rsid w:val="00C43D19"/>
    <w:rsid w:val="00C441CC"/>
    <w:rsid w:val="00C44598"/>
    <w:rsid w:val="00C44949"/>
    <w:rsid w:val="00C44E3A"/>
    <w:rsid w:val="00C4539F"/>
    <w:rsid w:val="00C4626A"/>
    <w:rsid w:val="00C4661E"/>
    <w:rsid w:val="00C46BA5"/>
    <w:rsid w:val="00C46C3F"/>
    <w:rsid w:val="00C46D67"/>
    <w:rsid w:val="00C46F41"/>
    <w:rsid w:val="00C47723"/>
    <w:rsid w:val="00C47B57"/>
    <w:rsid w:val="00C50119"/>
    <w:rsid w:val="00C50546"/>
    <w:rsid w:val="00C50970"/>
    <w:rsid w:val="00C50F18"/>
    <w:rsid w:val="00C514AF"/>
    <w:rsid w:val="00C51A51"/>
    <w:rsid w:val="00C5447C"/>
    <w:rsid w:val="00C55013"/>
    <w:rsid w:val="00C5567B"/>
    <w:rsid w:val="00C55F5F"/>
    <w:rsid w:val="00C570BF"/>
    <w:rsid w:val="00C575F2"/>
    <w:rsid w:val="00C57643"/>
    <w:rsid w:val="00C6065B"/>
    <w:rsid w:val="00C612C1"/>
    <w:rsid w:val="00C61F36"/>
    <w:rsid w:val="00C62F71"/>
    <w:rsid w:val="00C634DA"/>
    <w:rsid w:val="00C63514"/>
    <w:rsid w:val="00C63DF2"/>
    <w:rsid w:val="00C64658"/>
    <w:rsid w:val="00C64694"/>
    <w:rsid w:val="00C64848"/>
    <w:rsid w:val="00C65971"/>
    <w:rsid w:val="00C66089"/>
    <w:rsid w:val="00C6673F"/>
    <w:rsid w:val="00C6692A"/>
    <w:rsid w:val="00C6776B"/>
    <w:rsid w:val="00C67816"/>
    <w:rsid w:val="00C67FBF"/>
    <w:rsid w:val="00C70BDF"/>
    <w:rsid w:val="00C70D36"/>
    <w:rsid w:val="00C71348"/>
    <w:rsid w:val="00C71DB1"/>
    <w:rsid w:val="00C724A7"/>
    <w:rsid w:val="00C72864"/>
    <w:rsid w:val="00C728CE"/>
    <w:rsid w:val="00C73065"/>
    <w:rsid w:val="00C73660"/>
    <w:rsid w:val="00C74272"/>
    <w:rsid w:val="00C74302"/>
    <w:rsid w:val="00C745C0"/>
    <w:rsid w:val="00C748E8"/>
    <w:rsid w:val="00C74AA9"/>
    <w:rsid w:val="00C75151"/>
    <w:rsid w:val="00C75896"/>
    <w:rsid w:val="00C758E0"/>
    <w:rsid w:val="00C763DD"/>
    <w:rsid w:val="00C77301"/>
    <w:rsid w:val="00C77FF9"/>
    <w:rsid w:val="00C8049E"/>
    <w:rsid w:val="00C81685"/>
    <w:rsid w:val="00C819D1"/>
    <w:rsid w:val="00C82182"/>
    <w:rsid w:val="00C837BD"/>
    <w:rsid w:val="00C84299"/>
    <w:rsid w:val="00C84EDA"/>
    <w:rsid w:val="00C84F12"/>
    <w:rsid w:val="00C85435"/>
    <w:rsid w:val="00C8725E"/>
    <w:rsid w:val="00C87314"/>
    <w:rsid w:val="00C875AB"/>
    <w:rsid w:val="00C90ADB"/>
    <w:rsid w:val="00C910CD"/>
    <w:rsid w:val="00C91891"/>
    <w:rsid w:val="00C926CD"/>
    <w:rsid w:val="00C938B1"/>
    <w:rsid w:val="00C93900"/>
    <w:rsid w:val="00C9433A"/>
    <w:rsid w:val="00C949D1"/>
    <w:rsid w:val="00C94AC6"/>
    <w:rsid w:val="00C95787"/>
    <w:rsid w:val="00C9669A"/>
    <w:rsid w:val="00C9690A"/>
    <w:rsid w:val="00C96F7C"/>
    <w:rsid w:val="00C972BB"/>
    <w:rsid w:val="00C976A9"/>
    <w:rsid w:val="00C97850"/>
    <w:rsid w:val="00C97A21"/>
    <w:rsid w:val="00CA01C1"/>
    <w:rsid w:val="00CA0298"/>
    <w:rsid w:val="00CA0EAE"/>
    <w:rsid w:val="00CA168E"/>
    <w:rsid w:val="00CA1B43"/>
    <w:rsid w:val="00CA2934"/>
    <w:rsid w:val="00CA34FD"/>
    <w:rsid w:val="00CA35CD"/>
    <w:rsid w:val="00CA3ADA"/>
    <w:rsid w:val="00CA46C2"/>
    <w:rsid w:val="00CA4790"/>
    <w:rsid w:val="00CA52B7"/>
    <w:rsid w:val="00CA72C0"/>
    <w:rsid w:val="00CA7BC2"/>
    <w:rsid w:val="00CA7EAD"/>
    <w:rsid w:val="00CB00AD"/>
    <w:rsid w:val="00CB09C9"/>
    <w:rsid w:val="00CB0A19"/>
    <w:rsid w:val="00CB0BCE"/>
    <w:rsid w:val="00CB0FF1"/>
    <w:rsid w:val="00CB1599"/>
    <w:rsid w:val="00CB17AA"/>
    <w:rsid w:val="00CB1CD9"/>
    <w:rsid w:val="00CB1ED3"/>
    <w:rsid w:val="00CB2169"/>
    <w:rsid w:val="00CB27DB"/>
    <w:rsid w:val="00CB2A62"/>
    <w:rsid w:val="00CB4871"/>
    <w:rsid w:val="00CB49A4"/>
    <w:rsid w:val="00CB50FE"/>
    <w:rsid w:val="00CB5416"/>
    <w:rsid w:val="00CB762D"/>
    <w:rsid w:val="00CB7AF1"/>
    <w:rsid w:val="00CB7B9D"/>
    <w:rsid w:val="00CC04BD"/>
    <w:rsid w:val="00CC0786"/>
    <w:rsid w:val="00CC078D"/>
    <w:rsid w:val="00CC1332"/>
    <w:rsid w:val="00CC1468"/>
    <w:rsid w:val="00CC155B"/>
    <w:rsid w:val="00CC260A"/>
    <w:rsid w:val="00CC33E5"/>
    <w:rsid w:val="00CC38FC"/>
    <w:rsid w:val="00CC4752"/>
    <w:rsid w:val="00CC4955"/>
    <w:rsid w:val="00CC49D8"/>
    <w:rsid w:val="00CC5EF3"/>
    <w:rsid w:val="00CC6920"/>
    <w:rsid w:val="00CC6E2F"/>
    <w:rsid w:val="00CC7179"/>
    <w:rsid w:val="00CD081B"/>
    <w:rsid w:val="00CD1565"/>
    <w:rsid w:val="00CD1C29"/>
    <w:rsid w:val="00CD1EFA"/>
    <w:rsid w:val="00CD3787"/>
    <w:rsid w:val="00CD392C"/>
    <w:rsid w:val="00CD3937"/>
    <w:rsid w:val="00CD3981"/>
    <w:rsid w:val="00CD3E8E"/>
    <w:rsid w:val="00CD410A"/>
    <w:rsid w:val="00CD42A6"/>
    <w:rsid w:val="00CD4598"/>
    <w:rsid w:val="00CD50AC"/>
    <w:rsid w:val="00CD50DB"/>
    <w:rsid w:val="00CD6502"/>
    <w:rsid w:val="00CD6629"/>
    <w:rsid w:val="00CE0399"/>
    <w:rsid w:val="00CE079C"/>
    <w:rsid w:val="00CE0D54"/>
    <w:rsid w:val="00CE16E3"/>
    <w:rsid w:val="00CE1B01"/>
    <w:rsid w:val="00CE1BB5"/>
    <w:rsid w:val="00CE1C8D"/>
    <w:rsid w:val="00CE1E85"/>
    <w:rsid w:val="00CE29B2"/>
    <w:rsid w:val="00CE2A4D"/>
    <w:rsid w:val="00CE3303"/>
    <w:rsid w:val="00CE3A70"/>
    <w:rsid w:val="00CE559B"/>
    <w:rsid w:val="00CE6556"/>
    <w:rsid w:val="00CF04CB"/>
    <w:rsid w:val="00CF07E5"/>
    <w:rsid w:val="00CF2C6A"/>
    <w:rsid w:val="00CF4073"/>
    <w:rsid w:val="00CF40D5"/>
    <w:rsid w:val="00CF46DE"/>
    <w:rsid w:val="00CF4D0D"/>
    <w:rsid w:val="00CF51E8"/>
    <w:rsid w:val="00CF5508"/>
    <w:rsid w:val="00CF5BA3"/>
    <w:rsid w:val="00CF6312"/>
    <w:rsid w:val="00CF6381"/>
    <w:rsid w:val="00D002EB"/>
    <w:rsid w:val="00D0083C"/>
    <w:rsid w:val="00D0401B"/>
    <w:rsid w:val="00D042D4"/>
    <w:rsid w:val="00D045ED"/>
    <w:rsid w:val="00D0547A"/>
    <w:rsid w:val="00D055D4"/>
    <w:rsid w:val="00D05EC7"/>
    <w:rsid w:val="00D0620F"/>
    <w:rsid w:val="00D06BB6"/>
    <w:rsid w:val="00D073EC"/>
    <w:rsid w:val="00D10F3B"/>
    <w:rsid w:val="00D11B93"/>
    <w:rsid w:val="00D11E6B"/>
    <w:rsid w:val="00D124B8"/>
    <w:rsid w:val="00D127C2"/>
    <w:rsid w:val="00D1365C"/>
    <w:rsid w:val="00D140E6"/>
    <w:rsid w:val="00D1441D"/>
    <w:rsid w:val="00D14956"/>
    <w:rsid w:val="00D14B0A"/>
    <w:rsid w:val="00D1548A"/>
    <w:rsid w:val="00D16A84"/>
    <w:rsid w:val="00D17B6B"/>
    <w:rsid w:val="00D17DDB"/>
    <w:rsid w:val="00D203E5"/>
    <w:rsid w:val="00D20422"/>
    <w:rsid w:val="00D20511"/>
    <w:rsid w:val="00D206D7"/>
    <w:rsid w:val="00D20C71"/>
    <w:rsid w:val="00D2160B"/>
    <w:rsid w:val="00D22A01"/>
    <w:rsid w:val="00D22CC3"/>
    <w:rsid w:val="00D233EF"/>
    <w:rsid w:val="00D23704"/>
    <w:rsid w:val="00D23C16"/>
    <w:rsid w:val="00D24A7D"/>
    <w:rsid w:val="00D24F3A"/>
    <w:rsid w:val="00D255B6"/>
    <w:rsid w:val="00D27166"/>
    <w:rsid w:val="00D272C4"/>
    <w:rsid w:val="00D2745F"/>
    <w:rsid w:val="00D278DA"/>
    <w:rsid w:val="00D308B7"/>
    <w:rsid w:val="00D308E8"/>
    <w:rsid w:val="00D32210"/>
    <w:rsid w:val="00D331EB"/>
    <w:rsid w:val="00D3362B"/>
    <w:rsid w:val="00D34097"/>
    <w:rsid w:val="00D34853"/>
    <w:rsid w:val="00D34FAF"/>
    <w:rsid w:val="00D36029"/>
    <w:rsid w:val="00D368CB"/>
    <w:rsid w:val="00D369EB"/>
    <w:rsid w:val="00D370F7"/>
    <w:rsid w:val="00D37426"/>
    <w:rsid w:val="00D4029A"/>
    <w:rsid w:val="00D4055B"/>
    <w:rsid w:val="00D4121D"/>
    <w:rsid w:val="00D41832"/>
    <w:rsid w:val="00D41C75"/>
    <w:rsid w:val="00D41DDE"/>
    <w:rsid w:val="00D430A7"/>
    <w:rsid w:val="00D434CF"/>
    <w:rsid w:val="00D44265"/>
    <w:rsid w:val="00D4464B"/>
    <w:rsid w:val="00D44749"/>
    <w:rsid w:val="00D4480A"/>
    <w:rsid w:val="00D44DFC"/>
    <w:rsid w:val="00D46028"/>
    <w:rsid w:val="00D4606C"/>
    <w:rsid w:val="00D462E4"/>
    <w:rsid w:val="00D47495"/>
    <w:rsid w:val="00D51328"/>
    <w:rsid w:val="00D517D5"/>
    <w:rsid w:val="00D5184B"/>
    <w:rsid w:val="00D51CAF"/>
    <w:rsid w:val="00D536F8"/>
    <w:rsid w:val="00D54025"/>
    <w:rsid w:val="00D545BF"/>
    <w:rsid w:val="00D54967"/>
    <w:rsid w:val="00D54A26"/>
    <w:rsid w:val="00D54BE0"/>
    <w:rsid w:val="00D55178"/>
    <w:rsid w:val="00D5541E"/>
    <w:rsid w:val="00D560E7"/>
    <w:rsid w:val="00D564FA"/>
    <w:rsid w:val="00D57340"/>
    <w:rsid w:val="00D576AB"/>
    <w:rsid w:val="00D601E4"/>
    <w:rsid w:val="00D6050A"/>
    <w:rsid w:val="00D608CB"/>
    <w:rsid w:val="00D61021"/>
    <w:rsid w:val="00D6131F"/>
    <w:rsid w:val="00D6160E"/>
    <w:rsid w:val="00D61B97"/>
    <w:rsid w:val="00D62125"/>
    <w:rsid w:val="00D6229C"/>
    <w:rsid w:val="00D627BE"/>
    <w:rsid w:val="00D64091"/>
    <w:rsid w:val="00D655FA"/>
    <w:rsid w:val="00D659C5"/>
    <w:rsid w:val="00D663F1"/>
    <w:rsid w:val="00D66A16"/>
    <w:rsid w:val="00D66D39"/>
    <w:rsid w:val="00D66FCB"/>
    <w:rsid w:val="00D678F6"/>
    <w:rsid w:val="00D67B42"/>
    <w:rsid w:val="00D67D6F"/>
    <w:rsid w:val="00D67E3B"/>
    <w:rsid w:val="00D719D1"/>
    <w:rsid w:val="00D71B94"/>
    <w:rsid w:val="00D71E46"/>
    <w:rsid w:val="00D72278"/>
    <w:rsid w:val="00D72883"/>
    <w:rsid w:val="00D7291C"/>
    <w:rsid w:val="00D72DC4"/>
    <w:rsid w:val="00D73321"/>
    <w:rsid w:val="00D7390A"/>
    <w:rsid w:val="00D73978"/>
    <w:rsid w:val="00D73BBE"/>
    <w:rsid w:val="00D73FFF"/>
    <w:rsid w:val="00D74198"/>
    <w:rsid w:val="00D74332"/>
    <w:rsid w:val="00D74937"/>
    <w:rsid w:val="00D755FA"/>
    <w:rsid w:val="00D76186"/>
    <w:rsid w:val="00D7686F"/>
    <w:rsid w:val="00D773EA"/>
    <w:rsid w:val="00D7769A"/>
    <w:rsid w:val="00D77D2D"/>
    <w:rsid w:val="00D80206"/>
    <w:rsid w:val="00D8025C"/>
    <w:rsid w:val="00D802B6"/>
    <w:rsid w:val="00D8052D"/>
    <w:rsid w:val="00D8099B"/>
    <w:rsid w:val="00D80BD5"/>
    <w:rsid w:val="00D80C46"/>
    <w:rsid w:val="00D81019"/>
    <w:rsid w:val="00D81774"/>
    <w:rsid w:val="00D81CE3"/>
    <w:rsid w:val="00D82448"/>
    <w:rsid w:val="00D82876"/>
    <w:rsid w:val="00D82FA1"/>
    <w:rsid w:val="00D83B93"/>
    <w:rsid w:val="00D84196"/>
    <w:rsid w:val="00D8451E"/>
    <w:rsid w:val="00D85313"/>
    <w:rsid w:val="00D86CA9"/>
    <w:rsid w:val="00D903BD"/>
    <w:rsid w:val="00D906D6"/>
    <w:rsid w:val="00D90A11"/>
    <w:rsid w:val="00D91114"/>
    <w:rsid w:val="00D92810"/>
    <w:rsid w:val="00D928BA"/>
    <w:rsid w:val="00D928D6"/>
    <w:rsid w:val="00D929AD"/>
    <w:rsid w:val="00D92C86"/>
    <w:rsid w:val="00D92E28"/>
    <w:rsid w:val="00D92EEB"/>
    <w:rsid w:val="00D93DB6"/>
    <w:rsid w:val="00D941C8"/>
    <w:rsid w:val="00D95897"/>
    <w:rsid w:val="00D96085"/>
    <w:rsid w:val="00D96656"/>
    <w:rsid w:val="00D9671F"/>
    <w:rsid w:val="00D96B65"/>
    <w:rsid w:val="00D96C2F"/>
    <w:rsid w:val="00D96FAF"/>
    <w:rsid w:val="00D97681"/>
    <w:rsid w:val="00D97DD3"/>
    <w:rsid w:val="00DA09EF"/>
    <w:rsid w:val="00DA0C77"/>
    <w:rsid w:val="00DA0FE0"/>
    <w:rsid w:val="00DA116A"/>
    <w:rsid w:val="00DA17BF"/>
    <w:rsid w:val="00DA1A72"/>
    <w:rsid w:val="00DA1B67"/>
    <w:rsid w:val="00DA34FA"/>
    <w:rsid w:val="00DA4653"/>
    <w:rsid w:val="00DA5447"/>
    <w:rsid w:val="00DA6439"/>
    <w:rsid w:val="00DA67A6"/>
    <w:rsid w:val="00DA68AD"/>
    <w:rsid w:val="00DA7282"/>
    <w:rsid w:val="00DA72A4"/>
    <w:rsid w:val="00DB06DA"/>
    <w:rsid w:val="00DB0B6E"/>
    <w:rsid w:val="00DB0BE6"/>
    <w:rsid w:val="00DB0DCB"/>
    <w:rsid w:val="00DB1672"/>
    <w:rsid w:val="00DB2FB2"/>
    <w:rsid w:val="00DB3051"/>
    <w:rsid w:val="00DB339A"/>
    <w:rsid w:val="00DB37B3"/>
    <w:rsid w:val="00DB3883"/>
    <w:rsid w:val="00DB3DC6"/>
    <w:rsid w:val="00DB43E5"/>
    <w:rsid w:val="00DB447F"/>
    <w:rsid w:val="00DB45DF"/>
    <w:rsid w:val="00DB58E0"/>
    <w:rsid w:val="00DB6595"/>
    <w:rsid w:val="00DB6EB0"/>
    <w:rsid w:val="00DB783D"/>
    <w:rsid w:val="00DB7856"/>
    <w:rsid w:val="00DB795B"/>
    <w:rsid w:val="00DC06BB"/>
    <w:rsid w:val="00DC0941"/>
    <w:rsid w:val="00DC124A"/>
    <w:rsid w:val="00DC19B4"/>
    <w:rsid w:val="00DC1E30"/>
    <w:rsid w:val="00DC2DFF"/>
    <w:rsid w:val="00DC3A56"/>
    <w:rsid w:val="00DC3D8A"/>
    <w:rsid w:val="00DC5C6E"/>
    <w:rsid w:val="00DC69F3"/>
    <w:rsid w:val="00DC7268"/>
    <w:rsid w:val="00DC7386"/>
    <w:rsid w:val="00DD0951"/>
    <w:rsid w:val="00DD1102"/>
    <w:rsid w:val="00DD1809"/>
    <w:rsid w:val="00DD2552"/>
    <w:rsid w:val="00DD2E27"/>
    <w:rsid w:val="00DD469E"/>
    <w:rsid w:val="00DD5681"/>
    <w:rsid w:val="00DD5BE1"/>
    <w:rsid w:val="00DD5C9B"/>
    <w:rsid w:val="00DD6FBA"/>
    <w:rsid w:val="00DD6FDE"/>
    <w:rsid w:val="00DE0B45"/>
    <w:rsid w:val="00DE0C89"/>
    <w:rsid w:val="00DE0D15"/>
    <w:rsid w:val="00DE14C6"/>
    <w:rsid w:val="00DE28EC"/>
    <w:rsid w:val="00DE30D1"/>
    <w:rsid w:val="00DE36BD"/>
    <w:rsid w:val="00DE3D5A"/>
    <w:rsid w:val="00DE4634"/>
    <w:rsid w:val="00DE4B0E"/>
    <w:rsid w:val="00DE525D"/>
    <w:rsid w:val="00DE566E"/>
    <w:rsid w:val="00DE5A33"/>
    <w:rsid w:val="00DE5AB8"/>
    <w:rsid w:val="00DE6AA5"/>
    <w:rsid w:val="00DE7071"/>
    <w:rsid w:val="00DE7280"/>
    <w:rsid w:val="00DE765A"/>
    <w:rsid w:val="00DE7970"/>
    <w:rsid w:val="00DE7B1B"/>
    <w:rsid w:val="00DE7CB0"/>
    <w:rsid w:val="00DE7D0B"/>
    <w:rsid w:val="00DF1003"/>
    <w:rsid w:val="00DF13BB"/>
    <w:rsid w:val="00DF1568"/>
    <w:rsid w:val="00DF162C"/>
    <w:rsid w:val="00DF194A"/>
    <w:rsid w:val="00DF1985"/>
    <w:rsid w:val="00DF1DD8"/>
    <w:rsid w:val="00DF21CC"/>
    <w:rsid w:val="00DF2C41"/>
    <w:rsid w:val="00DF3880"/>
    <w:rsid w:val="00DF49BD"/>
    <w:rsid w:val="00DF4E61"/>
    <w:rsid w:val="00DF536B"/>
    <w:rsid w:val="00DF6410"/>
    <w:rsid w:val="00DF6FBC"/>
    <w:rsid w:val="00DF7CFF"/>
    <w:rsid w:val="00E00526"/>
    <w:rsid w:val="00E0092E"/>
    <w:rsid w:val="00E01455"/>
    <w:rsid w:val="00E01619"/>
    <w:rsid w:val="00E01671"/>
    <w:rsid w:val="00E01717"/>
    <w:rsid w:val="00E017AE"/>
    <w:rsid w:val="00E01960"/>
    <w:rsid w:val="00E02BA9"/>
    <w:rsid w:val="00E03332"/>
    <w:rsid w:val="00E0372F"/>
    <w:rsid w:val="00E03AD6"/>
    <w:rsid w:val="00E04A99"/>
    <w:rsid w:val="00E0561F"/>
    <w:rsid w:val="00E0610B"/>
    <w:rsid w:val="00E06A57"/>
    <w:rsid w:val="00E075CA"/>
    <w:rsid w:val="00E07A63"/>
    <w:rsid w:val="00E07B5E"/>
    <w:rsid w:val="00E1199A"/>
    <w:rsid w:val="00E128CA"/>
    <w:rsid w:val="00E13077"/>
    <w:rsid w:val="00E13FEA"/>
    <w:rsid w:val="00E1428A"/>
    <w:rsid w:val="00E14534"/>
    <w:rsid w:val="00E14FC6"/>
    <w:rsid w:val="00E15644"/>
    <w:rsid w:val="00E15D98"/>
    <w:rsid w:val="00E16285"/>
    <w:rsid w:val="00E164B6"/>
    <w:rsid w:val="00E16849"/>
    <w:rsid w:val="00E16BB5"/>
    <w:rsid w:val="00E17671"/>
    <w:rsid w:val="00E17AC0"/>
    <w:rsid w:val="00E20AA3"/>
    <w:rsid w:val="00E20DEA"/>
    <w:rsid w:val="00E20FA8"/>
    <w:rsid w:val="00E21B39"/>
    <w:rsid w:val="00E21C2D"/>
    <w:rsid w:val="00E21E77"/>
    <w:rsid w:val="00E22247"/>
    <w:rsid w:val="00E223FA"/>
    <w:rsid w:val="00E22C6C"/>
    <w:rsid w:val="00E23EB5"/>
    <w:rsid w:val="00E24485"/>
    <w:rsid w:val="00E24552"/>
    <w:rsid w:val="00E24D29"/>
    <w:rsid w:val="00E24D8B"/>
    <w:rsid w:val="00E24F02"/>
    <w:rsid w:val="00E25083"/>
    <w:rsid w:val="00E25B55"/>
    <w:rsid w:val="00E25C47"/>
    <w:rsid w:val="00E26B13"/>
    <w:rsid w:val="00E272E4"/>
    <w:rsid w:val="00E27392"/>
    <w:rsid w:val="00E30416"/>
    <w:rsid w:val="00E309B7"/>
    <w:rsid w:val="00E30F28"/>
    <w:rsid w:val="00E31260"/>
    <w:rsid w:val="00E313B8"/>
    <w:rsid w:val="00E31579"/>
    <w:rsid w:val="00E31C42"/>
    <w:rsid w:val="00E32755"/>
    <w:rsid w:val="00E32C60"/>
    <w:rsid w:val="00E3319A"/>
    <w:rsid w:val="00E334B9"/>
    <w:rsid w:val="00E3361B"/>
    <w:rsid w:val="00E34436"/>
    <w:rsid w:val="00E3638A"/>
    <w:rsid w:val="00E36448"/>
    <w:rsid w:val="00E37902"/>
    <w:rsid w:val="00E37CE2"/>
    <w:rsid w:val="00E403DC"/>
    <w:rsid w:val="00E40B22"/>
    <w:rsid w:val="00E41A11"/>
    <w:rsid w:val="00E424D8"/>
    <w:rsid w:val="00E4259E"/>
    <w:rsid w:val="00E42691"/>
    <w:rsid w:val="00E42A79"/>
    <w:rsid w:val="00E42B1A"/>
    <w:rsid w:val="00E42EC5"/>
    <w:rsid w:val="00E43344"/>
    <w:rsid w:val="00E441D4"/>
    <w:rsid w:val="00E442C7"/>
    <w:rsid w:val="00E46215"/>
    <w:rsid w:val="00E464C9"/>
    <w:rsid w:val="00E4659C"/>
    <w:rsid w:val="00E469A0"/>
    <w:rsid w:val="00E46A05"/>
    <w:rsid w:val="00E47835"/>
    <w:rsid w:val="00E47AEE"/>
    <w:rsid w:val="00E505CD"/>
    <w:rsid w:val="00E5068B"/>
    <w:rsid w:val="00E51051"/>
    <w:rsid w:val="00E514CC"/>
    <w:rsid w:val="00E517EC"/>
    <w:rsid w:val="00E52A2E"/>
    <w:rsid w:val="00E5362B"/>
    <w:rsid w:val="00E54AEA"/>
    <w:rsid w:val="00E54EE0"/>
    <w:rsid w:val="00E55326"/>
    <w:rsid w:val="00E569F3"/>
    <w:rsid w:val="00E56AE5"/>
    <w:rsid w:val="00E572DE"/>
    <w:rsid w:val="00E579DF"/>
    <w:rsid w:val="00E600AA"/>
    <w:rsid w:val="00E605A4"/>
    <w:rsid w:val="00E6092C"/>
    <w:rsid w:val="00E61C9A"/>
    <w:rsid w:val="00E62ED9"/>
    <w:rsid w:val="00E6317D"/>
    <w:rsid w:val="00E637BB"/>
    <w:rsid w:val="00E644C6"/>
    <w:rsid w:val="00E65693"/>
    <w:rsid w:val="00E65B1B"/>
    <w:rsid w:val="00E66516"/>
    <w:rsid w:val="00E666BA"/>
    <w:rsid w:val="00E66B93"/>
    <w:rsid w:val="00E67A28"/>
    <w:rsid w:val="00E704AA"/>
    <w:rsid w:val="00E70ECB"/>
    <w:rsid w:val="00E7123A"/>
    <w:rsid w:val="00E71871"/>
    <w:rsid w:val="00E743FC"/>
    <w:rsid w:val="00E74D89"/>
    <w:rsid w:val="00E74F47"/>
    <w:rsid w:val="00E7521A"/>
    <w:rsid w:val="00E75B9C"/>
    <w:rsid w:val="00E760A4"/>
    <w:rsid w:val="00E76542"/>
    <w:rsid w:val="00E7665A"/>
    <w:rsid w:val="00E76710"/>
    <w:rsid w:val="00E77476"/>
    <w:rsid w:val="00E77678"/>
    <w:rsid w:val="00E77CF7"/>
    <w:rsid w:val="00E80179"/>
    <w:rsid w:val="00E801C9"/>
    <w:rsid w:val="00E80EA6"/>
    <w:rsid w:val="00E80EAF"/>
    <w:rsid w:val="00E81002"/>
    <w:rsid w:val="00E82108"/>
    <w:rsid w:val="00E83884"/>
    <w:rsid w:val="00E83C3B"/>
    <w:rsid w:val="00E8475D"/>
    <w:rsid w:val="00E854BF"/>
    <w:rsid w:val="00E85C1C"/>
    <w:rsid w:val="00E85E0A"/>
    <w:rsid w:val="00E85E5B"/>
    <w:rsid w:val="00E86283"/>
    <w:rsid w:val="00E863D4"/>
    <w:rsid w:val="00E87A86"/>
    <w:rsid w:val="00E87EBB"/>
    <w:rsid w:val="00E90322"/>
    <w:rsid w:val="00E90462"/>
    <w:rsid w:val="00E90735"/>
    <w:rsid w:val="00E909F0"/>
    <w:rsid w:val="00E90AEB"/>
    <w:rsid w:val="00E90B47"/>
    <w:rsid w:val="00E911EA"/>
    <w:rsid w:val="00E91551"/>
    <w:rsid w:val="00E91727"/>
    <w:rsid w:val="00E9181F"/>
    <w:rsid w:val="00E91C1E"/>
    <w:rsid w:val="00E91C41"/>
    <w:rsid w:val="00E91E12"/>
    <w:rsid w:val="00E927E6"/>
    <w:rsid w:val="00E92909"/>
    <w:rsid w:val="00E92B76"/>
    <w:rsid w:val="00E93A4C"/>
    <w:rsid w:val="00E94232"/>
    <w:rsid w:val="00E94810"/>
    <w:rsid w:val="00E94A35"/>
    <w:rsid w:val="00E95030"/>
    <w:rsid w:val="00E95552"/>
    <w:rsid w:val="00E96B5A"/>
    <w:rsid w:val="00E972E5"/>
    <w:rsid w:val="00E97AB4"/>
    <w:rsid w:val="00EA007F"/>
    <w:rsid w:val="00EA030B"/>
    <w:rsid w:val="00EA0C91"/>
    <w:rsid w:val="00EA0F7D"/>
    <w:rsid w:val="00EA11E9"/>
    <w:rsid w:val="00EA141E"/>
    <w:rsid w:val="00EA14B4"/>
    <w:rsid w:val="00EA166C"/>
    <w:rsid w:val="00EA1A52"/>
    <w:rsid w:val="00EA26B1"/>
    <w:rsid w:val="00EA2924"/>
    <w:rsid w:val="00EA2CD2"/>
    <w:rsid w:val="00EA31EE"/>
    <w:rsid w:val="00EA3665"/>
    <w:rsid w:val="00EA369F"/>
    <w:rsid w:val="00EA3A06"/>
    <w:rsid w:val="00EA4476"/>
    <w:rsid w:val="00EA4841"/>
    <w:rsid w:val="00EA5DCA"/>
    <w:rsid w:val="00EA616F"/>
    <w:rsid w:val="00EA6AC0"/>
    <w:rsid w:val="00EA7AA8"/>
    <w:rsid w:val="00EB03C0"/>
    <w:rsid w:val="00EB0638"/>
    <w:rsid w:val="00EB082F"/>
    <w:rsid w:val="00EB0CD6"/>
    <w:rsid w:val="00EB0D17"/>
    <w:rsid w:val="00EB1334"/>
    <w:rsid w:val="00EB14D4"/>
    <w:rsid w:val="00EB150F"/>
    <w:rsid w:val="00EB1585"/>
    <w:rsid w:val="00EB1778"/>
    <w:rsid w:val="00EB1C96"/>
    <w:rsid w:val="00EB1D41"/>
    <w:rsid w:val="00EB1E58"/>
    <w:rsid w:val="00EB2367"/>
    <w:rsid w:val="00EB2416"/>
    <w:rsid w:val="00EB25C1"/>
    <w:rsid w:val="00EB25FF"/>
    <w:rsid w:val="00EB37CE"/>
    <w:rsid w:val="00EB4290"/>
    <w:rsid w:val="00EB4474"/>
    <w:rsid w:val="00EB4851"/>
    <w:rsid w:val="00EB503D"/>
    <w:rsid w:val="00EB50F9"/>
    <w:rsid w:val="00EB61D4"/>
    <w:rsid w:val="00EB6484"/>
    <w:rsid w:val="00EB6CCE"/>
    <w:rsid w:val="00EB6E8F"/>
    <w:rsid w:val="00EB7F3C"/>
    <w:rsid w:val="00EC000F"/>
    <w:rsid w:val="00EC1497"/>
    <w:rsid w:val="00EC1D4A"/>
    <w:rsid w:val="00EC2DBF"/>
    <w:rsid w:val="00EC32E5"/>
    <w:rsid w:val="00EC3EBA"/>
    <w:rsid w:val="00EC4038"/>
    <w:rsid w:val="00EC44AA"/>
    <w:rsid w:val="00EC461B"/>
    <w:rsid w:val="00EC4833"/>
    <w:rsid w:val="00EC5CBE"/>
    <w:rsid w:val="00EC6787"/>
    <w:rsid w:val="00EC68FD"/>
    <w:rsid w:val="00EC6B69"/>
    <w:rsid w:val="00EC6C92"/>
    <w:rsid w:val="00EC6DAD"/>
    <w:rsid w:val="00EC78AF"/>
    <w:rsid w:val="00EC7B16"/>
    <w:rsid w:val="00ED0BEC"/>
    <w:rsid w:val="00ED122A"/>
    <w:rsid w:val="00ED1A67"/>
    <w:rsid w:val="00ED2089"/>
    <w:rsid w:val="00ED25B2"/>
    <w:rsid w:val="00ED2821"/>
    <w:rsid w:val="00ED2A8B"/>
    <w:rsid w:val="00ED3D5B"/>
    <w:rsid w:val="00ED3EDA"/>
    <w:rsid w:val="00ED442C"/>
    <w:rsid w:val="00ED446C"/>
    <w:rsid w:val="00ED466E"/>
    <w:rsid w:val="00ED4F52"/>
    <w:rsid w:val="00ED4FE2"/>
    <w:rsid w:val="00ED4FF2"/>
    <w:rsid w:val="00ED513E"/>
    <w:rsid w:val="00ED5EB3"/>
    <w:rsid w:val="00ED60BC"/>
    <w:rsid w:val="00ED652B"/>
    <w:rsid w:val="00ED67D6"/>
    <w:rsid w:val="00ED6CEF"/>
    <w:rsid w:val="00ED7A0D"/>
    <w:rsid w:val="00ED7D9A"/>
    <w:rsid w:val="00ED7E15"/>
    <w:rsid w:val="00EE0194"/>
    <w:rsid w:val="00EE05DD"/>
    <w:rsid w:val="00EE0862"/>
    <w:rsid w:val="00EE09F3"/>
    <w:rsid w:val="00EE107B"/>
    <w:rsid w:val="00EE28A1"/>
    <w:rsid w:val="00EE2A27"/>
    <w:rsid w:val="00EE2DC6"/>
    <w:rsid w:val="00EE2F34"/>
    <w:rsid w:val="00EE3410"/>
    <w:rsid w:val="00EE37A1"/>
    <w:rsid w:val="00EE41AB"/>
    <w:rsid w:val="00EE4277"/>
    <w:rsid w:val="00EE4552"/>
    <w:rsid w:val="00EE466B"/>
    <w:rsid w:val="00EE471F"/>
    <w:rsid w:val="00EE5764"/>
    <w:rsid w:val="00EE5815"/>
    <w:rsid w:val="00EE63C2"/>
    <w:rsid w:val="00EE780E"/>
    <w:rsid w:val="00EF043A"/>
    <w:rsid w:val="00EF0A7D"/>
    <w:rsid w:val="00EF124C"/>
    <w:rsid w:val="00EF1543"/>
    <w:rsid w:val="00EF156B"/>
    <w:rsid w:val="00EF1616"/>
    <w:rsid w:val="00EF18FD"/>
    <w:rsid w:val="00EF1B85"/>
    <w:rsid w:val="00EF1E62"/>
    <w:rsid w:val="00EF1F02"/>
    <w:rsid w:val="00EF2278"/>
    <w:rsid w:val="00EF2390"/>
    <w:rsid w:val="00EF3B13"/>
    <w:rsid w:val="00EF56C5"/>
    <w:rsid w:val="00EF59FA"/>
    <w:rsid w:val="00EF5D08"/>
    <w:rsid w:val="00EF642D"/>
    <w:rsid w:val="00EF6F5E"/>
    <w:rsid w:val="00EF745D"/>
    <w:rsid w:val="00EF765D"/>
    <w:rsid w:val="00EF7DD6"/>
    <w:rsid w:val="00EF7E70"/>
    <w:rsid w:val="00F00BB9"/>
    <w:rsid w:val="00F00FC4"/>
    <w:rsid w:val="00F01E40"/>
    <w:rsid w:val="00F02BF4"/>
    <w:rsid w:val="00F03070"/>
    <w:rsid w:val="00F03139"/>
    <w:rsid w:val="00F0421E"/>
    <w:rsid w:val="00F04255"/>
    <w:rsid w:val="00F057B6"/>
    <w:rsid w:val="00F05856"/>
    <w:rsid w:val="00F05951"/>
    <w:rsid w:val="00F060B2"/>
    <w:rsid w:val="00F1168D"/>
    <w:rsid w:val="00F11697"/>
    <w:rsid w:val="00F11808"/>
    <w:rsid w:val="00F11A7E"/>
    <w:rsid w:val="00F11E07"/>
    <w:rsid w:val="00F123E7"/>
    <w:rsid w:val="00F129F8"/>
    <w:rsid w:val="00F13835"/>
    <w:rsid w:val="00F157AA"/>
    <w:rsid w:val="00F15FF9"/>
    <w:rsid w:val="00F167AC"/>
    <w:rsid w:val="00F16A09"/>
    <w:rsid w:val="00F16ECE"/>
    <w:rsid w:val="00F1732F"/>
    <w:rsid w:val="00F17919"/>
    <w:rsid w:val="00F20059"/>
    <w:rsid w:val="00F204E7"/>
    <w:rsid w:val="00F2210A"/>
    <w:rsid w:val="00F2255F"/>
    <w:rsid w:val="00F226A8"/>
    <w:rsid w:val="00F22D4A"/>
    <w:rsid w:val="00F24299"/>
    <w:rsid w:val="00F243B9"/>
    <w:rsid w:val="00F244FB"/>
    <w:rsid w:val="00F246D9"/>
    <w:rsid w:val="00F24A46"/>
    <w:rsid w:val="00F25A80"/>
    <w:rsid w:val="00F25CA0"/>
    <w:rsid w:val="00F25DA5"/>
    <w:rsid w:val="00F2600A"/>
    <w:rsid w:val="00F26675"/>
    <w:rsid w:val="00F26846"/>
    <w:rsid w:val="00F26EA0"/>
    <w:rsid w:val="00F27771"/>
    <w:rsid w:val="00F27C18"/>
    <w:rsid w:val="00F300A0"/>
    <w:rsid w:val="00F3126C"/>
    <w:rsid w:val="00F314BE"/>
    <w:rsid w:val="00F31684"/>
    <w:rsid w:val="00F32122"/>
    <w:rsid w:val="00F328D0"/>
    <w:rsid w:val="00F32BEA"/>
    <w:rsid w:val="00F33568"/>
    <w:rsid w:val="00F34055"/>
    <w:rsid w:val="00F3428A"/>
    <w:rsid w:val="00F34308"/>
    <w:rsid w:val="00F3446F"/>
    <w:rsid w:val="00F3481E"/>
    <w:rsid w:val="00F3499D"/>
    <w:rsid w:val="00F3579F"/>
    <w:rsid w:val="00F35933"/>
    <w:rsid w:val="00F35BFA"/>
    <w:rsid w:val="00F36277"/>
    <w:rsid w:val="00F363AC"/>
    <w:rsid w:val="00F3683B"/>
    <w:rsid w:val="00F36C61"/>
    <w:rsid w:val="00F3709C"/>
    <w:rsid w:val="00F3710A"/>
    <w:rsid w:val="00F37166"/>
    <w:rsid w:val="00F40375"/>
    <w:rsid w:val="00F405F3"/>
    <w:rsid w:val="00F42F5B"/>
    <w:rsid w:val="00F4487B"/>
    <w:rsid w:val="00F45DB1"/>
    <w:rsid w:val="00F4633F"/>
    <w:rsid w:val="00F466F0"/>
    <w:rsid w:val="00F4682B"/>
    <w:rsid w:val="00F473AB"/>
    <w:rsid w:val="00F5016C"/>
    <w:rsid w:val="00F50207"/>
    <w:rsid w:val="00F52065"/>
    <w:rsid w:val="00F52098"/>
    <w:rsid w:val="00F52AC6"/>
    <w:rsid w:val="00F52C9A"/>
    <w:rsid w:val="00F52D58"/>
    <w:rsid w:val="00F53CA0"/>
    <w:rsid w:val="00F54C0D"/>
    <w:rsid w:val="00F54C18"/>
    <w:rsid w:val="00F550F0"/>
    <w:rsid w:val="00F556AB"/>
    <w:rsid w:val="00F559DE"/>
    <w:rsid w:val="00F55B27"/>
    <w:rsid w:val="00F569EC"/>
    <w:rsid w:val="00F57D6F"/>
    <w:rsid w:val="00F57EF4"/>
    <w:rsid w:val="00F6076F"/>
    <w:rsid w:val="00F615AB"/>
    <w:rsid w:val="00F617D6"/>
    <w:rsid w:val="00F61B19"/>
    <w:rsid w:val="00F61C28"/>
    <w:rsid w:val="00F61FFF"/>
    <w:rsid w:val="00F622AA"/>
    <w:rsid w:val="00F62682"/>
    <w:rsid w:val="00F62C9B"/>
    <w:rsid w:val="00F639D0"/>
    <w:rsid w:val="00F6457A"/>
    <w:rsid w:val="00F64F2A"/>
    <w:rsid w:val="00F652C9"/>
    <w:rsid w:val="00F65B0E"/>
    <w:rsid w:val="00F65B56"/>
    <w:rsid w:val="00F65BE0"/>
    <w:rsid w:val="00F65C09"/>
    <w:rsid w:val="00F65C59"/>
    <w:rsid w:val="00F6698D"/>
    <w:rsid w:val="00F673E8"/>
    <w:rsid w:val="00F6768F"/>
    <w:rsid w:val="00F67C37"/>
    <w:rsid w:val="00F702E2"/>
    <w:rsid w:val="00F70664"/>
    <w:rsid w:val="00F709EF"/>
    <w:rsid w:val="00F70A3E"/>
    <w:rsid w:val="00F70DC6"/>
    <w:rsid w:val="00F7167A"/>
    <w:rsid w:val="00F7247E"/>
    <w:rsid w:val="00F728AA"/>
    <w:rsid w:val="00F72CA1"/>
    <w:rsid w:val="00F72D64"/>
    <w:rsid w:val="00F730FB"/>
    <w:rsid w:val="00F73740"/>
    <w:rsid w:val="00F73823"/>
    <w:rsid w:val="00F74114"/>
    <w:rsid w:val="00F741FC"/>
    <w:rsid w:val="00F742A3"/>
    <w:rsid w:val="00F74392"/>
    <w:rsid w:val="00F74ACD"/>
    <w:rsid w:val="00F75279"/>
    <w:rsid w:val="00F75C15"/>
    <w:rsid w:val="00F75D00"/>
    <w:rsid w:val="00F761B4"/>
    <w:rsid w:val="00F7714F"/>
    <w:rsid w:val="00F77AE4"/>
    <w:rsid w:val="00F80BD6"/>
    <w:rsid w:val="00F816E4"/>
    <w:rsid w:val="00F81BE7"/>
    <w:rsid w:val="00F81D5A"/>
    <w:rsid w:val="00F8221D"/>
    <w:rsid w:val="00F826F1"/>
    <w:rsid w:val="00F837A4"/>
    <w:rsid w:val="00F83B36"/>
    <w:rsid w:val="00F840BB"/>
    <w:rsid w:val="00F84175"/>
    <w:rsid w:val="00F845B7"/>
    <w:rsid w:val="00F84AD4"/>
    <w:rsid w:val="00F84C53"/>
    <w:rsid w:val="00F85304"/>
    <w:rsid w:val="00F8657D"/>
    <w:rsid w:val="00F86947"/>
    <w:rsid w:val="00F86B13"/>
    <w:rsid w:val="00F90476"/>
    <w:rsid w:val="00F917EF"/>
    <w:rsid w:val="00F91FD3"/>
    <w:rsid w:val="00F923FA"/>
    <w:rsid w:val="00F925E2"/>
    <w:rsid w:val="00F92D14"/>
    <w:rsid w:val="00F92DA9"/>
    <w:rsid w:val="00F934CE"/>
    <w:rsid w:val="00F93642"/>
    <w:rsid w:val="00F93B42"/>
    <w:rsid w:val="00F94476"/>
    <w:rsid w:val="00F94956"/>
    <w:rsid w:val="00F94E42"/>
    <w:rsid w:val="00F95DC2"/>
    <w:rsid w:val="00F95E8B"/>
    <w:rsid w:val="00F969F3"/>
    <w:rsid w:val="00F97140"/>
    <w:rsid w:val="00F979C9"/>
    <w:rsid w:val="00FA04EC"/>
    <w:rsid w:val="00FA0698"/>
    <w:rsid w:val="00FA0DA4"/>
    <w:rsid w:val="00FA234C"/>
    <w:rsid w:val="00FA28F9"/>
    <w:rsid w:val="00FA375C"/>
    <w:rsid w:val="00FA3ED4"/>
    <w:rsid w:val="00FA4870"/>
    <w:rsid w:val="00FA4A4F"/>
    <w:rsid w:val="00FA4D75"/>
    <w:rsid w:val="00FA506A"/>
    <w:rsid w:val="00FA5DF4"/>
    <w:rsid w:val="00FA612D"/>
    <w:rsid w:val="00FA636B"/>
    <w:rsid w:val="00FA654B"/>
    <w:rsid w:val="00FA6FAB"/>
    <w:rsid w:val="00FA7316"/>
    <w:rsid w:val="00FA7800"/>
    <w:rsid w:val="00FB02D7"/>
    <w:rsid w:val="00FB0570"/>
    <w:rsid w:val="00FB08A2"/>
    <w:rsid w:val="00FB0AED"/>
    <w:rsid w:val="00FB0F26"/>
    <w:rsid w:val="00FB14FD"/>
    <w:rsid w:val="00FB157C"/>
    <w:rsid w:val="00FB1A00"/>
    <w:rsid w:val="00FB1E35"/>
    <w:rsid w:val="00FB2FF4"/>
    <w:rsid w:val="00FB38CA"/>
    <w:rsid w:val="00FB3E9F"/>
    <w:rsid w:val="00FB5B82"/>
    <w:rsid w:val="00FB62BB"/>
    <w:rsid w:val="00FB6407"/>
    <w:rsid w:val="00FB6E17"/>
    <w:rsid w:val="00FB76E1"/>
    <w:rsid w:val="00FB79C1"/>
    <w:rsid w:val="00FC0875"/>
    <w:rsid w:val="00FC1846"/>
    <w:rsid w:val="00FC2301"/>
    <w:rsid w:val="00FC2E3A"/>
    <w:rsid w:val="00FC30F2"/>
    <w:rsid w:val="00FC4204"/>
    <w:rsid w:val="00FC4B2B"/>
    <w:rsid w:val="00FC7E25"/>
    <w:rsid w:val="00FD04F2"/>
    <w:rsid w:val="00FD10A1"/>
    <w:rsid w:val="00FD136A"/>
    <w:rsid w:val="00FD296F"/>
    <w:rsid w:val="00FD2FDC"/>
    <w:rsid w:val="00FD38A7"/>
    <w:rsid w:val="00FD394B"/>
    <w:rsid w:val="00FD3B8A"/>
    <w:rsid w:val="00FD3F99"/>
    <w:rsid w:val="00FD4F47"/>
    <w:rsid w:val="00FD526F"/>
    <w:rsid w:val="00FD6184"/>
    <w:rsid w:val="00FD65E2"/>
    <w:rsid w:val="00FD67F6"/>
    <w:rsid w:val="00FD78AD"/>
    <w:rsid w:val="00FE0C85"/>
    <w:rsid w:val="00FE15C7"/>
    <w:rsid w:val="00FE1A5A"/>
    <w:rsid w:val="00FE21FE"/>
    <w:rsid w:val="00FE2523"/>
    <w:rsid w:val="00FE2B7F"/>
    <w:rsid w:val="00FE4309"/>
    <w:rsid w:val="00FE4799"/>
    <w:rsid w:val="00FE5148"/>
    <w:rsid w:val="00FE5FBE"/>
    <w:rsid w:val="00FE6312"/>
    <w:rsid w:val="00FE6864"/>
    <w:rsid w:val="00FE78C4"/>
    <w:rsid w:val="00FF0140"/>
    <w:rsid w:val="00FF0926"/>
    <w:rsid w:val="00FF0DC3"/>
    <w:rsid w:val="00FF14EB"/>
    <w:rsid w:val="00FF1716"/>
    <w:rsid w:val="00FF2137"/>
    <w:rsid w:val="00FF21C8"/>
    <w:rsid w:val="00FF2E1C"/>
    <w:rsid w:val="00FF35CD"/>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61DA9"/>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nhideWhenUsed/>
    <w:qFormat/>
    <w:rsid w:val="00006E01"/>
    <w:rPr>
      <w:sz w:val="21"/>
      <w:szCs w:val="21"/>
    </w:rPr>
  </w:style>
  <w:style w:type="paragraph" w:styleId="ac">
    <w:name w:val="annotation text"/>
    <w:basedOn w:val="a"/>
    <w:link w:val="ad"/>
    <w:unhideWhenUsed/>
    <w:qFormat/>
    <w:rsid w:val="00006E01"/>
    <w:pPr>
      <w:jc w:val="left"/>
    </w:pPr>
  </w:style>
  <w:style w:type="character" w:customStyle="1" w:styleId="ad">
    <w:name w:val="批注文字 字符"/>
    <w:basedOn w:val="a0"/>
    <w:link w:val="ac"/>
    <w:qFormat/>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 w:type="character" w:styleId="af3">
    <w:name w:val="Strong"/>
    <w:basedOn w:val="a0"/>
    <w:uiPriority w:val="22"/>
    <w:qFormat/>
    <w:rsid w:val="00CA1B43"/>
    <w:rPr>
      <w:b/>
      <w:bCs/>
    </w:rPr>
  </w:style>
  <w:style w:type="character" w:customStyle="1" w:styleId="0MaintextChar">
    <w:name w:val="0 Main text Char"/>
    <w:link w:val="0Maintext"/>
    <w:qFormat/>
    <w:locked/>
    <w:rsid w:val="007D6419"/>
    <w:rPr>
      <w:rFonts w:ascii="Times New Roman" w:hAnsi="Times New Roman" w:cs="Times New Roman"/>
      <w:lang w:val="en-GB" w:eastAsia="en-US"/>
    </w:rPr>
  </w:style>
  <w:style w:type="paragraph" w:customStyle="1" w:styleId="0Maintext">
    <w:name w:val="0 Main text"/>
    <w:basedOn w:val="a"/>
    <w:link w:val="0MaintextChar"/>
    <w:qFormat/>
    <w:rsid w:val="007D6419"/>
    <w:pPr>
      <w:spacing w:beforeLines="0" w:before="0" w:afterLines="0" w:after="0"/>
    </w:pPr>
    <w:rPr>
      <w:rFonts w:eastAsiaTheme="minorEastAsia" w:cs="Times New Roman"/>
      <w:sz w:val="21"/>
      <w:szCs w:val="21"/>
      <w:lang w:val="en-GB" w:eastAsia="en-US"/>
    </w:rPr>
  </w:style>
  <w:style w:type="character" w:customStyle="1" w:styleId="3GPPNormalTextChar">
    <w:name w:val="3GPP Normal Text Char"/>
    <w:link w:val="3GPPNormalText"/>
    <w:qFormat/>
    <w:locked/>
    <w:rsid w:val="005E71B8"/>
    <w:rPr>
      <w:rFonts w:ascii="MS Mincho" w:eastAsia="MS Mincho" w:hAnsi="MS Mincho"/>
      <w:sz w:val="22"/>
      <w:szCs w:val="24"/>
      <w:lang w:val="en-GB" w:eastAsia="en-US"/>
    </w:rPr>
  </w:style>
  <w:style w:type="paragraph" w:customStyle="1" w:styleId="3GPPNormalText">
    <w:name w:val="3GPP Normal Text"/>
    <w:basedOn w:val="af4"/>
    <w:link w:val="3GPPNormalTextChar"/>
    <w:qFormat/>
    <w:rsid w:val="005E71B8"/>
    <w:pPr>
      <w:spacing w:beforeLines="0" w:before="0" w:afterLines="0" w:line="256" w:lineRule="auto"/>
    </w:pPr>
    <w:rPr>
      <w:rFonts w:ascii="MS Mincho" w:eastAsia="MS Mincho" w:hAnsi="MS Mincho"/>
      <w:sz w:val="22"/>
      <w:szCs w:val="24"/>
      <w:lang w:val="en-GB" w:eastAsia="en-US"/>
    </w:rPr>
  </w:style>
  <w:style w:type="paragraph" w:styleId="af4">
    <w:name w:val="Body Text"/>
    <w:basedOn w:val="a"/>
    <w:link w:val="af5"/>
    <w:uiPriority w:val="99"/>
    <w:semiHidden/>
    <w:unhideWhenUsed/>
    <w:rsid w:val="005E71B8"/>
    <w:pPr>
      <w:spacing w:after="120"/>
    </w:pPr>
  </w:style>
  <w:style w:type="character" w:customStyle="1" w:styleId="af5">
    <w:name w:val="正文文本 字符"/>
    <w:basedOn w:val="a0"/>
    <w:link w:val="af4"/>
    <w:uiPriority w:val="99"/>
    <w:semiHidden/>
    <w:rsid w:val="005E71B8"/>
    <w:rPr>
      <w:rFonts w:ascii="Times New Roman" w:eastAsia="Times New Roman" w:hAnsi="Times New Roman"/>
      <w:sz w:val="20"/>
      <w:szCs w:val="20"/>
    </w:rPr>
  </w:style>
  <w:style w:type="character" w:customStyle="1" w:styleId="apple-converted-space">
    <w:name w:val="apple-converted-space"/>
    <w:qFormat/>
    <w:rsid w:val="001F5514"/>
  </w:style>
  <w:style w:type="paragraph" w:styleId="af6">
    <w:name w:val="caption"/>
    <w:basedOn w:val="a"/>
    <w:next w:val="a"/>
    <w:uiPriority w:val="35"/>
    <w:unhideWhenUsed/>
    <w:qFormat/>
    <w:rsid w:val="00057CED"/>
    <w:rPr>
      <w:rFonts w:asciiTheme="majorHAnsi" w:eastAsia="黑体" w:hAnsiTheme="majorHAnsi" w:cstheme="majorBidi"/>
    </w:rPr>
  </w:style>
  <w:style w:type="paragraph" w:styleId="af7">
    <w:name w:val="Normal (Web)"/>
    <w:basedOn w:val="a"/>
    <w:uiPriority w:val="99"/>
    <w:semiHidden/>
    <w:unhideWhenUsed/>
    <w:rsid w:val="001D3FF9"/>
    <w:pPr>
      <w:spacing w:beforeLines="0" w:before="100" w:beforeAutospacing="1" w:afterLines="0" w:after="100" w:afterAutospacing="1"/>
      <w:jc w:val="left"/>
    </w:pPr>
    <w:rPr>
      <w:rFonts w:ascii="宋体" w:eastAsia="宋体" w:hAnsi="宋体" w:cs="宋体"/>
      <w:kern w:val="0"/>
      <w:sz w:val="24"/>
      <w:szCs w:val="24"/>
    </w:rPr>
  </w:style>
  <w:style w:type="character" w:customStyle="1" w:styleId="ui-provider">
    <w:name w:val="ui-provider"/>
    <w:basedOn w:val="a0"/>
    <w:rsid w:val="00B05D3A"/>
  </w:style>
  <w:style w:type="paragraph" w:customStyle="1" w:styleId="B1">
    <w:name w:val="B1"/>
    <w:basedOn w:val="af8"/>
    <w:link w:val="B10"/>
    <w:qFormat/>
    <w:rsid w:val="00A4052E"/>
    <w:pPr>
      <w:spacing w:beforeLines="0" w:before="0" w:afterLines="0" w:after="180"/>
      <w:ind w:left="568" w:firstLineChars="0" w:hanging="284"/>
      <w:contextualSpacing w:val="0"/>
      <w:jc w:val="left"/>
    </w:pPr>
    <w:rPr>
      <w:rFonts w:eastAsiaTheme="minorEastAsia" w:cs="Times New Roman"/>
      <w:kern w:val="0"/>
      <w:lang w:val="en-GB" w:eastAsia="en-US"/>
    </w:rPr>
  </w:style>
  <w:style w:type="character" w:customStyle="1" w:styleId="B10">
    <w:name w:val="B1 (文字)"/>
    <w:link w:val="B1"/>
    <w:qFormat/>
    <w:locked/>
    <w:rsid w:val="00A4052E"/>
    <w:rPr>
      <w:rFonts w:ascii="Times New Roman" w:hAnsi="Times New Roman" w:cs="Times New Roman"/>
      <w:kern w:val="0"/>
      <w:sz w:val="20"/>
      <w:szCs w:val="20"/>
      <w:lang w:val="en-GB" w:eastAsia="en-US"/>
    </w:rPr>
  </w:style>
  <w:style w:type="paragraph" w:styleId="af8">
    <w:name w:val="List"/>
    <w:basedOn w:val="a"/>
    <w:uiPriority w:val="99"/>
    <w:semiHidden/>
    <w:unhideWhenUsed/>
    <w:rsid w:val="00A4052E"/>
    <w:pPr>
      <w:ind w:left="200" w:hangingChars="200" w:hanging="200"/>
      <w:contextualSpacing/>
    </w:pPr>
  </w:style>
  <w:style w:type="character" w:customStyle="1" w:styleId="CRCoverPageZchn">
    <w:name w:val="CR Cover Page Zchn"/>
    <w:link w:val="CRCoverPage"/>
    <w:locked/>
    <w:rsid w:val="00D37426"/>
    <w:rPr>
      <w:rFonts w:ascii="Arial" w:hAnsi="Arial" w:cs="Arial"/>
      <w:lang w:val="en-GB" w:eastAsia="en-US"/>
    </w:rPr>
  </w:style>
  <w:style w:type="paragraph" w:customStyle="1" w:styleId="CRCoverPage">
    <w:name w:val="CR Cover Page"/>
    <w:link w:val="CRCoverPageZchn"/>
    <w:qFormat/>
    <w:rsid w:val="00D37426"/>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18314936">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77364057">
      <w:bodyDiv w:val="1"/>
      <w:marLeft w:val="0"/>
      <w:marRight w:val="0"/>
      <w:marTop w:val="0"/>
      <w:marBottom w:val="0"/>
      <w:divBdr>
        <w:top w:val="none" w:sz="0" w:space="0" w:color="auto"/>
        <w:left w:val="none" w:sz="0" w:space="0" w:color="auto"/>
        <w:bottom w:val="none" w:sz="0" w:space="0" w:color="auto"/>
        <w:right w:val="none" w:sz="0" w:space="0" w:color="auto"/>
      </w:divBdr>
    </w:div>
    <w:div w:id="107353134">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263927671">
      <w:bodyDiv w:val="1"/>
      <w:marLeft w:val="0"/>
      <w:marRight w:val="0"/>
      <w:marTop w:val="0"/>
      <w:marBottom w:val="0"/>
      <w:divBdr>
        <w:top w:val="none" w:sz="0" w:space="0" w:color="auto"/>
        <w:left w:val="none" w:sz="0" w:space="0" w:color="auto"/>
        <w:bottom w:val="none" w:sz="0" w:space="0" w:color="auto"/>
        <w:right w:val="none" w:sz="0" w:space="0" w:color="auto"/>
      </w:divBdr>
    </w:div>
    <w:div w:id="290744456">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47604489">
      <w:bodyDiv w:val="1"/>
      <w:marLeft w:val="0"/>
      <w:marRight w:val="0"/>
      <w:marTop w:val="0"/>
      <w:marBottom w:val="0"/>
      <w:divBdr>
        <w:top w:val="none" w:sz="0" w:space="0" w:color="auto"/>
        <w:left w:val="none" w:sz="0" w:space="0" w:color="auto"/>
        <w:bottom w:val="none" w:sz="0" w:space="0" w:color="auto"/>
        <w:right w:val="none" w:sz="0" w:space="0" w:color="auto"/>
      </w:divBdr>
    </w:div>
    <w:div w:id="349843934">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69111472">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432480565">
      <w:bodyDiv w:val="1"/>
      <w:marLeft w:val="0"/>
      <w:marRight w:val="0"/>
      <w:marTop w:val="0"/>
      <w:marBottom w:val="0"/>
      <w:divBdr>
        <w:top w:val="none" w:sz="0" w:space="0" w:color="auto"/>
        <w:left w:val="none" w:sz="0" w:space="0" w:color="auto"/>
        <w:bottom w:val="none" w:sz="0" w:space="0" w:color="auto"/>
        <w:right w:val="none" w:sz="0" w:space="0" w:color="auto"/>
      </w:divBdr>
    </w:div>
    <w:div w:id="436489939">
      <w:bodyDiv w:val="1"/>
      <w:marLeft w:val="0"/>
      <w:marRight w:val="0"/>
      <w:marTop w:val="0"/>
      <w:marBottom w:val="0"/>
      <w:divBdr>
        <w:top w:val="none" w:sz="0" w:space="0" w:color="auto"/>
        <w:left w:val="none" w:sz="0" w:space="0" w:color="auto"/>
        <w:bottom w:val="none" w:sz="0" w:space="0" w:color="auto"/>
        <w:right w:val="none" w:sz="0" w:space="0" w:color="auto"/>
      </w:divBdr>
    </w:div>
    <w:div w:id="447551471">
      <w:bodyDiv w:val="1"/>
      <w:marLeft w:val="0"/>
      <w:marRight w:val="0"/>
      <w:marTop w:val="0"/>
      <w:marBottom w:val="0"/>
      <w:divBdr>
        <w:top w:val="none" w:sz="0" w:space="0" w:color="auto"/>
        <w:left w:val="none" w:sz="0" w:space="0" w:color="auto"/>
        <w:bottom w:val="none" w:sz="0" w:space="0" w:color="auto"/>
        <w:right w:val="none" w:sz="0" w:space="0" w:color="auto"/>
      </w:divBdr>
    </w:div>
    <w:div w:id="484014632">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48763619">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571768554">
      <w:bodyDiv w:val="1"/>
      <w:marLeft w:val="0"/>
      <w:marRight w:val="0"/>
      <w:marTop w:val="0"/>
      <w:marBottom w:val="0"/>
      <w:divBdr>
        <w:top w:val="none" w:sz="0" w:space="0" w:color="auto"/>
        <w:left w:val="none" w:sz="0" w:space="0" w:color="auto"/>
        <w:bottom w:val="none" w:sz="0" w:space="0" w:color="auto"/>
        <w:right w:val="none" w:sz="0" w:space="0" w:color="auto"/>
      </w:divBdr>
    </w:div>
    <w:div w:id="578251165">
      <w:bodyDiv w:val="1"/>
      <w:marLeft w:val="0"/>
      <w:marRight w:val="0"/>
      <w:marTop w:val="0"/>
      <w:marBottom w:val="0"/>
      <w:divBdr>
        <w:top w:val="none" w:sz="0" w:space="0" w:color="auto"/>
        <w:left w:val="none" w:sz="0" w:space="0" w:color="auto"/>
        <w:bottom w:val="none" w:sz="0" w:space="0" w:color="auto"/>
        <w:right w:val="none" w:sz="0" w:space="0" w:color="auto"/>
      </w:divBdr>
    </w:div>
    <w:div w:id="604465070">
      <w:bodyDiv w:val="1"/>
      <w:marLeft w:val="0"/>
      <w:marRight w:val="0"/>
      <w:marTop w:val="0"/>
      <w:marBottom w:val="0"/>
      <w:divBdr>
        <w:top w:val="none" w:sz="0" w:space="0" w:color="auto"/>
        <w:left w:val="none" w:sz="0" w:space="0" w:color="auto"/>
        <w:bottom w:val="none" w:sz="0" w:space="0" w:color="auto"/>
        <w:right w:val="none" w:sz="0" w:space="0" w:color="auto"/>
      </w:divBdr>
    </w:div>
    <w:div w:id="613487501">
      <w:bodyDiv w:val="1"/>
      <w:marLeft w:val="0"/>
      <w:marRight w:val="0"/>
      <w:marTop w:val="0"/>
      <w:marBottom w:val="0"/>
      <w:divBdr>
        <w:top w:val="none" w:sz="0" w:space="0" w:color="auto"/>
        <w:left w:val="none" w:sz="0" w:space="0" w:color="auto"/>
        <w:bottom w:val="none" w:sz="0" w:space="0" w:color="auto"/>
        <w:right w:val="none" w:sz="0" w:space="0" w:color="auto"/>
      </w:divBdr>
    </w:div>
    <w:div w:id="635991421">
      <w:bodyDiv w:val="1"/>
      <w:marLeft w:val="0"/>
      <w:marRight w:val="0"/>
      <w:marTop w:val="0"/>
      <w:marBottom w:val="0"/>
      <w:divBdr>
        <w:top w:val="none" w:sz="0" w:space="0" w:color="auto"/>
        <w:left w:val="none" w:sz="0" w:space="0" w:color="auto"/>
        <w:bottom w:val="none" w:sz="0" w:space="0" w:color="auto"/>
        <w:right w:val="none" w:sz="0" w:space="0" w:color="auto"/>
      </w:divBdr>
    </w:div>
    <w:div w:id="658726055">
      <w:bodyDiv w:val="1"/>
      <w:marLeft w:val="0"/>
      <w:marRight w:val="0"/>
      <w:marTop w:val="0"/>
      <w:marBottom w:val="0"/>
      <w:divBdr>
        <w:top w:val="none" w:sz="0" w:space="0" w:color="auto"/>
        <w:left w:val="none" w:sz="0" w:space="0" w:color="auto"/>
        <w:bottom w:val="none" w:sz="0" w:space="0" w:color="auto"/>
        <w:right w:val="none" w:sz="0" w:space="0" w:color="auto"/>
      </w:divBdr>
    </w:div>
    <w:div w:id="663775640">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27533154">
      <w:bodyDiv w:val="1"/>
      <w:marLeft w:val="0"/>
      <w:marRight w:val="0"/>
      <w:marTop w:val="0"/>
      <w:marBottom w:val="0"/>
      <w:divBdr>
        <w:top w:val="none" w:sz="0" w:space="0" w:color="auto"/>
        <w:left w:val="none" w:sz="0" w:space="0" w:color="auto"/>
        <w:bottom w:val="none" w:sz="0" w:space="0" w:color="auto"/>
        <w:right w:val="none" w:sz="0" w:space="0" w:color="auto"/>
      </w:divBdr>
    </w:div>
    <w:div w:id="735788379">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739253502">
      <w:bodyDiv w:val="1"/>
      <w:marLeft w:val="0"/>
      <w:marRight w:val="0"/>
      <w:marTop w:val="0"/>
      <w:marBottom w:val="0"/>
      <w:divBdr>
        <w:top w:val="none" w:sz="0" w:space="0" w:color="auto"/>
        <w:left w:val="none" w:sz="0" w:space="0" w:color="auto"/>
        <w:bottom w:val="none" w:sz="0" w:space="0" w:color="auto"/>
        <w:right w:val="none" w:sz="0" w:space="0" w:color="auto"/>
      </w:divBdr>
    </w:div>
    <w:div w:id="842822263">
      <w:bodyDiv w:val="1"/>
      <w:marLeft w:val="0"/>
      <w:marRight w:val="0"/>
      <w:marTop w:val="0"/>
      <w:marBottom w:val="0"/>
      <w:divBdr>
        <w:top w:val="none" w:sz="0" w:space="0" w:color="auto"/>
        <w:left w:val="none" w:sz="0" w:space="0" w:color="auto"/>
        <w:bottom w:val="none" w:sz="0" w:space="0" w:color="auto"/>
        <w:right w:val="none" w:sz="0" w:space="0" w:color="auto"/>
      </w:divBdr>
    </w:div>
    <w:div w:id="919557393">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998969674">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50303387">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061947927">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287932095">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426225538">
      <w:bodyDiv w:val="1"/>
      <w:marLeft w:val="0"/>
      <w:marRight w:val="0"/>
      <w:marTop w:val="0"/>
      <w:marBottom w:val="0"/>
      <w:divBdr>
        <w:top w:val="none" w:sz="0" w:space="0" w:color="auto"/>
        <w:left w:val="none" w:sz="0" w:space="0" w:color="auto"/>
        <w:bottom w:val="none" w:sz="0" w:space="0" w:color="auto"/>
        <w:right w:val="none" w:sz="0" w:space="0" w:color="auto"/>
      </w:divBdr>
    </w:div>
    <w:div w:id="1495876908">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6045670">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581645973">
      <w:bodyDiv w:val="1"/>
      <w:marLeft w:val="0"/>
      <w:marRight w:val="0"/>
      <w:marTop w:val="0"/>
      <w:marBottom w:val="0"/>
      <w:divBdr>
        <w:top w:val="none" w:sz="0" w:space="0" w:color="auto"/>
        <w:left w:val="none" w:sz="0" w:space="0" w:color="auto"/>
        <w:bottom w:val="none" w:sz="0" w:space="0" w:color="auto"/>
        <w:right w:val="none" w:sz="0" w:space="0" w:color="auto"/>
      </w:divBdr>
    </w:div>
    <w:div w:id="1592659139">
      <w:bodyDiv w:val="1"/>
      <w:marLeft w:val="0"/>
      <w:marRight w:val="0"/>
      <w:marTop w:val="0"/>
      <w:marBottom w:val="0"/>
      <w:divBdr>
        <w:top w:val="none" w:sz="0" w:space="0" w:color="auto"/>
        <w:left w:val="none" w:sz="0" w:space="0" w:color="auto"/>
        <w:bottom w:val="none" w:sz="0" w:space="0" w:color="auto"/>
        <w:right w:val="none" w:sz="0" w:space="0" w:color="auto"/>
      </w:divBdr>
    </w:div>
    <w:div w:id="1622610261">
      <w:bodyDiv w:val="1"/>
      <w:marLeft w:val="0"/>
      <w:marRight w:val="0"/>
      <w:marTop w:val="0"/>
      <w:marBottom w:val="0"/>
      <w:divBdr>
        <w:top w:val="none" w:sz="0" w:space="0" w:color="auto"/>
        <w:left w:val="none" w:sz="0" w:space="0" w:color="auto"/>
        <w:bottom w:val="none" w:sz="0" w:space="0" w:color="auto"/>
        <w:right w:val="none" w:sz="0" w:space="0" w:color="auto"/>
      </w:divBdr>
    </w:div>
    <w:div w:id="1623686230">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726760298">
      <w:bodyDiv w:val="1"/>
      <w:marLeft w:val="0"/>
      <w:marRight w:val="0"/>
      <w:marTop w:val="0"/>
      <w:marBottom w:val="0"/>
      <w:divBdr>
        <w:top w:val="none" w:sz="0" w:space="0" w:color="auto"/>
        <w:left w:val="none" w:sz="0" w:space="0" w:color="auto"/>
        <w:bottom w:val="none" w:sz="0" w:space="0" w:color="auto"/>
        <w:right w:val="none" w:sz="0" w:space="0" w:color="auto"/>
      </w:divBdr>
    </w:div>
    <w:div w:id="1792284859">
      <w:bodyDiv w:val="1"/>
      <w:marLeft w:val="0"/>
      <w:marRight w:val="0"/>
      <w:marTop w:val="0"/>
      <w:marBottom w:val="0"/>
      <w:divBdr>
        <w:top w:val="none" w:sz="0" w:space="0" w:color="auto"/>
        <w:left w:val="none" w:sz="0" w:space="0" w:color="auto"/>
        <w:bottom w:val="none" w:sz="0" w:space="0" w:color="auto"/>
        <w:right w:val="none" w:sz="0" w:space="0" w:color="auto"/>
      </w:divBdr>
    </w:div>
    <w:div w:id="1804078081">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00230065">
      <w:bodyDiv w:val="1"/>
      <w:marLeft w:val="0"/>
      <w:marRight w:val="0"/>
      <w:marTop w:val="0"/>
      <w:marBottom w:val="0"/>
      <w:divBdr>
        <w:top w:val="none" w:sz="0" w:space="0" w:color="auto"/>
        <w:left w:val="none" w:sz="0" w:space="0" w:color="auto"/>
        <w:bottom w:val="none" w:sz="0" w:space="0" w:color="auto"/>
        <w:right w:val="none" w:sz="0" w:space="0" w:color="auto"/>
      </w:divBdr>
    </w:div>
    <w:div w:id="2021421714">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4652265">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058778967">
      <w:bodyDiv w:val="1"/>
      <w:marLeft w:val="0"/>
      <w:marRight w:val="0"/>
      <w:marTop w:val="0"/>
      <w:marBottom w:val="0"/>
      <w:divBdr>
        <w:top w:val="none" w:sz="0" w:space="0" w:color="auto"/>
        <w:left w:val="none" w:sz="0" w:space="0" w:color="auto"/>
        <w:bottom w:val="none" w:sz="0" w:space="0" w:color="auto"/>
        <w:right w:val="none" w:sz="0" w:space="0" w:color="auto"/>
      </w:divBdr>
    </w:div>
    <w:div w:id="2089186679">
      <w:bodyDiv w:val="1"/>
      <w:marLeft w:val="0"/>
      <w:marRight w:val="0"/>
      <w:marTop w:val="0"/>
      <w:marBottom w:val="0"/>
      <w:divBdr>
        <w:top w:val="none" w:sz="0" w:space="0" w:color="auto"/>
        <w:left w:val="none" w:sz="0" w:space="0" w:color="auto"/>
        <w:bottom w:val="none" w:sz="0" w:space="0" w:color="auto"/>
        <w:right w:val="none" w:sz="0" w:space="0" w:color="auto"/>
      </w:divBdr>
    </w:div>
    <w:div w:id="209577921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F5AC-5C54-433C-92EE-85B918A5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13516</TotalTime>
  <Pages>9</Pages>
  <Words>3812</Words>
  <Characters>21729</Characters>
  <Application>Microsoft Office Word</Application>
  <DocSecurity>0</DocSecurity>
  <Lines>181</Lines>
  <Paragraphs>50</Paragraphs>
  <ScaleCrop>false</ScaleCrop>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2991</cp:revision>
  <dcterms:created xsi:type="dcterms:W3CDTF">2022-07-28T08:28:00Z</dcterms:created>
  <dcterms:modified xsi:type="dcterms:W3CDTF">2023-09-27T02:14:00Z</dcterms:modified>
</cp:coreProperties>
</file>