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8991D" w14:textId="1D91F6BF" w:rsidR="006E279F" w:rsidRPr="00981A63" w:rsidRDefault="006E279F" w:rsidP="006E279F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07375B">
        <w:rPr>
          <w:rFonts w:ascii="Arial" w:eastAsia="MS Mincho" w:hAnsi="Arial" w:cs="Arial"/>
          <w:b/>
          <w:bCs/>
          <w:sz w:val="22"/>
          <w:lang w:val="x-none"/>
        </w:rPr>
        <w:t>4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Pr="00817681">
        <w:rPr>
          <w:rFonts w:ascii="Arial" w:eastAsia="MS Mincho" w:hAnsi="Arial" w:cs="Arial"/>
          <w:b/>
          <w:sz w:val="22"/>
          <w:lang w:val="x-none"/>
        </w:rPr>
        <w:tab/>
        <w:t xml:space="preserve">                                                      </w:t>
      </w:r>
      <w:r w:rsidR="00FD027A" w:rsidRPr="00817681">
        <w:rPr>
          <w:rFonts w:ascii="Arial" w:eastAsia="MS Mincho" w:hAnsi="Arial" w:cs="Arial"/>
          <w:b/>
          <w:sz w:val="22"/>
          <w:lang w:val="x-none"/>
        </w:rPr>
        <w:t xml:space="preserve">           </w:t>
      </w:r>
      <w:r w:rsidR="002A7A8C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8D3888" w:rsidRPr="00817681">
        <w:rPr>
          <w:rFonts w:ascii="Arial" w:eastAsia="MS Mincho" w:hAnsi="Arial" w:cs="Arial"/>
          <w:b/>
          <w:sz w:val="22"/>
          <w:lang w:val="x-none"/>
        </w:rPr>
        <w:t>R1-</w:t>
      </w:r>
      <w:r w:rsidR="00711EF2" w:rsidRPr="00711EF2">
        <w:t xml:space="preserve"> </w:t>
      </w:r>
      <w:r w:rsidR="00711EF2" w:rsidRPr="00711EF2">
        <w:rPr>
          <w:rFonts w:ascii="Arial" w:eastAsia="MS Mincho" w:hAnsi="Arial" w:cs="Arial"/>
          <w:b/>
          <w:sz w:val="22"/>
          <w:lang w:val="x-none"/>
        </w:rPr>
        <w:t>23086</w:t>
      </w:r>
      <w:r w:rsidR="00981A63">
        <w:rPr>
          <w:rFonts w:ascii="Arial" w:eastAsia="MS Mincho" w:hAnsi="Arial" w:cs="Arial"/>
          <w:b/>
          <w:sz w:val="22"/>
          <w:lang w:val="en-AU"/>
        </w:rPr>
        <w:t>64</w:t>
      </w:r>
    </w:p>
    <w:p w14:paraId="4966AE6C" w14:textId="08C357F8" w:rsidR="009131FC" w:rsidRPr="00817681" w:rsidRDefault="0007375B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/>
          <w:b/>
          <w:bCs/>
          <w:sz w:val="22"/>
          <w:lang w:val="en-GB"/>
        </w:rPr>
        <w:t>Toulouse</w:t>
      </w:r>
      <w:r w:rsidRPr="00CE6D50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France, Aug 21</w:t>
      </w:r>
      <w:r>
        <w:rPr>
          <w:rFonts w:ascii="Arial" w:eastAsia="MS Mincho" w:hAnsi="Arial"/>
          <w:b/>
          <w:bCs/>
          <w:sz w:val="22"/>
          <w:vertAlign w:val="superscript"/>
          <w:lang w:val="en-GB"/>
        </w:rPr>
        <w:t>st</w:t>
      </w:r>
      <w:r>
        <w:rPr>
          <w:rFonts w:ascii="Arial" w:eastAsia="MS Mincho" w:hAnsi="Arial"/>
          <w:b/>
          <w:bCs/>
          <w:sz w:val="22"/>
          <w:lang w:val="en-GB"/>
        </w:rPr>
        <w:t xml:space="preserve"> – Aug 25</w:t>
      </w:r>
      <w:r w:rsidRPr="00CE6D50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CE6D50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33E4A9E" w14:textId="77777777" w:rsidR="00FA7121" w:rsidRPr="00817681" w:rsidRDefault="00FA7121" w:rsidP="00FA7121">
      <w:pPr>
        <w:pStyle w:val="Header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07C139A9" w14:textId="77777777" w:rsidR="004E012B" w:rsidRPr="00817681" w:rsidRDefault="004E012B" w:rsidP="004E012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5E4743A1" w14:textId="517557BA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C440E">
        <w:rPr>
          <w:rFonts w:ascii="Arial" w:hAnsi="Arial" w:cs="Arial"/>
          <w:b/>
          <w:sz w:val="22"/>
          <w:szCs w:val="22"/>
        </w:rPr>
        <w:t xml:space="preserve">LS on </w:t>
      </w:r>
      <w:r w:rsidR="0013237E">
        <w:rPr>
          <w:rFonts w:ascii="Arial" w:hAnsi="Arial" w:cs="Arial"/>
          <w:b/>
          <w:sz w:val="22"/>
          <w:szCs w:val="22"/>
        </w:rPr>
        <w:t>resource selection for MCSt</w:t>
      </w:r>
    </w:p>
    <w:p w14:paraId="45702A43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5547206C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15066D">
        <w:rPr>
          <w:rFonts w:ascii="Arial" w:hAnsi="Arial" w:cs="Arial"/>
          <w:b/>
          <w:sz w:val="22"/>
          <w:szCs w:val="22"/>
        </w:rPr>
        <w:t>RAN1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5B7D1FD5" w14:textId="3E6E0AA8" w:rsidR="0075370F" w:rsidRDefault="0075370F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>RAN1 has discussed design details for MCSt and reached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75370F" w14:paraId="0B750783" w14:textId="77777777" w:rsidTr="0075370F">
        <w:tc>
          <w:tcPr>
            <w:tcW w:w="10080" w:type="dxa"/>
          </w:tcPr>
          <w:p w14:paraId="24274566" w14:textId="77777777" w:rsidR="003F51F0" w:rsidRPr="003F51F0" w:rsidRDefault="003F51F0" w:rsidP="003F51F0">
            <w:pPr>
              <w:autoSpaceDE w:val="0"/>
              <w:autoSpaceDN w:val="0"/>
              <w:spacing w:before="60"/>
              <w:jc w:val="both"/>
              <w:rPr>
                <w:b/>
              </w:rPr>
            </w:pPr>
            <w:bookmarkStart w:id="6" w:name="_Hlk143776340"/>
            <w:r w:rsidRPr="003F51F0">
              <w:rPr>
                <w:b/>
                <w:highlight w:val="green"/>
              </w:rPr>
              <w:t>Agreement</w:t>
            </w:r>
          </w:p>
          <w:p w14:paraId="119E0DD5" w14:textId="77777777" w:rsidR="003F51F0" w:rsidRPr="00CA5516" w:rsidRDefault="003F51F0" w:rsidP="003F51F0">
            <w:pPr>
              <w:autoSpaceDE w:val="0"/>
              <w:autoSpaceDN w:val="0"/>
              <w:jc w:val="both"/>
            </w:pPr>
            <w:r w:rsidRPr="00CA5516">
              <w:t>In Mode 2 resource allocation,</w:t>
            </w:r>
          </w:p>
          <w:p w14:paraId="77856B8F" w14:textId="59A0F05B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</w:pPr>
            <w:r w:rsidRPr="00CA5516">
              <w:t>The higher layer can indicate a “number of consecutive slots for MCSt” (</w:t>
            </w:r>
            <m:oMath>
              <m:sSub>
                <m:sSubPr>
                  <m:ctrlPr>
                    <w:rPr>
                      <w:rFonts w:ascii="Cambria Math" w:hAnsi="Cambria Math" w:cs="Calibri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slot,MCSt</m:t>
                  </m:r>
                </m:sub>
              </m:sSub>
            </m:oMath>
            <w:r w:rsidRPr="00CA5516">
              <w:t>) larger than 1 for L1 reporting multi-slots candidates to the higher layer. The candidate multi-slots resource definition is applied.</w:t>
            </w:r>
          </w:p>
          <w:p w14:paraId="547C3C38" w14:textId="7777777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Otherwise, the candidate single-slot resource definition is applied (same as R16/17).</w:t>
            </w:r>
          </w:p>
          <w:p w14:paraId="3D1F0025" w14:textId="50CF2690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</w:pPr>
            <w:r w:rsidRPr="00CA5516">
              <w:t xml:space="preserve">The higher layer selects resources from the reported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Calibri"/>
                      <w:sz w:val="22"/>
                      <w:szCs w:val="22"/>
                    </w:rPr>
                    <m:t>A</m:t>
                  </m:r>
                </m:sub>
              </m:sSub>
            </m:oMath>
            <w:r w:rsidRPr="00CA5516">
              <w:t xml:space="preserve"> according to one of the following based on UE implementation:</w:t>
            </w:r>
          </w:p>
          <w:p w14:paraId="69555013" w14:textId="7777777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</w:pPr>
            <w:r w:rsidRPr="00CA5516">
              <w:t>Random selection as per R16/17</w:t>
            </w:r>
          </w:p>
          <w:p w14:paraId="08EDD16E" w14:textId="7777777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Higher layer is not restricted to select resources at random, and can select in consecutive slots</w:t>
            </w:r>
          </w:p>
          <w:p w14:paraId="26882B59" w14:textId="77777777" w:rsidR="003F51F0" w:rsidRPr="00CA5516" w:rsidRDefault="003F51F0" w:rsidP="003F51F0">
            <w:pPr>
              <w:pStyle w:val="ListParagraph"/>
              <w:numPr>
                <w:ilvl w:val="2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 xml:space="preserve">It is up to RAN2 to define detailed </w:t>
            </w:r>
            <w:proofErr w:type="spellStart"/>
            <w:r w:rsidRPr="00CA5516">
              <w:rPr>
                <w:color w:val="000000"/>
              </w:rPr>
              <w:t>behaviour</w:t>
            </w:r>
            <w:proofErr w:type="spellEnd"/>
            <w:r w:rsidRPr="00CA5516">
              <w:rPr>
                <w:color w:val="000000"/>
              </w:rPr>
              <w:t xml:space="preserve"> as needed</w:t>
            </w:r>
          </w:p>
          <w:p w14:paraId="50F3CC9F" w14:textId="7B8C6E47" w:rsidR="003F51F0" w:rsidRPr="00CA5516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 xml:space="preserve">It is RAN1 intention that, once the higher layer selects a multi-slots candidate from the set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 w:cs="Calibri"/>
                      <w:color w:val="000000"/>
                      <w:sz w:val="22"/>
                      <w:szCs w:val="22"/>
                    </w:rPr>
                    <m:t>A</m:t>
                  </m:r>
                </m:sub>
              </m:sSub>
            </m:oMath>
            <w:r w:rsidRPr="00CA5516">
              <w:rPr>
                <w:color w:val="000000"/>
              </w:rPr>
              <w:t>, it will use all the single-slot resources of the selected multi-slots candidate for transmission. This RAN1 agreement has no intention on potential RAN2 discussion about how SL resource selection processes are defined in MCSt.</w:t>
            </w:r>
          </w:p>
          <w:p w14:paraId="33FDE10E" w14:textId="77777777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Note, the above is intended to support Approach 1 and 2 only.</w:t>
            </w:r>
          </w:p>
          <w:p w14:paraId="2DAFA224" w14:textId="77777777" w:rsidR="003F51F0" w:rsidRPr="00CA5516" w:rsidRDefault="003F51F0" w:rsidP="003F51F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spacing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Send an LS to RAN2 informing that it is up to RAN2 to decide in regards to the HARQ RTT timing (minimum time gap)</w:t>
            </w:r>
          </w:p>
          <w:p w14:paraId="1610540C" w14:textId="44FDB6C1" w:rsidR="0075370F" w:rsidRPr="003F51F0" w:rsidRDefault="003F51F0" w:rsidP="003F51F0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spacing w:after="60" w:line="259" w:lineRule="auto"/>
              <w:ind w:firstLineChars="0"/>
              <w:jc w:val="both"/>
              <w:rPr>
                <w:color w:val="000000"/>
              </w:rPr>
            </w:pPr>
            <w:r w:rsidRPr="00CA5516">
              <w:rPr>
                <w:color w:val="000000"/>
              </w:rPr>
              <w:t>whether a single TB transmitted over consecutive slots is supported in a resource pool configured with PSFCH resource</w:t>
            </w:r>
            <w:bookmarkEnd w:id="6"/>
          </w:p>
        </w:tc>
      </w:tr>
    </w:tbl>
    <w:p w14:paraId="54990575" w14:textId="77777777" w:rsidR="0075370F" w:rsidRDefault="0075370F" w:rsidP="0075370F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C256D64" w14:textId="27B25537" w:rsidR="0075370F" w:rsidRDefault="0075370F" w:rsidP="0075370F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As indicated in the RAN1 agreement, we would like to inform RAN2 that it is up to RAN2 to decide </w:t>
      </w:r>
      <w:r w:rsidRPr="0075370F">
        <w:rPr>
          <w:rFonts w:ascii="Arial" w:eastAsiaTheme="minorEastAsia" w:hAnsi="Arial" w:cs="Arial"/>
          <w:lang w:eastAsia="zh-CN"/>
        </w:rPr>
        <w:t>whether a single TB transmitted over consecutive slots is supported in a resource pool configured with PSFCH resource</w:t>
      </w:r>
      <w:r>
        <w:rPr>
          <w:rFonts w:ascii="Arial" w:eastAsiaTheme="minorEastAsia" w:hAnsi="Arial" w:cs="Arial"/>
          <w:lang w:eastAsia="zh-CN"/>
        </w:rPr>
        <w:t>.</w:t>
      </w:r>
    </w:p>
    <w:p w14:paraId="7C391123" w14:textId="77777777" w:rsidR="0075370F" w:rsidRPr="0075370F" w:rsidRDefault="0075370F" w:rsidP="0075370F">
      <w:pPr>
        <w:spacing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6B28A112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>take the above agreement into account in the future work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lastRenderedPageBreak/>
        <w:t>Date of Next TSG-RAN1 Meetings:</w:t>
      </w:r>
    </w:p>
    <w:p w14:paraId="248B8EA2" w14:textId="7E6C2A0D" w:rsidR="00455640" w:rsidRDefault="0058519E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>
        <w:rPr>
          <w:rFonts w:ascii="Arial" w:eastAsia="DengXian" w:hAnsi="Arial" w:cs="Arial"/>
          <w:lang w:val="en-GB" w:eastAsia="zh-CN"/>
        </w:rPr>
        <w:t>RAN1#11</w:t>
      </w:r>
      <w:r w:rsidR="00DB6F54">
        <w:rPr>
          <w:rFonts w:ascii="Arial" w:eastAsia="DengXian" w:hAnsi="Arial" w:cs="Arial"/>
          <w:lang w:val="en-GB" w:eastAsia="zh-CN"/>
        </w:rPr>
        <w:t>4b</w:t>
      </w:r>
      <w:r w:rsidR="00823359">
        <w:rPr>
          <w:rFonts w:ascii="Arial" w:eastAsia="DengXian" w:hAnsi="Arial" w:cs="Arial"/>
          <w:lang w:val="en-GB" w:eastAsia="zh-CN"/>
        </w:rPr>
        <w:t>is</w:t>
      </w:r>
      <w:r w:rsidR="00654A16">
        <w:rPr>
          <w:rFonts w:ascii="Arial" w:eastAsia="DengXian" w:hAnsi="Arial" w:cs="Arial"/>
          <w:lang w:val="en-GB" w:eastAsia="zh-CN"/>
        </w:rPr>
        <w:tab/>
      </w:r>
      <w:r w:rsidR="00654A16">
        <w:rPr>
          <w:rFonts w:ascii="Arial" w:eastAsia="DengXian" w:hAnsi="Arial" w:cs="Arial"/>
          <w:lang w:val="en-GB" w:eastAsia="zh-CN"/>
        </w:rPr>
        <w:tab/>
      </w:r>
      <w:r w:rsidR="00654A16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09</w:t>
      </w:r>
      <w:r w:rsidR="00DB6F54">
        <w:rPr>
          <w:rFonts w:ascii="Arial" w:eastAsia="DengXian" w:hAnsi="Arial" w:cs="Arial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lang w:val="en-GB" w:eastAsia="zh-CN"/>
        </w:rPr>
        <w:t xml:space="preserve"> </w:t>
      </w:r>
      <w:r w:rsidR="00654A16">
        <w:rPr>
          <w:rFonts w:ascii="Arial" w:eastAsia="DengXian" w:hAnsi="Arial" w:cs="Arial"/>
          <w:lang w:val="en-GB" w:eastAsia="zh-CN"/>
        </w:rPr>
        <w:t>-</w:t>
      </w:r>
      <w:r w:rsidR="00DB6F54">
        <w:rPr>
          <w:rFonts w:ascii="Arial" w:eastAsia="DengXian" w:hAnsi="Arial" w:cs="Arial"/>
          <w:lang w:val="en-GB" w:eastAsia="zh-CN"/>
        </w:rPr>
        <w:t>13</w:t>
      </w:r>
      <w:r w:rsidR="00654A16">
        <w:rPr>
          <w:rFonts w:ascii="Arial" w:eastAsia="DengXian" w:hAnsi="Arial" w:cs="Arial"/>
          <w:vertAlign w:val="superscript"/>
          <w:lang w:val="en-GB" w:eastAsia="zh-CN"/>
        </w:rPr>
        <w:t>th</w:t>
      </w:r>
      <w:r w:rsidR="00455640"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Oct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="00455640" w:rsidRPr="00B9165E">
        <w:rPr>
          <w:rFonts w:ascii="Arial" w:eastAsia="DengXian" w:hAnsi="Arial" w:cs="Arial"/>
          <w:lang w:val="en-GB" w:eastAsia="zh-CN"/>
        </w:rPr>
        <w:tab/>
      </w:r>
      <w:r w:rsidR="00455640" w:rsidRPr="00B9165E">
        <w:rPr>
          <w:rFonts w:ascii="Arial" w:eastAsia="DengXian" w:hAnsi="Arial" w:cs="Arial"/>
          <w:lang w:val="en-GB" w:eastAsia="zh-CN"/>
        </w:rPr>
        <w:tab/>
      </w:r>
      <w:r w:rsidR="00455640" w:rsidRPr="00B9165E">
        <w:rPr>
          <w:rFonts w:ascii="Arial" w:eastAsia="DengXian" w:hAnsi="Arial" w:cs="Arial"/>
          <w:lang w:val="en-GB" w:eastAsia="zh-CN"/>
        </w:rPr>
        <w:tab/>
      </w:r>
      <w:r w:rsidR="00455640"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Xiamen</w:t>
      </w:r>
      <w:r w:rsidR="00654A16">
        <w:rPr>
          <w:rFonts w:ascii="Arial" w:eastAsia="DengXian" w:hAnsi="Arial" w:cs="Arial"/>
          <w:lang w:val="en-GB" w:eastAsia="zh-CN"/>
        </w:rPr>
        <w:t xml:space="preserve">, </w:t>
      </w:r>
      <w:r w:rsidR="00DB6F54">
        <w:rPr>
          <w:rFonts w:ascii="Arial" w:eastAsia="DengXian" w:hAnsi="Arial" w:cs="Arial"/>
          <w:lang w:val="en-GB" w:eastAsia="zh-CN"/>
        </w:rPr>
        <w:t>CN</w:t>
      </w:r>
    </w:p>
    <w:p w14:paraId="18EBAC21" w14:textId="194B1A59" w:rsidR="00493EA7" w:rsidRPr="00B9165E" w:rsidRDefault="00493EA7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DB6F54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13</w:t>
      </w:r>
      <w:r w:rsidR="00DB6F54" w:rsidRPr="00DB6F54">
        <w:rPr>
          <w:rFonts w:ascii="Arial" w:eastAsia="DengXian" w:hAnsi="Arial" w:cs="Arial"/>
          <w:vertAlign w:val="superscript"/>
          <w:lang w:val="en-GB" w:eastAsia="zh-CN"/>
        </w:rPr>
        <w:t>th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DB6F54">
        <w:rPr>
          <w:rFonts w:ascii="Arial" w:eastAsia="DengXian" w:hAnsi="Arial" w:cs="Arial"/>
          <w:lang w:val="en-GB" w:eastAsia="zh-CN"/>
        </w:rPr>
        <w:t>17</w:t>
      </w:r>
      <w:r w:rsidRPr="00177DF9">
        <w:rPr>
          <w:rFonts w:ascii="Arial" w:eastAsia="DengXian" w:hAnsi="Arial" w:cs="Arial"/>
          <w:vertAlign w:val="superscript"/>
          <w:lang w:val="en-GB" w:eastAsia="zh-CN"/>
        </w:rPr>
        <w:t>th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Nov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733F6B">
        <w:rPr>
          <w:rFonts w:ascii="Arial" w:eastAsia="DengXian" w:hAnsi="Arial" w:cs="Arial"/>
          <w:lang w:val="en-GB" w:eastAsia="zh-CN"/>
        </w:rPr>
        <w:t>Chicago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733F6B">
        <w:rPr>
          <w:rFonts w:ascii="Arial" w:eastAsia="DengXian" w:hAnsi="Arial" w:cs="Arial"/>
          <w:lang w:val="en-GB" w:eastAsia="zh-CN"/>
        </w:rPr>
        <w:t>US</w:t>
      </w: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706C3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C8349" w14:textId="77777777" w:rsidR="0033159A" w:rsidRDefault="0033159A">
      <w:r>
        <w:separator/>
      </w:r>
    </w:p>
  </w:endnote>
  <w:endnote w:type="continuationSeparator" w:id="0">
    <w:p w14:paraId="51113B87" w14:textId="77777777" w:rsidR="0033159A" w:rsidRDefault="0033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A7318" w14:textId="77777777" w:rsidR="0033159A" w:rsidRDefault="0033159A">
      <w:r>
        <w:separator/>
      </w:r>
    </w:p>
  </w:footnote>
  <w:footnote w:type="continuationSeparator" w:id="0">
    <w:p w14:paraId="2ADF81AB" w14:textId="77777777" w:rsidR="0033159A" w:rsidRDefault="00331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066D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159A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1A63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Kevin Lin</cp:lastModifiedBy>
  <cp:revision>3</cp:revision>
  <cp:lastPrinted>2019-08-13T07:17:00Z</cp:lastPrinted>
  <dcterms:created xsi:type="dcterms:W3CDTF">2023-08-25T13:57:00Z</dcterms:created>
  <dcterms:modified xsi:type="dcterms:W3CDTF">2023-08-25T13:58:00Z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