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5E59" w14:textId="10A7B828" w:rsidR="00332390" w:rsidRPr="00D74B92" w:rsidRDefault="00332390" w:rsidP="0033239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0DEE23C" wp14:editId="7199EC9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DF39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sidR="006A66F7">
        <w:rPr>
          <w:rFonts w:ascii="Arial" w:hAnsi="Arial" w:cs="Arial"/>
          <w:b/>
          <w:kern w:val="2"/>
          <w:lang w:eastAsia="zh-CN"/>
        </w:rPr>
        <w:t>577</w:t>
      </w:r>
    </w:p>
    <w:p w14:paraId="737A7184" w14:textId="77777777" w:rsidR="00332390" w:rsidRDefault="00332390" w:rsidP="00332390">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3B61D874" w14:textId="77777777" w:rsidR="00332390" w:rsidRPr="00D74B92" w:rsidRDefault="00332390" w:rsidP="00332390">
      <w:pPr>
        <w:spacing w:after="60"/>
        <w:jc w:val="left"/>
        <w:rPr>
          <w:rFonts w:ascii="Arial" w:hAnsi="Arial" w:cs="Arial"/>
          <w:b/>
          <w:lang w:eastAsia="zh-CN"/>
        </w:rPr>
      </w:pPr>
    </w:p>
    <w:p w14:paraId="33B9AB97" w14:textId="77777777" w:rsidR="00332390" w:rsidRPr="007F5EC6" w:rsidRDefault="00332390" w:rsidP="00332390">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74F88456" w14:textId="17B69C7B" w:rsidR="00332390" w:rsidRDefault="00332390" w:rsidP="00332390">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64822">
        <w:rPr>
          <w:rFonts w:ascii="Arial" w:hAnsi="Arial" w:cs="Arial"/>
          <w:b/>
          <w:lang w:eastAsia="zh-CN"/>
        </w:rPr>
        <w:t>Discussions</w:t>
      </w:r>
      <w:r w:rsidR="00E64822" w:rsidRPr="00FF4E6C">
        <w:rPr>
          <w:rFonts w:ascii="Arial" w:hAnsi="Arial" w:cs="Arial"/>
          <w:b/>
          <w:lang w:eastAsia="zh-CN"/>
        </w:rPr>
        <w:t xml:space="preserve"> </w:t>
      </w:r>
      <w:r w:rsidR="00E64822">
        <w:rPr>
          <w:rFonts w:ascii="Arial" w:hAnsi="Arial" w:cs="Arial"/>
          <w:b/>
          <w:lang w:eastAsia="zh-CN"/>
        </w:rPr>
        <w:t>on</w:t>
      </w:r>
      <w:r w:rsidR="00E64822" w:rsidRPr="00FF4E6C">
        <w:rPr>
          <w:rFonts w:ascii="Arial" w:hAnsi="Arial" w:cs="Arial"/>
          <w:b/>
          <w:lang w:eastAsia="zh-CN"/>
        </w:rPr>
        <w:t xml:space="preserve"> </w:t>
      </w:r>
      <w:bookmarkStart w:id="0" w:name="_Toc135027628"/>
      <w:r w:rsidR="00E64822" w:rsidRPr="00557153">
        <w:rPr>
          <w:rFonts w:ascii="Arial" w:hAnsi="Arial" w:cs="Arial" w:hint="eastAsia"/>
          <w:b/>
          <w:lang w:eastAsia="zh-CN"/>
        </w:rPr>
        <w:t>e</w:t>
      </w:r>
      <w:r w:rsidR="00E64822" w:rsidRPr="00557153">
        <w:rPr>
          <w:rFonts w:ascii="Arial" w:hAnsi="Arial" w:cs="Arial"/>
          <w:b/>
          <w:lang w:eastAsia="zh-CN"/>
        </w:rPr>
        <w:t>nhancements on cell DTX/DRX mechanism</w:t>
      </w:r>
      <w:bookmarkEnd w:id="0"/>
    </w:p>
    <w:p w14:paraId="7CF9D831" w14:textId="371DB566" w:rsidR="00332390" w:rsidRPr="00D74B92" w:rsidRDefault="00332390" w:rsidP="00332390">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sidR="006A66F7">
        <w:rPr>
          <w:rFonts w:ascii="Arial" w:hAnsi="Arial" w:cs="Arial"/>
          <w:b/>
          <w:lang w:eastAsia="zh-CN"/>
        </w:rPr>
        <w:t>7</w:t>
      </w:r>
      <w:r>
        <w:rPr>
          <w:rFonts w:ascii="Arial" w:hAnsi="Arial" w:cs="Arial"/>
          <w:b/>
          <w:lang w:eastAsia="zh-CN"/>
        </w:rPr>
        <w:t>.2</w:t>
      </w:r>
    </w:p>
    <w:p w14:paraId="0197657D" w14:textId="539DEB15" w:rsidR="009C0564" w:rsidRPr="00E64822" w:rsidRDefault="00332390" w:rsidP="00E64822">
      <w:pPr>
        <w:spacing w:after="60"/>
        <w:ind w:left="1797" w:hanging="1797"/>
        <w:jc w:val="left"/>
        <w:rPr>
          <w:rFonts w:ascii="Arial" w:hAnsi="Arial" w:cs="Arial" w:hint="eastAsia"/>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281D3039" w14:textId="77777777" w:rsidR="009C0564" w:rsidRPr="006326CE" w:rsidRDefault="009C0564">
      <w:pPr>
        <w:pStyle w:val="1"/>
        <w:rPr>
          <w:rFonts w:ascii="Times New Roman" w:hAnsi="Times New Roman"/>
        </w:rPr>
      </w:pPr>
      <w:bookmarkStart w:id="1" w:name="_Ref124589705"/>
      <w:bookmarkStart w:id="2" w:name="_Ref129681862"/>
      <w:r w:rsidRPr="006326CE">
        <w:rPr>
          <w:rFonts w:ascii="Times New Roman" w:hAnsi="Times New Roman"/>
        </w:rPr>
        <w:t>Introduction</w:t>
      </w:r>
      <w:bookmarkEnd w:id="1"/>
      <w:bookmarkEnd w:id="2"/>
    </w:p>
    <w:p w14:paraId="4ACF55EB" w14:textId="4BC09F58" w:rsidR="00BF5FC0" w:rsidRDefault="00417F8C" w:rsidP="00BF5FC0">
      <w:pPr>
        <w:rPr>
          <w:lang w:eastAsia="zh-CN"/>
        </w:rPr>
      </w:pPr>
      <w:bookmarkStart w:id="3" w:name="_Ref129681832"/>
      <w:r w:rsidRPr="00511F0F">
        <w:rPr>
          <w:sz w:val="20"/>
          <w:szCs w:val="20"/>
        </w:rPr>
        <w:t xml:space="preserve">In </w:t>
      </w:r>
      <w:bookmarkStart w:id="4" w:name="_Hlk134024791"/>
      <w:r w:rsidRPr="00511F0F">
        <w:rPr>
          <w:sz w:val="20"/>
          <w:szCs w:val="20"/>
        </w:rPr>
        <w:t>RAN1#1</w:t>
      </w:r>
      <w:r w:rsidR="009E05D8" w:rsidRPr="00511F0F">
        <w:rPr>
          <w:sz w:val="20"/>
          <w:szCs w:val="20"/>
        </w:rPr>
        <w:t>1</w:t>
      </w:r>
      <w:r w:rsidR="00961E41" w:rsidRPr="00511F0F">
        <w:rPr>
          <w:sz w:val="20"/>
          <w:szCs w:val="20"/>
        </w:rPr>
        <w:t>3</w:t>
      </w:r>
      <w:r w:rsidR="00892D27" w:rsidRPr="00511F0F">
        <w:rPr>
          <w:sz w:val="20"/>
          <w:szCs w:val="20"/>
        </w:rPr>
        <w:t xml:space="preserve"> </w:t>
      </w:r>
      <w:r w:rsidRPr="00511F0F">
        <w:rPr>
          <w:sz w:val="20"/>
          <w:szCs w:val="20"/>
        </w:rPr>
        <w:t>meeting</w:t>
      </w:r>
      <w:bookmarkEnd w:id="4"/>
      <w:r w:rsidRPr="00511F0F">
        <w:rPr>
          <w:sz w:val="20"/>
          <w:szCs w:val="20"/>
        </w:rPr>
        <w:t xml:space="preserve">, </w:t>
      </w:r>
      <w:r w:rsidR="00BF102B" w:rsidRPr="00511F0F">
        <w:rPr>
          <w:sz w:val="20"/>
          <w:szCs w:val="20"/>
        </w:rPr>
        <w:t>the WID n</w:t>
      </w:r>
      <w:r w:rsidR="00BF102B" w:rsidRPr="00511F0F">
        <w:rPr>
          <w:rFonts w:hint="eastAsia"/>
          <w:sz w:val="20"/>
          <w:szCs w:val="20"/>
        </w:rPr>
        <w:t>etwork</w:t>
      </w:r>
      <w:r w:rsidR="00BF102B" w:rsidRPr="00511F0F">
        <w:rPr>
          <w:sz w:val="20"/>
          <w:szCs w:val="20"/>
        </w:rPr>
        <w:t xml:space="preserve"> energy savings for NR [1] was discussed</w:t>
      </w:r>
      <w:r w:rsidRPr="00511F0F">
        <w:rPr>
          <w:sz w:val="20"/>
          <w:szCs w:val="20"/>
        </w:rPr>
        <w:t xml:space="preserve">. The following was agreed [2] on the topic of </w:t>
      </w:r>
      <w:r w:rsidR="00A63662" w:rsidRPr="00511F0F">
        <w:rPr>
          <w:sz w:val="20"/>
          <w:szCs w:val="20"/>
        </w:rPr>
        <w:t>enhancements on cell DTX/DRX mechanism</w:t>
      </w:r>
      <w:r w:rsidRPr="00511F0F">
        <w:rPr>
          <w:sz w:val="20"/>
          <w:szCs w:val="20"/>
        </w:rPr>
        <w:t>:</w:t>
      </w:r>
    </w:p>
    <w:tbl>
      <w:tblPr>
        <w:tblStyle w:val="ae"/>
        <w:tblW w:w="0" w:type="auto"/>
        <w:tblLook w:val="04A0" w:firstRow="1" w:lastRow="0" w:firstColumn="1" w:lastColumn="0" w:noHBand="0" w:noVBand="1"/>
      </w:tblPr>
      <w:tblGrid>
        <w:gridCol w:w="9307"/>
      </w:tblGrid>
      <w:tr w:rsidR="00BF5FC0" w:rsidRPr="006326CE" w14:paraId="338C7546" w14:textId="77777777" w:rsidTr="00D438BD">
        <w:trPr>
          <w:trHeight w:val="530"/>
        </w:trPr>
        <w:tc>
          <w:tcPr>
            <w:tcW w:w="9307" w:type="dxa"/>
          </w:tcPr>
          <w:p w14:paraId="72A7425C" w14:textId="77777777" w:rsidR="00837D90" w:rsidRPr="006326CE" w:rsidRDefault="00837D90" w:rsidP="006326CE">
            <w:pPr>
              <w:spacing w:after="0"/>
              <w:rPr>
                <w:b/>
                <w:bCs/>
                <w:sz w:val="20"/>
                <w:szCs w:val="20"/>
                <w:highlight w:val="green"/>
                <w:lang w:eastAsia="x-none"/>
              </w:rPr>
            </w:pPr>
            <w:r w:rsidRPr="006326CE">
              <w:rPr>
                <w:b/>
                <w:bCs/>
                <w:sz w:val="20"/>
                <w:szCs w:val="20"/>
                <w:highlight w:val="green"/>
                <w:lang w:eastAsia="x-none"/>
              </w:rPr>
              <w:t>Agreement</w:t>
            </w:r>
          </w:p>
          <w:p w14:paraId="15A9AB93" w14:textId="77777777" w:rsidR="00837D90" w:rsidRPr="006326CE" w:rsidRDefault="00837D90" w:rsidP="006326CE">
            <w:pPr>
              <w:pStyle w:val="a3"/>
              <w:spacing w:after="0"/>
              <w:rPr>
                <w:lang w:eastAsia="zh-CN"/>
              </w:rPr>
            </w:pPr>
            <w:r w:rsidRPr="006326CE">
              <w:rPr>
                <w:lang w:eastAsia="zh-CN"/>
              </w:rPr>
              <w:t>RAN1 supports the group common L1 signaling using PDCCH for cell DTX/DRX activation and deactivation without HARQ feedback</w:t>
            </w:r>
          </w:p>
          <w:p w14:paraId="072DAE6A" w14:textId="77777777" w:rsidR="00BA7A8F" w:rsidRPr="006326CE" w:rsidRDefault="00BA7A8F" w:rsidP="006326CE">
            <w:pPr>
              <w:pStyle w:val="a3"/>
              <w:numPr>
                <w:ilvl w:val="0"/>
                <w:numId w:val="44"/>
              </w:numPr>
              <w:suppressAutoHyphens/>
              <w:autoSpaceDE/>
              <w:autoSpaceDN/>
              <w:adjustRightInd/>
              <w:snapToGrid/>
              <w:spacing w:after="0"/>
              <w:rPr>
                <w:lang w:eastAsia="zh-CN"/>
              </w:rPr>
            </w:pPr>
            <w:r w:rsidRPr="006326CE">
              <w:rPr>
                <w:lang w:eastAsia="zh-CN"/>
              </w:rPr>
              <w:t xml:space="preserve">Send an LS to RAN2 to consider the additional support of a MAC CE based indication </w:t>
            </w:r>
          </w:p>
          <w:p w14:paraId="236A233D" w14:textId="77777777" w:rsidR="00961E41" w:rsidRPr="006326CE" w:rsidRDefault="00BA7A8F" w:rsidP="006326CE">
            <w:pPr>
              <w:pStyle w:val="a3"/>
              <w:numPr>
                <w:ilvl w:val="0"/>
                <w:numId w:val="44"/>
              </w:numPr>
              <w:suppressAutoHyphens/>
              <w:autoSpaceDE/>
              <w:autoSpaceDN/>
              <w:adjustRightInd/>
              <w:snapToGrid/>
              <w:spacing w:after="0"/>
              <w:rPr>
                <w:lang w:eastAsia="zh-CN"/>
              </w:rPr>
            </w:pPr>
            <w:r w:rsidRPr="006326CE">
              <w:rPr>
                <w:lang w:eastAsia="zh-CN"/>
              </w:rPr>
              <w:t>Subject to UE capability</w:t>
            </w:r>
          </w:p>
          <w:p w14:paraId="7758D2D0" w14:textId="77777777" w:rsidR="00002628" w:rsidRPr="006326CE" w:rsidRDefault="00002628" w:rsidP="006326CE">
            <w:pPr>
              <w:pStyle w:val="a3"/>
              <w:suppressAutoHyphens/>
              <w:autoSpaceDE/>
              <w:autoSpaceDN/>
              <w:adjustRightInd/>
              <w:snapToGrid/>
              <w:spacing w:after="0"/>
              <w:rPr>
                <w:lang w:eastAsia="zh-CN"/>
              </w:rPr>
            </w:pPr>
          </w:p>
          <w:p w14:paraId="5E32E61A" w14:textId="77777777" w:rsidR="0036196C" w:rsidRPr="006326CE" w:rsidRDefault="0036196C" w:rsidP="006326CE">
            <w:pPr>
              <w:spacing w:after="0"/>
              <w:rPr>
                <w:b/>
                <w:bCs/>
                <w:sz w:val="20"/>
                <w:szCs w:val="20"/>
                <w:highlight w:val="green"/>
                <w:lang w:eastAsia="x-none"/>
              </w:rPr>
            </w:pPr>
            <w:r w:rsidRPr="006326CE">
              <w:rPr>
                <w:b/>
                <w:bCs/>
                <w:sz w:val="20"/>
                <w:szCs w:val="20"/>
                <w:highlight w:val="green"/>
                <w:lang w:eastAsia="x-none"/>
              </w:rPr>
              <w:t>Agreement</w:t>
            </w:r>
          </w:p>
          <w:p w14:paraId="61B24A6F" w14:textId="77777777" w:rsidR="0036196C" w:rsidRPr="006326CE" w:rsidRDefault="0036196C" w:rsidP="006326CE">
            <w:pPr>
              <w:pStyle w:val="af4"/>
              <w:suppressAutoHyphens/>
              <w:overflowPunct w:val="0"/>
              <w:spacing w:after="0" w:line="254" w:lineRule="auto"/>
              <w:ind w:left="0"/>
              <w:jc w:val="both"/>
              <w:rPr>
                <w:rFonts w:ascii="Times New Roman" w:hAnsi="Times New Roman"/>
                <w:sz w:val="20"/>
                <w:szCs w:val="20"/>
                <w:lang w:eastAsia="zh-CN"/>
              </w:rPr>
            </w:pPr>
            <w:r w:rsidRPr="006326CE">
              <w:rPr>
                <w:rFonts w:ascii="Times New Roman" w:hAnsi="Times New Roman"/>
                <w:sz w:val="20"/>
                <w:szCs w:val="20"/>
                <w:lang w:eastAsia="zh-CN"/>
              </w:rPr>
              <w:t>Confirmation of WA from previous meeting with removal of the two sub-bullets.</w:t>
            </w:r>
          </w:p>
          <w:p w14:paraId="0FDE801C" w14:textId="77777777" w:rsidR="0036196C" w:rsidRPr="006326CE" w:rsidRDefault="0036196C" w:rsidP="006326CE">
            <w:pPr>
              <w:pStyle w:val="af4"/>
              <w:suppressAutoHyphens/>
              <w:overflowPunct w:val="0"/>
              <w:spacing w:after="0" w:line="254" w:lineRule="auto"/>
              <w:ind w:left="0"/>
              <w:rPr>
                <w:rFonts w:ascii="Times New Roman" w:hAnsi="Times New Roman"/>
                <w:b/>
                <w:bCs/>
                <w:sz w:val="20"/>
                <w:szCs w:val="20"/>
                <w:highlight w:val="darkYellow"/>
              </w:rPr>
            </w:pPr>
            <w:r w:rsidRPr="006326CE">
              <w:rPr>
                <w:rFonts w:ascii="Times New Roman" w:hAnsi="Times New Roman"/>
                <w:b/>
                <w:bCs/>
                <w:sz w:val="20"/>
                <w:szCs w:val="20"/>
                <w:highlight w:val="darkYellow"/>
              </w:rPr>
              <w:t>Working Assumption</w:t>
            </w:r>
          </w:p>
          <w:p w14:paraId="65E56858" w14:textId="77777777" w:rsidR="0036196C" w:rsidRPr="006326CE" w:rsidRDefault="0036196C" w:rsidP="006326CE">
            <w:pPr>
              <w:pStyle w:val="a3"/>
              <w:numPr>
                <w:ilvl w:val="1"/>
                <w:numId w:val="45"/>
              </w:numPr>
              <w:suppressAutoHyphens/>
              <w:autoSpaceDE/>
              <w:autoSpaceDN/>
              <w:adjustRightInd/>
              <w:snapToGrid/>
              <w:spacing w:after="0" w:line="254" w:lineRule="auto"/>
              <w:ind w:left="360"/>
              <w:rPr>
                <w:lang w:eastAsia="zh-CN"/>
              </w:rPr>
            </w:pPr>
            <w:r w:rsidRPr="006326CE">
              <w:rPr>
                <w:rFonts w:eastAsia="Malgun Gothic"/>
                <w:lang w:eastAsia="ko-KR"/>
              </w:rPr>
              <w:t>Support of L1 signaling at least for activation/deactivation of a cell DTX and/or DRX configuration is feasible (e.g., in terms of enabling/disenabling the feature) from RAN1 perspective.</w:t>
            </w:r>
          </w:p>
          <w:p w14:paraId="2CE0DE53" w14:textId="77777777" w:rsidR="0036196C" w:rsidRPr="006326CE" w:rsidRDefault="0036196C" w:rsidP="006326CE">
            <w:pPr>
              <w:pStyle w:val="af4"/>
              <w:numPr>
                <w:ilvl w:val="2"/>
                <w:numId w:val="45"/>
              </w:numPr>
              <w:suppressAutoHyphens/>
              <w:overflowPunct w:val="0"/>
              <w:spacing w:after="0" w:line="254" w:lineRule="auto"/>
              <w:ind w:left="1080"/>
              <w:contextualSpacing w:val="0"/>
              <w:rPr>
                <w:rFonts w:ascii="Times New Roman" w:eastAsia="宋体" w:hAnsi="Times New Roman"/>
                <w:strike/>
                <w:color w:val="C00000"/>
                <w:sz w:val="20"/>
                <w:szCs w:val="20"/>
                <w:u w:val="single"/>
                <w:lang w:eastAsia="zh-CN"/>
              </w:rPr>
            </w:pPr>
            <w:r w:rsidRPr="006326CE">
              <w:rPr>
                <w:rFonts w:ascii="Times New Roman" w:eastAsia="宋体" w:hAnsi="Times New Roman"/>
                <w:strike/>
                <w:color w:val="C00000"/>
                <w:sz w:val="20"/>
                <w:szCs w:val="20"/>
                <w:u w:val="single"/>
                <w:lang w:eastAsia="zh-CN"/>
              </w:rPr>
              <w:t>This does not imply that L1 activation/deactivation is supported in Rel-18\</w:t>
            </w:r>
          </w:p>
          <w:p w14:paraId="49BDCE46" w14:textId="77777777" w:rsidR="0036196C" w:rsidRPr="006326CE" w:rsidRDefault="0036196C" w:rsidP="006326CE">
            <w:pPr>
              <w:pStyle w:val="af4"/>
              <w:numPr>
                <w:ilvl w:val="2"/>
                <w:numId w:val="45"/>
              </w:numPr>
              <w:suppressAutoHyphens/>
              <w:overflowPunct w:val="0"/>
              <w:spacing w:after="0" w:line="254" w:lineRule="auto"/>
              <w:ind w:left="1080"/>
              <w:contextualSpacing w:val="0"/>
              <w:rPr>
                <w:rFonts w:ascii="Times New Roman" w:eastAsia="宋体" w:hAnsi="Times New Roman"/>
                <w:strike/>
                <w:color w:val="C00000"/>
                <w:sz w:val="20"/>
                <w:szCs w:val="20"/>
                <w:u w:val="single"/>
                <w:lang w:eastAsia="zh-CN"/>
              </w:rPr>
            </w:pPr>
            <w:r w:rsidRPr="006326CE">
              <w:rPr>
                <w:rFonts w:ascii="Times New Roman" w:eastAsia="宋体" w:hAnsi="Times New Roman"/>
                <w:strike/>
                <w:color w:val="C00000"/>
                <w:sz w:val="20"/>
                <w:szCs w:val="20"/>
                <w:u w:val="single"/>
                <w:lang w:eastAsia="zh-CN"/>
              </w:rPr>
              <w:t>Note: Reliability, overhead, and benefits are FFS</w:t>
            </w:r>
          </w:p>
          <w:p w14:paraId="52C25F12" w14:textId="77777777" w:rsidR="00002628" w:rsidRPr="006326CE" w:rsidRDefault="00002628" w:rsidP="006326CE">
            <w:pPr>
              <w:pStyle w:val="a3"/>
              <w:suppressAutoHyphens/>
              <w:autoSpaceDE/>
              <w:autoSpaceDN/>
              <w:adjustRightInd/>
              <w:snapToGrid/>
              <w:spacing w:after="0"/>
              <w:rPr>
                <w:lang w:val="en-GB" w:eastAsia="zh-CN"/>
              </w:rPr>
            </w:pPr>
          </w:p>
          <w:p w14:paraId="38E474C1" w14:textId="77777777" w:rsidR="00563432" w:rsidRPr="006326CE" w:rsidRDefault="00563432" w:rsidP="006326CE">
            <w:pPr>
              <w:spacing w:after="0"/>
              <w:rPr>
                <w:b/>
                <w:bCs/>
                <w:sz w:val="20"/>
                <w:szCs w:val="20"/>
                <w:highlight w:val="green"/>
                <w:lang w:eastAsia="x-none"/>
              </w:rPr>
            </w:pPr>
            <w:r w:rsidRPr="006326CE">
              <w:rPr>
                <w:b/>
                <w:bCs/>
                <w:sz w:val="20"/>
                <w:szCs w:val="20"/>
                <w:highlight w:val="green"/>
                <w:lang w:eastAsia="x-none"/>
              </w:rPr>
              <w:t>Agreement</w:t>
            </w:r>
          </w:p>
          <w:p w14:paraId="2F5FE742" w14:textId="77777777" w:rsidR="00563432" w:rsidRPr="006326CE" w:rsidRDefault="00563432" w:rsidP="006326CE">
            <w:pPr>
              <w:pStyle w:val="a3"/>
              <w:suppressAutoHyphens/>
              <w:spacing w:after="0" w:line="254" w:lineRule="auto"/>
              <w:rPr>
                <w:rFonts w:eastAsia="Malgun Gothic"/>
                <w:lang w:eastAsia="ko-KR"/>
              </w:rPr>
            </w:pPr>
            <w:r w:rsidRPr="006326CE">
              <w:rPr>
                <w:rFonts w:eastAsia="Malgun Gothic"/>
                <w:lang w:eastAsia="ko-KR"/>
              </w:rPr>
              <w:t xml:space="preserve">DCI format for </w:t>
            </w:r>
            <w:r w:rsidRPr="006326CE">
              <w:rPr>
                <w:lang w:eastAsia="zh-CN"/>
              </w:rPr>
              <w:t xml:space="preserve">group common L1 signaling using PDCCH for cell DTX/DRX activation and deactivation </w:t>
            </w:r>
            <w:r w:rsidRPr="006326CE">
              <w:rPr>
                <w:rFonts w:eastAsia="Malgun Gothic"/>
                <w:lang w:eastAsia="ko-KR"/>
              </w:rPr>
              <w:t>(downselect just one among alternatives)</w:t>
            </w:r>
          </w:p>
          <w:p w14:paraId="0D378BF9"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Alt 1) DCI Format 2_6 (</w:t>
            </w:r>
            <w:r w:rsidRPr="006326CE">
              <w:t>power saving information outside DRX Active Time)</w:t>
            </w:r>
          </w:p>
          <w:p w14:paraId="27017D64"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Monitoring within DRX active time</w:t>
            </w:r>
          </w:p>
          <w:p w14:paraId="7F342610"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Field content</w:t>
            </w:r>
          </w:p>
          <w:p w14:paraId="0EA5319F"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Alt 2) Based on new DCI format 2_X</w:t>
            </w:r>
          </w:p>
          <w:p w14:paraId="726D5356"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Field content format</w:t>
            </w:r>
          </w:p>
          <w:p w14:paraId="6722FB62" w14:textId="77777777" w:rsidR="00563432" w:rsidRPr="006326CE" w:rsidRDefault="00563432" w:rsidP="006326CE">
            <w:pPr>
              <w:pStyle w:val="a3"/>
              <w:numPr>
                <w:ilvl w:val="2"/>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Block number 1, block number 2, …, block number N</w:t>
            </w:r>
          </w:p>
          <w:p w14:paraId="4412C33B" w14:textId="77777777" w:rsidR="00563432" w:rsidRPr="006326CE" w:rsidRDefault="00563432" w:rsidP="006326CE">
            <w:pPr>
              <w:pStyle w:val="a3"/>
              <w:numPr>
                <w:ilvl w:val="2"/>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For each block should at least support the following:</w:t>
            </w:r>
          </w:p>
          <w:p w14:paraId="1ED8861A" w14:textId="77777777" w:rsidR="00563432" w:rsidRPr="006326CE" w:rsidRDefault="00563432" w:rsidP="006326CE">
            <w:pPr>
              <w:pStyle w:val="a3"/>
              <w:numPr>
                <w:ilvl w:val="3"/>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DTX configuration activation/deactivation</w:t>
            </w:r>
          </w:p>
          <w:p w14:paraId="739D5AD9" w14:textId="77777777" w:rsidR="00563432" w:rsidRPr="006326CE" w:rsidRDefault="00563432" w:rsidP="006326CE">
            <w:pPr>
              <w:pStyle w:val="a3"/>
              <w:numPr>
                <w:ilvl w:val="3"/>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DRX configuration activation/deactivation</w:t>
            </w:r>
          </w:p>
          <w:p w14:paraId="76B33B01" w14:textId="77777777" w:rsidR="00563432" w:rsidRPr="006326CE" w:rsidRDefault="00563432" w:rsidP="006326CE">
            <w:pPr>
              <w:pStyle w:val="a3"/>
              <w:numPr>
                <w:ilvl w:val="2"/>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other field details, mapping of UE and each blocks</w:t>
            </w:r>
          </w:p>
          <w:p w14:paraId="54EB7F16"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DCI size indicated by higher layers</w:t>
            </w:r>
          </w:p>
          <w:p w14:paraId="69775438"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RNTI</w:t>
            </w:r>
          </w:p>
          <w:p w14:paraId="21E6D165"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t>FFS: application delay, timers for activation/deactivation</w:t>
            </w:r>
          </w:p>
          <w:p w14:paraId="2EFBDC7F"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handling of multiple cells including when UE supports different number of cells</w:t>
            </w:r>
          </w:p>
          <w:p w14:paraId="0F46AE96"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details on PDCCH monitoring aspects, including but not limited to:</w:t>
            </w:r>
          </w:p>
          <w:p w14:paraId="25A457AE"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Search Space</w:t>
            </w:r>
          </w:p>
          <w:p w14:paraId="2CC487FA"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PDCCH monitoring occasion</w:t>
            </w:r>
          </w:p>
          <w:p w14:paraId="0AA14C87"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slots to monitor (during cell DTX/DRX non-active periods, and active periods)</w:t>
            </w:r>
          </w:p>
          <w:p w14:paraId="69018E30" w14:textId="77777777" w:rsidR="00563432" w:rsidRPr="006326CE" w:rsidRDefault="00563432" w:rsidP="006326CE">
            <w:pPr>
              <w:pStyle w:val="a3"/>
              <w:numPr>
                <w:ilvl w:val="1"/>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BD/CE aspects</w:t>
            </w:r>
          </w:p>
          <w:p w14:paraId="7BB8BBA6"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FFS: UE behavior upon reception of the group common PDCCH (during cell DTX/DRX non-active periods, and active periods), including fallback behavior (if any)</w:t>
            </w:r>
          </w:p>
          <w:p w14:paraId="48C45D8F" w14:textId="77777777" w:rsidR="00563432" w:rsidRPr="006326CE" w:rsidRDefault="00563432" w:rsidP="006326CE">
            <w:pPr>
              <w:spacing w:after="0"/>
              <w:rPr>
                <w:sz w:val="20"/>
                <w:szCs w:val="20"/>
                <w:lang w:eastAsia="x-none"/>
              </w:rPr>
            </w:pPr>
          </w:p>
          <w:p w14:paraId="30461AAE" w14:textId="77777777" w:rsidR="00563432" w:rsidRPr="006326CE" w:rsidRDefault="00563432" w:rsidP="006326CE">
            <w:pPr>
              <w:spacing w:after="0"/>
              <w:rPr>
                <w:b/>
                <w:bCs/>
                <w:sz w:val="20"/>
                <w:szCs w:val="20"/>
                <w:highlight w:val="green"/>
                <w:lang w:eastAsia="x-none"/>
              </w:rPr>
            </w:pPr>
            <w:r w:rsidRPr="006326CE">
              <w:rPr>
                <w:b/>
                <w:bCs/>
                <w:sz w:val="20"/>
                <w:szCs w:val="20"/>
                <w:highlight w:val="green"/>
                <w:lang w:eastAsia="x-none"/>
              </w:rPr>
              <w:t>Agreement</w:t>
            </w:r>
          </w:p>
          <w:p w14:paraId="0C7A55FD" w14:textId="77777777" w:rsidR="00563432" w:rsidRPr="006326CE" w:rsidRDefault="00563432" w:rsidP="006326CE">
            <w:pPr>
              <w:pStyle w:val="a3"/>
              <w:spacing w:after="0"/>
              <w:rPr>
                <w:lang w:eastAsia="zh-CN"/>
              </w:rPr>
            </w:pPr>
            <w:r w:rsidRPr="006326CE">
              <w:rPr>
                <w:lang w:eastAsia="zh-CN"/>
              </w:rPr>
              <w:t>For the group common L1 signaling using PDCCH for cell DTX/DRX activation and deactivation</w:t>
            </w:r>
          </w:p>
          <w:p w14:paraId="4C41770B" w14:textId="77777777" w:rsidR="00563432" w:rsidRPr="006326CE" w:rsidRDefault="00563432" w:rsidP="006326CE">
            <w:pPr>
              <w:pStyle w:val="a3"/>
              <w:numPr>
                <w:ilvl w:val="0"/>
                <w:numId w:val="46"/>
              </w:numPr>
              <w:suppressAutoHyphens/>
              <w:autoSpaceDE/>
              <w:autoSpaceDN/>
              <w:adjustRightInd/>
              <w:snapToGrid/>
              <w:spacing w:after="0" w:line="254" w:lineRule="auto"/>
              <w:rPr>
                <w:rFonts w:eastAsia="Malgun Gothic"/>
                <w:lang w:eastAsia="ko-KR"/>
              </w:rPr>
            </w:pPr>
            <w:r w:rsidRPr="006326CE">
              <w:rPr>
                <w:rFonts w:eastAsia="Malgun Gothic"/>
                <w:lang w:eastAsia="ko-KR"/>
              </w:rPr>
              <w:t>Alt 2) Based on new DCI format 2_X</w:t>
            </w:r>
          </w:p>
          <w:p w14:paraId="0680BA50" w14:textId="77777777" w:rsidR="00563432" w:rsidRPr="006326CE" w:rsidRDefault="00563432" w:rsidP="006326CE">
            <w:pPr>
              <w:pStyle w:val="af4"/>
              <w:numPr>
                <w:ilvl w:val="1"/>
                <w:numId w:val="46"/>
              </w:numPr>
              <w:suppressAutoHyphens/>
              <w:overflowPunct w:val="0"/>
              <w:spacing w:after="0" w:line="254" w:lineRule="auto"/>
              <w:contextualSpacing w:val="0"/>
              <w:rPr>
                <w:rFonts w:ascii="Times New Roman" w:eastAsia="Malgun Gothic" w:hAnsi="Times New Roman"/>
                <w:sz w:val="20"/>
                <w:szCs w:val="20"/>
              </w:rPr>
            </w:pPr>
            <w:r w:rsidRPr="006326CE">
              <w:rPr>
                <w:rFonts w:ascii="Times New Roman" w:eastAsia="Malgun Gothic" w:hAnsi="Times New Roman"/>
                <w:sz w:val="20"/>
                <w:szCs w:val="20"/>
              </w:rPr>
              <w:t>DCI size budget is not increased</w:t>
            </w:r>
          </w:p>
          <w:p w14:paraId="13785653" w14:textId="77777777" w:rsidR="00563432" w:rsidRPr="006326CE" w:rsidRDefault="00563432" w:rsidP="006326CE">
            <w:pPr>
              <w:pStyle w:val="af4"/>
              <w:numPr>
                <w:ilvl w:val="1"/>
                <w:numId w:val="46"/>
              </w:numPr>
              <w:suppressAutoHyphens/>
              <w:overflowPunct w:val="0"/>
              <w:spacing w:after="0" w:line="254" w:lineRule="auto"/>
              <w:contextualSpacing w:val="0"/>
              <w:rPr>
                <w:rFonts w:ascii="Times New Roman" w:eastAsia="Malgun Gothic" w:hAnsi="Times New Roman"/>
                <w:sz w:val="20"/>
                <w:szCs w:val="20"/>
              </w:rPr>
            </w:pPr>
            <w:r w:rsidRPr="006326CE">
              <w:rPr>
                <w:rFonts w:ascii="Times New Roman" w:eastAsia="Malgun Gothic" w:hAnsi="Times New Roman"/>
                <w:sz w:val="20"/>
                <w:szCs w:val="20"/>
              </w:rPr>
              <w:lastRenderedPageBreak/>
              <w:t>Number of required BDs is not increased</w:t>
            </w:r>
          </w:p>
          <w:p w14:paraId="0A9457AB" w14:textId="77777777" w:rsidR="00563432" w:rsidRPr="006326CE" w:rsidRDefault="00563432" w:rsidP="006326CE">
            <w:pPr>
              <w:pStyle w:val="af4"/>
              <w:numPr>
                <w:ilvl w:val="1"/>
                <w:numId w:val="46"/>
              </w:numPr>
              <w:suppressAutoHyphens/>
              <w:overflowPunct w:val="0"/>
              <w:spacing w:after="0" w:line="254" w:lineRule="auto"/>
              <w:contextualSpacing w:val="0"/>
              <w:rPr>
                <w:rFonts w:ascii="Times New Roman" w:eastAsia="Malgun Gothic" w:hAnsi="Times New Roman"/>
                <w:sz w:val="20"/>
                <w:szCs w:val="20"/>
              </w:rPr>
            </w:pPr>
            <w:r w:rsidRPr="006326CE">
              <w:rPr>
                <w:rFonts w:ascii="Times New Roman" w:eastAsia="Malgun Gothic" w:hAnsi="Times New Roman"/>
                <w:sz w:val="20"/>
                <w:szCs w:val="20"/>
              </w:rPr>
              <w:t>FFS: PDCCH monitoring configuration for the new DCI format is identical to PDCCH monitoring configuration for DCI format 2_6 if the UE monitors both DCI formats</w:t>
            </w:r>
          </w:p>
          <w:p w14:paraId="16CE48BC" w14:textId="77777777" w:rsidR="00E04C16" w:rsidRDefault="00092105" w:rsidP="006326CE">
            <w:pPr>
              <w:pStyle w:val="af4"/>
              <w:numPr>
                <w:ilvl w:val="2"/>
                <w:numId w:val="46"/>
              </w:numPr>
              <w:suppressAutoHyphens/>
              <w:overflowPunct w:val="0"/>
              <w:spacing w:after="0" w:line="254" w:lineRule="auto"/>
              <w:contextualSpacing w:val="0"/>
              <w:rPr>
                <w:rFonts w:ascii="Times New Roman" w:eastAsia="Malgun Gothic" w:hAnsi="Times New Roman"/>
                <w:sz w:val="20"/>
                <w:szCs w:val="20"/>
              </w:rPr>
            </w:pPr>
            <w:r w:rsidRPr="006326CE">
              <w:rPr>
                <w:rFonts w:ascii="Times New Roman" w:eastAsia="Malgun Gothic" w:hAnsi="Times New Roman"/>
                <w:sz w:val="20"/>
                <w:szCs w:val="20"/>
              </w:rPr>
              <w:t>FFS: New RNTI is used</w:t>
            </w:r>
          </w:p>
          <w:p w14:paraId="1B8E0CC4" w14:textId="2ECA027D" w:rsidR="00D4419F" w:rsidRPr="00D4419F" w:rsidRDefault="00D4419F" w:rsidP="00D4419F">
            <w:pPr>
              <w:suppressAutoHyphens/>
              <w:overflowPunct w:val="0"/>
              <w:spacing w:after="0" w:line="254" w:lineRule="auto"/>
              <w:rPr>
                <w:rFonts w:eastAsia="Malgun Gothic"/>
                <w:sz w:val="20"/>
                <w:szCs w:val="20"/>
              </w:rPr>
            </w:pPr>
          </w:p>
        </w:tc>
      </w:tr>
    </w:tbl>
    <w:p w14:paraId="64990435" w14:textId="08B56B4B" w:rsidR="002F75E1" w:rsidRPr="001002AF" w:rsidRDefault="0019137B" w:rsidP="008D21FC">
      <w:pPr>
        <w:spacing w:before="120"/>
        <w:rPr>
          <w:sz w:val="20"/>
          <w:szCs w:val="20"/>
        </w:rPr>
      </w:pPr>
      <w:r w:rsidRPr="001002AF">
        <w:rPr>
          <w:sz w:val="20"/>
          <w:szCs w:val="20"/>
        </w:rPr>
        <w:lastRenderedPageBreak/>
        <w:t xml:space="preserve">In this paper, we present our views on remaining issues of </w:t>
      </w:r>
      <w:r w:rsidR="00865FAD" w:rsidRPr="001002AF">
        <w:rPr>
          <w:sz w:val="20"/>
          <w:szCs w:val="20"/>
        </w:rPr>
        <w:t>enhancements on cell DTX/DRX mechanism</w:t>
      </w:r>
      <w:r w:rsidRPr="001002AF">
        <w:rPr>
          <w:sz w:val="20"/>
          <w:szCs w:val="20"/>
        </w:rPr>
        <w:t xml:space="preserve"> and proposals for moving forward.</w:t>
      </w:r>
    </w:p>
    <w:p w14:paraId="3487A891" w14:textId="30918C10" w:rsidR="00372596" w:rsidRPr="009C079D" w:rsidRDefault="006D364B" w:rsidP="001618CA">
      <w:pPr>
        <w:pStyle w:val="1"/>
        <w:ind w:left="431" w:hanging="431"/>
        <w:rPr>
          <w:rFonts w:ascii="Times New Roman" w:hAnsi="Times New Roman"/>
        </w:rPr>
      </w:pPr>
      <w:r w:rsidRPr="009C079D">
        <w:rPr>
          <w:rFonts w:ascii="Times New Roman" w:hAnsi="Times New Roman"/>
        </w:rPr>
        <w:t>DCI format for group common L1 signaling</w:t>
      </w:r>
    </w:p>
    <w:p w14:paraId="0F0DB440" w14:textId="0A9A879E" w:rsidR="00FA48A6" w:rsidRPr="009318E4" w:rsidRDefault="00603BA1" w:rsidP="00106E64">
      <w:pPr>
        <w:tabs>
          <w:tab w:val="left" w:pos="720"/>
        </w:tabs>
        <w:rPr>
          <w:sz w:val="20"/>
          <w:szCs w:val="20"/>
        </w:rPr>
      </w:pPr>
      <w:r w:rsidRPr="009318E4">
        <w:rPr>
          <w:sz w:val="20"/>
          <w:szCs w:val="20"/>
        </w:rPr>
        <w:t xml:space="preserve">C-DRX is configured at UE side </w:t>
      </w:r>
      <w:r w:rsidR="00DB6463" w:rsidRPr="009318E4">
        <w:rPr>
          <w:sz w:val="20"/>
          <w:szCs w:val="20"/>
        </w:rPr>
        <w:t xml:space="preserve">for power saving </w:t>
      </w:r>
      <w:r w:rsidRPr="009318E4">
        <w:rPr>
          <w:sz w:val="20"/>
          <w:szCs w:val="20"/>
        </w:rPr>
        <w:t>in legacy NR Rel-15/16/17</w:t>
      </w:r>
      <w:r w:rsidR="001A422D" w:rsidRPr="009318E4">
        <w:rPr>
          <w:sz w:val="20"/>
          <w:szCs w:val="20"/>
        </w:rPr>
        <w:t xml:space="preserve">. </w:t>
      </w:r>
      <w:r w:rsidR="007C0F51" w:rsidRPr="009318E4">
        <w:rPr>
          <w:sz w:val="20"/>
          <w:szCs w:val="20"/>
        </w:rPr>
        <w:t xml:space="preserve">By definition, the time can be classified as active period and non-active period. </w:t>
      </w:r>
      <w:r w:rsidR="002F038A" w:rsidRPr="009318E4">
        <w:rPr>
          <w:sz w:val="20"/>
          <w:szCs w:val="20"/>
        </w:rPr>
        <w:t xml:space="preserve">In Rel-18, </w:t>
      </w:r>
      <w:r w:rsidR="00095694" w:rsidRPr="009318E4">
        <w:rPr>
          <w:sz w:val="20"/>
          <w:szCs w:val="20"/>
        </w:rPr>
        <w:t>a time-domain NES technique</w:t>
      </w:r>
      <w:r w:rsidR="00C11805" w:rsidRPr="009318E4">
        <w:rPr>
          <w:sz w:val="20"/>
          <w:szCs w:val="20"/>
        </w:rPr>
        <w:t xml:space="preserve"> </w:t>
      </w:r>
      <w:r w:rsidR="00806BDE" w:rsidRPr="009318E4">
        <w:rPr>
          <w:sz w:val="20"/>
          <w:szCs w:val="20"/>
        </w:rPr>
        <w:t xml:space="preserve">when </w:t>
      </w:r>
      <w:r w:rsidR="00C11805" w:rsidRPr="009318E4">
        <w:rPr>
          <w:sz w:val="20"/>
          <w:szCs w:val="20"/>
        </w:rPr>
        <w:t>the cell may have no transmission/reception or only keep limited transmission/reception</w:t>
      </w:r>
      <w:r w:rsidR="00095694" w:rsidRPr="009318E4">
        <w:rPr>
          <w:sz w:val="20"/>
          <w:szCs w:val="20"/>
        </w:rPr>
        <w:t xml:space="preserve">, i.e., cell DTX/DRX, has been proposed. </w:t>
      </w:r>
      <w:r w:rsidR="00FA48A6" w:rsidRPr="009318E4">
        <w:rPr>
          <w:sz w:val="20"/>
          <w:szCs w:val="20"/>
        </w:rPr>
        <w:t>More specifically, th</w:t>
      </w:r>
      <w:r w:rsidR="00FA48A6" w:rsidRPr="009318E4">
        <w:rPr>
          <w:rFonts w:hint="eastAsia"/>
          <w:sz w:val="20"/>
          <w:szCs w:val="20"/>
        </w:rPr>
        <w:t xml:space="preserve">e cell DTX/DRX </w:t>
      </w:r>
      <w:r w:rsidR="00FA48A6" w:rsidRPr="009318E4">
        <w:rPr>
          <w:sz w:val="20"/>
          <w:szCs w:val="20"/>
        </w:rPr>
        <w:t>techn</w:t>
      </w:r>
      <w:r w:rsidR="00FA48A6" w:rsidRPr="009318E4">
        <w:rPr>
          <w:rFonts w:hint="eastAsia"/>
          <w:sz w:val="20"/>
          <w:szCs w:val="20"/>
        </w:rPr>
        <w:t>ique can</w:t>
      </w:r>
      <w:r w:rsidR="00FA48A6" w:rsidRPr="009318E4">
        <w:rPr>
          <w:sz w:val="20"/>
          <w:szCs w:val="20"/>
        </w:rPr>
        <w:t xml:space="preserve"> </w:t>
      </w:r>
      <w:r w:rsidR="00FA48A6" w:rsidRPr="009318E4">
        <w:rPr>
          <w:rFonts w:hint="eastAsia"/>
          <w:sz w:val="20"/>
          <w:szCs w:val="20"/>
        </w:rPr>
        <w:t>keep</w:t>
      </w:r>
      <w:r w:rsidR="00FA48A6" w:rsidRPr="009318E4">
        <w:rPr>
          <w:sz w:val="20"/>
          <w:szCs w:val="20"/>
        </w:rPr>
        <w:t xml:space="preserve"> </w:t>
      </w:r>
      <w:r w:rsidR="00FA48A6" w:rsidRPr="009318E4">
        <w:rPr>
          <w:rFonts w:hint="eastAsia"/>
          <w:sz w:val="20"/>
          <w:szCs w:val="20"/>
        </w:rPr>
        <w:t>the cell in</w:t>
      </w:r>
      <w:r w:rsidR="00FA48A6" w:rsidRPr="009318E4">
        <w:rPr>
          <w:sz w:val="20"/>
          <w:szCs w:val="20"/>
        </w:rPr>
        <w:t xml:space="preserve"> sleeping</w:t>
      </w:r>
      <w:r w:rsidR="00FA48A6" w:rsidRPr="009318E4">
        <w:rPr>
          <w:rFonts w:hint="eastAsia"/>
          <w:sz w:val="20"/>
          <w:szCs w:val="20"/>
        </w:rPr>
        <w:t xml:space="preserve"> mode for</w:t>
      </w:r>
      <w:r w:rsidR="00FA48A6" w:rsidRPr="009318E4">
        <w:rPr>
          <w:sz w:val="20"/>
          <w:szCs w:val="20"/>
        </w:rPr>
        <w:t xml:space="preserve"> a relatively long time</w:t>
      </w:r>
      <w:r w:rsidR="00FA48A6" w:rsidRPr="009318E4">
        <w:rPr>
          <w:rFonts w:hint="eastAsia"/>
          <w:sz w:val="20"/>
          <w:szCs w:val="20"/>
        </w:rPr>
        <w:t xml:space="preserve"> </w:t>
      </w:r>
      <w:r w:rsidR="00FA48A6" w:rsidRPr="009318E4">
        <w:rPr>
          <w:sz w:val="20"/>
          <w:szCs w:val="20"/>
        </w:rPr>
        <w:t>without frequent waking-up</w:t>
      </w:r>
      <w:r w:rsidR="00FA48A6" w:rsidRPr="009318E4">
        <w:rPr>
          <w:rFonts w:hint="eastAsia"/>
          <w:sz w:val="20"/>
          <w:szCs w:val="20"/>
        </w:rPr>
        <w:t xml:space="preserve">, which is beneficial to </w:t>
      </w:r>
      <w:r w:rsidR="004F3472" w:rsidRPr="009318E4">
        <w:rPr>
          <w:sz w:val="20"/>
          <w:szCs w:val="20"/>
        </w:rPr>
        <w:t>NES</w:t>
      </w:r>
      <w:r w:rsidR="00FA48A6" w:rsidRPr="009318E4">
        <w:rPr>
          <w:rFonts w:hint="eastAsia"/>
          <w:sz w:val="20"/>
          <w:szCs w:val="20"/>
        </w:rPr>
        <w:t>.</w:t>
      </w:r>
      <w:r w:rsidR="00067CA8" w:rsidRPr="009318E4">
        <w:rPr>
          <w:sz w:val="20"/>
          <w:szCs w:val="20"/>
        </w:rPr>
        <w:t xml:space="preserve"> It should be noted that </w:t>
      </w:r>
      <w:r w:rsidR="006D452F" w:rsidRPr="009318E4">
        <w:rPr>
          <w:sz w:val="20"/>
          <w:szCs w:val="20"/>
        </w:rPr>
        <w:t>c</w:t>
      </w:r>
      <w:r w:rsidR="00067CA8" w:rsidRPr="009318E4">
        <w:rPr>
          <w:sz w:val="20"/>
          <w:szCs w:val="20"/>
        </w:rPr>
        <w:t xml:space="preserve">ell DTX/DRX is configured </w:t>
      </w:r>
      <w:r w:rsidR="000E22FC" w:rsidRPr="009318E4">
        <w:rPr>
          <w:sz w:val="20"/>
          <w:szCs w:val="20"/>
          <w:lang w:eastAsia="zh-CN"/>
        </w:rPr>
        <w:t xml:space="preserve">and operated </w:t>
      </w:r>
      <w:r w:rsidR="00067CA8" w:rsidRPr="009318E4">
        <w:rPr>
          <w:sz w:val="20"/>
          <w:szCs w:val="20"/>
        </w:rPr>
        <w:t>separately with the C-DRX</w:t>
      </w:r>
      <w:r w:rsidR="00F84600" w:rsidRPr="009318E4">
        <w:rPr>
          <w:sz w:val="20"/>
          <w:szCs w:val="20"/>
        </w:rPr>
        <w:t>.</w:t>
      </w:r>
    </w:p>
    <w:p w14:paraId="40F2CED0" w14:textId="4036BD6C" w:rsidR="000B31D6" w:rsidRPr="009318E4" w:rsidRDefault="00095694" w:rsidP="00106E64">
      <w:pPr>
        <w:tabs>
          <w:tab w:val="left" w:pos="720"/>
        </w:tabs>
        <w:rPr>
          <w:sz w:val="20"/>
          <w:szCs w:val="20"/>
        </w:rPr>
      </w:pPr>
      <w:r w:rsidRPr="009318E4">
        <w:rPr>
          <w:sz w:val="20"/>
          <w:szCs w:val="20"/>
        </w:rPr>
        <w:t>I</w:t>
      </w:r>
      <w:r w:rsidR="00120183" w:rsidRPr="009318E4">
        <w:rPr>
          <w:sz w:val="20"/>
          <w:szCs w:val="20"/>
        </w:rPr>
        <w:t xml:space="preserve">t has been agreed in RAN1 </w:t>
      </w:r>
      <w:r w:rsidR="00120183" w:rsidRPr="009318E4">
        <w:rPr>
          <w:rFonts w:hint="eastAsia"/>
          <w:sz w:val="20"/>
          <w:szCs w:val="20"/>
        </w:rPr>
        <w:t>t</w:t>
      </w:r>
      <w:r w:rsidR="00120183" w:rsidRPr="009318E4">
        <w:rPr>
          <w:sz w:val="20"/>
          <w:szCs w:val="20"/>
        </w:rPr>
        <w:t xml:space="preserve">hat </w:t>
      </w:r>
      <w:r w:rsidR="006653D0" w:rsidRPr="009318E4">
        <w:rPr>
          <w:sz w:val="20"/>
          <w:szCs w:val="20"/>
        </w:rPr>
        <w:t>c</w:t>
      </w:r>
      <w:r w:rsidR="00D639C1" w:rsidRPr="009318E4">
        <w:rPr>
          <w:sz w:val="20"/>
          <w:szCs w:val="20"/>
        </w:rPr>
        <w:t xml:space="preserve">ell DTX/DRX </w:t>
      </w:r>
      <w:r w:rsidR="00120183" w:rsidRPr="009318E4">
        <w:rPr>
          <w:sz w:val="20"/>
          <w:szCs w:val="20"/>
        </w:rPr>
        <w:t xml:space="preserve">is </w:t>
      </w:r>
      <w:r w:rsidR="00D639C1" w:rsidRPr="009318E4">
        <w:rPr>
          <w:sz w:val="20"/>
          <w:szCs w:val="20"/>
        </w:rPr>
        <w:t>a time domain mechanism of informing UE whether the cell stays inactive such that UEs in the cell can be informed so that the UEs are not expected to monitor PDCCH</w:t>
      </w:r>
      <w:r w:rsidR="00120183" w:rsidRPr="009318E4">
        <w:rPr>
          <w:sz w:val="20"/>
          <w:szCs w:val="20"/>
        </w:rPr>
        <w:t>.</w:t>
      </w:r>
      <w:r w:rsidR="00721156" w:rsidRPr="009318E4">
        <w:rPr>
          <w:sz w:val="20"/>
          <w:szCs w:val="20"/>
        </w:rPr>
        <w:t xml:space="preserve"> Furthermore, a cell DTX/DRX pattern can be defined by transitions between active periods (during which NW can perform transmissions and receptions) and non-active periods (during which the transmissions/receptions are partially or completely turned off for data traffic and/or reference signal).</w:t>
      </w:r>
      <w:r w:rsidR="00D218DB" w:rsidRPr="009318E4">
        <w:rPr>
          <w:sz w:val="20"/>
          <w:szCs w:val="20"/>
        </w:rPr>
        <w:t xml:space="preserve"> </w:t>
      </w:r>
      <w:r w:rsidR="00D218DB" w:rsidRPr="009318E4">
        <w:rPr>
          <w:rFonts w:hint="eastAsia"/>
          <w:sz w:val="20"/>
          <w:szCs w:val="20"/>
        </w:rPr>
        <w:t xml:space="preserve">In order to ensure that the cell DTX/DRX pattern can be flexibly adapted to various traffic, the flexible indication of </w:t>
      </w:r>
      <w:bookmarkStart w:id="5" w:name="OLE_LINK3"/>
      <w:r w:rsidR="00D218DB" w:rsidRPr="009318E4">
        <w:rPr>
          <w:rFonts w:hint="eastAsia"/>
          <w:sz w:val="20"/>
          <w:szCs w:val="20"/>
        </w:rPr>
        <w:t>cell DTX/DRX pattern</w:t>
      </w:r>
      <w:bookmarkEnd w:id="5"/>
      <w:r w:rsidR="00D218DB" w:rsidRPr="009318E4">
        <w:rPr>
          <w:rFonts w:hint="eastAsia"/>
          <w:sz w:val="20"/>
          <w:szCs w:val="20"/>
        </w:rPr>
        <w:t xml:space="preserve"> by L1 signaling</w:t>
      </w:r>
      <w:r w:rsidR="0062415C" w:rsidRPr="009318E4">
        <w:rPr>
          <w:sz w:val="20"/>
          <w:szCs w:val="20"/>
        </w:rPr>
        <w:t xml:space="preserve"> is needed</w:t>
      </w:r>
      <w:r w:rsidR="008420CD" w:rsidRPr="009318E4">
        <w:rPr>
          <w:sz w:val="20"/>
          <w:szCs w:val="20"/>
        </w:rPr>
        <w:t>.</w:t>
      </w:r>
    </w:p>
    <w:p w14:paraId="2D2FEFA8" w14:textId="7DA8B0A3" w:rsidR="00E857CA" w:rsidRPr="009318E4" w:rsidRDefault="0061399A" w:rsidP="00106E64">
      <w:pPr>
        <w:tabs>
          <w:tab w:val="left" w:pos="720"/>
        </w:tabs>
        <w:rPr>
          <w:sz w:val="20"/>
          <w:szCs w:val="20"/>
        </w:rPr>
      </w:pPr>
      <w:r w:rsidRPr="009318E4">
        <w:rPr>
          <w:sz w:val="20"/>
          <w:szCs w:val="20"/>
        </w:rPr>
        <w:t xml:space="preserve">RAN2 already agrees the baseline that </w:t>
      </w:r>
      <w:r w:rsidR="0008568D" w:rsidRPr="009318E4">
        <w:rPr>
          <w:sz w:val="20"/>
          <w:szCs w:val="20"/>
        </w:rPr>
        <w:t>c</w:t>
      </w:r>
      <w:r w:rsidRPr="009318E4">
        <w:rPr>
          <w:sz w:val="20"/>
          <w:szCs w:val="20"/>
        </w:rPr>
        <w:t xml:space="preserve">ell DTX/DRX is activated/deactivated implicitly by RRC </w:t>
      </w:r>
      <w:r w:rsidR="002C3089" w:rsidRPr="009318E4">
        <w:rPr>
          <w:sz w:val="20"/>
          <w:szCs w:val="20"/>
        </w:rPr>
        <w:t>signaling</w:t>
      </w:r>
      <w:r w:rsidR="00AE7A86" w:rsidRPr="009318E4">
        <w:rPr>
          <w:sz w:val="20"/>
          <w:szCs w:val="20"/>
        </w:rPr>
        <w:t>, i.e. activated immediately once configured by RRC and deactivated once the RRC configuration is released</w:t>
      </w:r>
      <w:r w:rsidRPr="009318E4">
        <w:rPr>
          <w:sz w:val="20"/>
          <w:szCs w:val="20"/>
        </w:rPr>
        <w:t xml:space="preserve">. </w:t>
      </w:r>
      <w:r w:rsidR="007F6565" w:rsidRPr="009318E4">
        <w:rPr>
          <w:sz w:val="20"/>
          <w:szCs w:val="20"/>
        </w:rPr>
        <w:t>Furthermore,</w:t>
      </w:r>
      <w:r w:rsidR="00093AC2" w:rsidRPr="009318E4">
        <w:rPr>
          <w:sz w:val="20"/>
          <w:szCs w:val="20"/>
        </w:rPr>
        <w:t xml:space="preserve"> it has been agreed in RAN1#113 to </w:t>
      </w:r>
      <w:r w:rsidR="007C7A72" w:rsidRPr="009318E4">
        <w:rPr>
          <w:sz w:val="20"/>
          <w:szCs w:val="20"/>
        </w:rPr>
        <w:t>s</w:t>
      </w:r>
      <w:r w:rsidR="00093AC2" w:rsidRPr="009318E4">
        <w:rPr>
          <w:sz w:val="20"/>
          <w:szCs w:val="20"/>
        </w:rPr>
        <w:t>upport of L1 signaling at least for activation/deactivation of</w:t>
      </w:r>
      <w:r w:rsidR="006653D0" w:rsidRPr="009318E4">
        <w:rPr>
          <w:sz w:val="20"/>
          <w:szCs w:val="20"/>
        </w:rPr>
        <w:t xml:space="preserve"> a cell DTX/DRX</w:t>
      </w:r>
      <w:r w:rsidR="004C36DA" w:rsidRPr="009318E4">
        <w:rPr>
          <w:sz w:val="20"/>
          <w:szCs w:val="20"/>
        </w:rPr>
        <w:t>, for possibly improved latency for more dynamical change of cell DTX/DRX status</w:t>
      </w:r>
      <w:r w:rsidR="00054B63" w:rsidRPr="009318E4">
        <w:rPr>
          <w:sz w:val="20"/>
          <w:szCs w:val="20"/>
        </w:rPr>
        <w:t xml:space="preserve"> and more flexible</w:t>
      </w:r>
      <w:r w:rsidR="00A20350" w:rsidRPr="009318E4">
        <w:rPr>
          <w:sz w:val="20"/>
          <w:szCs w:val="20"/>
        </w:rPr>
        <w:t xml:space="preserve"> in indication</w:t>
      </w:r>
      <w:r w:rsidR="00614FEE" w:rsidRPr="009318E4">
        <w:rPr>
          <w:sz w:val="20"/>
          <w:szCs w:val="20"/>
        </w:rPr>
        <w:t xml:space="preserve"> </w:t>
      </w:r>
      <w:r w:rsidR="004C36DA" w:rsidRPr="009318E4">
        <w:rPr>
          <w:sz w:val="20"/>
          <w:szCs w:val="20"/>
        </w:rPr>
        <w:t>compared to L2/L3 signaling</w:t>
      </w:r>
      <w:r w:rsidR="00731221" w:rsidRPr="009318E4">
        <w:rPr>
          <w:sz w:val="20"/>
          <w:szCs w:val="20"/>
        </w:rPr>
        <w:t>.</w:t>
      </w:r>
      <w:r w:rsidR="00041C39" w:rsidRPr="009318E4">
        <w:rPr>
          <w:sz w:val="20"/>
          <w:szCs w:val="20"/>
        </w:rPr>
        <w:t xml:space="preserve"> </w:t>
      </w:r>
    </w:p>
    <w:p w14:paraId="35AC34D5" w14:textId="378B42D1" w:rsidR="00DE6173" w:rsidRPr="009318E4" w:rsidRDefault="00881FF1" w:rsidP="00755E60">
      <w:pPr>
        <w:tabs>
          <w:tab w:val="left" w:pos="720"/>
        </w:tabs>
        <w:rPr>
          <w:sz w:val="20"/>
          <w:szCs w:val="20"/>
        </w:rPr>
      </w:pPr>
      <w:r w:rsidRPr="009318E4">
        <w:rPr>
          <w:sz w:val="20"/>
          <w:szCs w:val="20"/>
        </w:rPr>
        <w:t xml:space="preserve">Moreover, </w:t>
      </w:r>
      <w:r w:rsidR="00E857CA" w:rsidRPr="009318E4">
        <w:rPr>
          <w:sz w:val="20"/>
          <w:szCs w:val="20"/>
        </w:rPr>
        <w:t xml:space="preserve">the L1 </w:t>
      </w:r>
      <w:r w:rsidR="002C3089" w:rsidRPr="009318E4">
        <w:rPr>
          <w:sz w:val="20"/>
          <w:szCs w:val="20"/>
        </w:rPr>
        <w:t>signaling</w:t>
      </w:r>
      <w:r w:rsidR="00E857CA" w:rsidRPr="009318E4">
        <w:rPr>
          <w:sz w:val="20"/>
          <w:szCs w:val="20"/>
        </w:rPr>
        <w:t xml:space="preserve"> can be configured at a UE-group level or a larger granularity, which means the status of cell DTX/DRX for multiple UEs can be informed through one L1 </w:t>
      </w:r>
      <w:r w:rsidR="002C3089" w:rsidRPr="009318E4">
        <w:rPr>
          <w:sz w:val="20"/>
          <w:szCs w:val="20"/>
        </w:rPr>
        <w:t>signaling</w:t>
      </w:r>
      <w:r w:rsidR="00E857CA" w:rsidRPr="009318E4">
        <w:rPr>
          <w:sz w:val="20"/>
          <w:szCs w:val="20"/>
        </w:rPr>
        <w:t xml:space="preserve">, this is called group-common L1 </w:t>
      </w:r>
      <w:r w:rsidR="002C3089" w:rsidRPr="009318E4">
        <w:rPr>
          <w:sz w:val="20"/>
          <w:szCs w:val="20"/>
        </w:rPr>
        <w:t>signaling</w:t>
      </w:r>
      <w:r w:rsidR="00E857CA" w:rsidRPr="009318E4">
        <w:rPr>
          <w:sz w:val="20"/>
          <w:szCs w:val="20"/>
        </w:rPr>
        <w:t xml:space="preserve">. </w:t>
      </w:r>
      <w:r w:rsidR="0088587D" w:rsidRPr="009318E4">
        <w:rPr>
          <w:sz w:val="20"/>
          <w:szCs w:val="20"/>
        </w:rPr>
        <w:t>Group</w:t>
      </w:r>
      <w:r w:rsidR="007071F3" w:rsidRPr="009318E4">
        <w:rPr>
          <w:sz w:val="20"/>
          <w:szCs w:val="20"/>
        </w:rPr>
        <w:t>-</w:t>
      </w:r>
      <w:r w:rsidR="0088587D" w:rsidRPr="009318E4">
        <w:rPr>
          <w:sz w:val="20"/>
          <w:szCs w:val="20"/>
        </w:rPr>
        <w:t xml:space="preserve">common </w:t>
      </w:r>
      <w:r w:rsidR="00BD0FE5" w:rsidRPr="009318E4">
        <w:rPr>
          <w:sz w:val="20"/>
          <w:szCs w:val="20"/>
        </w:rPr>
        <w:t xml:space="preserve">L1 </w:t>
      </w:r>
      <w:r w:rsidR="0088587D" w:rsidRPr="009318E4">
        <w:rPr>
          <w:sz w:val="20"/>
          <w:szCs w:val="20"/>
        </w:rPr>
        <w:t xml:space="preserve">DCI signaling has been widely used in NR for various enablement of configurations. </w:t>
      </w:r>
      <w:r w:rsidR="00DE6173" w:rsidRPr="009318E4">
        <w:rPr>
          <w:sz w:val="20"/>
          <w:szCs w:val="20"/>
        </w:rPr>
        <w:t>For example, it can be used for the transmission of TPC commands for PUCCH and PUSCH, for notifying the power saving information outside DRX Active Time and for notifying the PRB(s) and OFDM symbol(s) where UE may assume no transmission is intended for the UE, etc.</w:t>
      </w:r>
    </w:p>
    <w:p w14:paraId="1C8DB5B9" w14:textId="367DDDD2" w:rsidR="00392400" w:rsidRPr="009318E4" w:rsidRDefault="00392400" w:rsidP="00392400">
      <w:pPr>
        <w:tabs>
          <w:tab w:val="left" w:pos="720"/>
        </w:tabs>
        <w:spacing w:after="0"/>
        <w:rPr>
          <w:sz w:val="20"/>
          <w:szCs w:val="20"/>
        </w:rPr>
      </w:pPr>
      <w:r w:rsidRPr="009318E4">
        <w:rPr>
          <w:sz w:val="20"/>
          <w:szCs w:val="20"/>
        </w:rPr>
        <w:t>From NW perspective, t</w:t>
      </w:r>
      <w:r w:rsidR="00881FF1" w:rsidRPr="009318E4">
        <w:rPr>
          <w:sz w:val="20"/>
          <w:szCs w:val="20"/>
        </w:rPr>
        <w:t>he group</w:t>
      </w:r>
      <w:r w:rsidR="004C36DA" w:rsidRPr="009318E4">
        <w:rPr>
          <w:sz w:val="20"/>
          <w:szCs w:val="20"/>
        </w:rPr>
        <w:t>-</w:t>
      </w:r>
      <w:r w:rsidR="00881FF1" w:rsidRPr="009318E4">
        <w:rPr>
          <w:sz w:val="20"/>
          <w:szCs w:val="20"/>
        </w:rPr>
        <w:t xml:space="preserve">common L1 </w:t>
      </w:r>
      <w:r w:rsidR="004561EF" w:rsidRPr="009318E4">
        <w:rPr>
          <w:sz w:val="20"/>
          <w:szCs w:val="20"/>
        </w:rPr>
        <w:t>signaling</w:t>
      </w:r>
      <w:r w:rsidR="00881FF1" w:rsidRPr="009318E4">
        <w:rPr>
          <w:sz w:val="20"/>
          <w:szCs w:val="20"/>
        </w:rPr>
        <w:t xml:space="preserve"> can be beneficial</w:t>
      </w:r>
      <w:r w:rsidRPr="009318E4">
        <w:rPr>
          <w:sz w:val="20"/>
          <w:szCs w:val="20"/>
        </w:rPr>
        <w:t xml:space="preserve"> as </w:t>
      </w:r>
      <w:r w:rsidR="00D741E4" w:rsidRPr="009318E4">
        <w:rPr>
          <w:sz w:val="20"/>
          <w:szCs w:val="20"/>
        </w:rPr>
        <w:t>c</w:t>
      </w:r>
      <w:r w:rsidRPr="009318E4">
        <w:rPr>
          <w:sz w:val="20"/>
          <w:szCs w:val="20"/>
        </w:rPr>
        <w:t xml:space="preserve">ell DTX/DRX is commonly configured for all UEs and that will: </w:t>
      </w:r>
    </w:p>
    <w:p w14:paraId="479CA991" w14:textId="04176AA5" w:rsidR="00392400" w:rsidRPr="009318E4" w:rsidRDefault="00FF2DC2" w:rsidP="00392400">
      <w:pPr>
        <w:pStyle w:val="a3"/>
        <w:numPr>
          <w:ilvl w:val="0"/>
          <w:numId w:val="46"/>
        </w:numPr>
        <w:suppressAutoHyphens/>
        <w:autoSpaceDE/>
        <w:autoSpaceDN/>
        <w:adjustRightInd/>
        <w:snapToGrid/>
        <w:spacing w:after="0" w:line="254" w:lineRule="auto"/>
        <w:rPr>
          <w:rFonts w:eastAsia="Malgun Gothic"/>
          <w:lang w:eastAsia="ko-KR"/>
        </w:rPr>
      </w:pPr>
      <w:r w:rsidRPr="009318E4">
        <w:rPr>
          <w:rFonts w:eastAsia="Malgun Gothic"/>
          <w:lang w:eastAsia="ko-KR"/>
        </w:rPr>
        <w:t>R</w:t>
      </w:r>
      <w:r w:rsidR="00423544" w:rsidRPr="009318E4">
        <w:rPr>
          <w:rFonts w:eastAsia="Malgun Gothic"/>
          <w:lang w:eastAsia="ko-KR"/>
        </w:rPr>
        <w:t>educe</w:t>
      </w:r>
      <w:r w:rsidR="00881FF1" w:rsidRPr="009318E4">
        <w:rPr>
          <w:rFonts w:eastAsia="Malgun Gothic"/>
          <w:lang w:eastAsia="ko-KR"/>
        </w:rPr>
        <w:t xml:space="preserve"> signaling overhead</w:t>
      </w:r>
      <w:r w:rsidR="00C86C8B" w:rsidRPr="009318E4">
        <w:rPr>
          <w:rFonts w:eastAsia="Malgun Gothic"/>
          <w:lang w:eastAsia="ko-KR"/>
        </w:rPr>
        <w:t xml:space="preserve"> compared to UE-specific L1 signaling</w:t>
      </w:r>
    </w:p>
    <w:p w14:paraId="7EF4C849" w14:textId="3BD826CF" w:rsidR="0061399A" w:rsidRPr="009318E4" w:rsidRDefault="00FF2DC2" w:rsidP="00392400">
      <w:pPr>
        <w:pStyle w:val="a3"/>
        <w:widowControl w:val="0"/>
        <w:numPr>
          <w:ilvl w:val="0"/>
          <w:numId w:val="46"/>
        </w:numPr>
        <w:suppressAutoHyphens/>
        <w:autoSpaceDE/>
        <w:autoSpaceDN/>
        <w:adjustRightInd/>
        <w:snapToGrid/>
        <w:spacing w:line="254" w:lineRule="auto"/>
        <w:ind w:left="714" w:hanging="357"/>
        <w:rPr>
          <w:rFonts w:eastAsia="Malgun Gothic"/>
          <w:lang w:eastAsia="ko-KR"/>
        </w:rPr>
      </w:pPr>
      <w:r w:rsidRPr="009318E4">
        <w:rPr>
          <w:rFonts w:eastAsia="Malgun Gothic"/>
          <w:lang w:eastAsia="ko-KR"/>
        </w:rPr>
        <w:t>A</w:t>
      </w:r>
      <w:r w:rsidR="00706FC5" w:rsidRPr="009318E4">
        <w:rPr>
          <w:rFonts w:eastAsia="Malgun Gothic"/>
          <w:lang w:eastAsia="ko-KR"/>
        </w:rPr>
        <w:t>ccommodate different traffic loads of different serving cells</w:t>
      </w:r>
    </w:p>
    <w:p w14:paraId="0BF05919" w14:textId="392B1D4E" w:rsidR="00D639C1" w:rsidRPr="009318E4" w:rsidRDefault="009B6EC0" w:rsidP="00106E64">
      <w:pPr>
        <w:tabs>
          <w:tab w:val="left" w:pos="720"/>
        </w:tabs>
        <w:rPr>
          <w:sz w:val="20"/>
          <w:szCs w:val="20"/>
        </w:rPr>
      </w:pPr>
      <w:r w:rsidRPr="009318E4">
        <w:rPr>
          <w:sz w:val="20"/>
          <w:szCs w:val="20"/>
        </w:rPr>
        <w:t>The remaining issue of the last RAN1 meeting regarding the group-common DCI for cell DTX/DRX activation</w:t>
      </w:r>
      <w:r w:rsidR="006072F1" w:rsidRPr="009318E4">
        <w:rPr>
          <w:sz w:val="20"/>
          <w:szCs w:val="20"/>
        </w:rPr>
        <w:t>/</w:t>
      </w:r>
      <w:r w:rsidRPr="009318E4">
        <w:rPr>
          <w:sz w:val="20"/>
          <w:szCs w:val="20"/>
        </w:rPr>
        <w:t>deactivation</w:t>
      </w:r>
      <w:r w:rsidR="00FA740F" w:rsidRPr="009318E4">
        <w:rPr>
          <w:sz w:val="20"/>
          <w:szCs w:val="20"/>
        </w:rPr>
        <w:t xml:space="preserve"> is whether to enhance legacy DCI </w:t>
      </w:r>
      <w:r w:rsidR="00CB3075" w:rsidRPr="009318E4">
        <w:rPr>
          <w:sz w:val="20"/>
          <w:szCs w:val="20"/>
        </w:rPr>
        <w:t xml:space="preserve">format 2_6 </w:t>
      </w:r>
      <w:r w:rsidR="00FA740F" w:rsidRPr="009318E4">
        <w:rPr>
          <w:sz w:val="20"/>
          <w:szCs w:val="20"/>
        </w:rPr>
        <w:t>or introducing new DCI</w:t>
      </w:r>
      <w:r w:rsidR="00CB3075" w:rsidRPr="009318E4">
        <w:rPr>
          <w:sz w:val="20"/>
          <w:szCs w:val="20"/>
        </w:rPr>
        <w:t xml:space="preserve"> format 2_X</w:t>
      </w:r>
      <w:r w:rsidR="00AB3CCC" w:rsidRPr="009318E4">
        <w:rPr>
          <w:sz w:val="20"/>
          <w:szCs w:val="20"/>
        </w:rPr>
        <w:t>.</w:t>
      </w:r>
    </w:p>
    <w:p w14:paraId="63047A8C" w14:textId="286CC341" w:rsidR="009934B7" w:rsidRPr="009318E4" w:rsidRDefault="00FF62FB" w:rsidP="009934B7">
      <w:pPr>
        <w:tabs>
          <w:tab w:val="left" w:pos="720"/>
        </w:tabs>
        <w:spacing w:after="0"/>
        <w:rPr>
          <w:sz w:val="20"/>
          <w:szCs w:val="20"/>
        </w:rPr>
      </w:pPr>
      <w:r w:rsidRPr="009318E4">
        <w:rPr>
          <w:rFonts w:hint="eastAsia"/>
          <w:sz w:val="20"/>
          <w:szCs w:val="20"/>
        </w:rPr>
        <w:t>A</w:t>
      </w:r>
      <w:r w:rsidRPr="009318E4">
        <w:rPr>
          <w:sz w:val="20"/>
          <w:szCs w:val="20"/>
        </w:rPr>
        <w:t>lthough the legacy DCI format can minimize the specification impact</w:t>
      </w:r>
      <w:r w:rsidR="00BD79C5" w:rsidRPr="009318E4">
        <w:rPr>
          <w:sz w:val="20"/>
          <w:szCs w:val="20"/>
        </w:rPr>
        <w:t xml:space="preserve"> where existing signaling framework is available</w:t>
      </w:r>
      <w:r w:rsidR="00E60C9B" w:rsidRPr="009318E4">
        <w:rPr>
          <w:sz w:val="20"/>
          <w:szCs w:val="20"/>
        </w:rPr>
        <w:t xml:space="preserve">, </w:t>
      </w:r>
      <w:r w:rsidR="009934B7" w:rsidRPr="009318E4">
        <w:rPr>
          <w:sz w:val="20"/>
          <w:szCs w:val="20"/>
        </w:rPr>
        <w:t>there are the following drawbacks:</w:t>
      </w:r>
    </w:p>
    <w:p w14:paraId="138738C4" w14:textId="5B874D8E" w:rsidR="009934B7" w:rsidRPr="009318E4" w:rsidRDefault="00E470ED" w:rsidP="009934B7">
      <w:pPr>
        <w:pStyle w:val="a3"/>
        <w:widowControl w:val="0"/>
        <w:numPr>
          <w:ilvl w:val="0"/>
          <w:numId w:val="46"/>
        </w:numPr>
        <w:suppressAutoHyphens/>
        <w:autoSpaceDE/>
        <w:autoSpaceDN/>
        <w:adjustRightInd/>
        <w:snapToGrid/>
        <w:spacing w:after="0" w:line="254" w:lineRule="auto"/>
        <w:ind w:left="714" w:hanging="357"/>
        <w:rPr>
          <w:rFonts w:eastAsia="Malgun Gothic"/>
          <w:lang w:eastAsia="ko-KR"/>
        </w:rPr>
      </w:pPr>
      <w:r w:rsidRPr="009318E4">
        <w:rPr>
          <w:rFonts w:eastAsia="Malgun Gothic"/>
          <w:lang w:eastAsia="ko-KR"/>
        </w:rPr>
        <w:t>T</w:t>
      </w:r>
      <w:r w:rsidR="00E103FC" w:rsidRPr="009318E4">
        <w:rPr>
          <w:rFonts w:eastAsia="Malgun Gothic"/>
          <w:lang w:eastAsia="ko-KR"/>
        </w:rPr>
        <w:t>he payload size of current DCI format may need to be increased if new indication is added, which leads to increased DCI size budget</w:t>
      </w:r>
      <w:r w:rsidR="00DA1A87" w:rsidRPr="009318E4">
        <w:rPr>
          <w:rFonts w:eastAsia="Malgun Gothic"/>
          <w:lang w:eastAsia="ko-KR"/>
        </w:rPr>
        <w:t xml:space="preserve"> (for example DRX configuration frequency may not be the same as cell DTX/DRX operation frequency, in such cases there is more overhead)</w:t>
      </w:r>
      <w:r w:rsidR="00DD59FD" w:rsidRPr="009318E4">
        <w:rPr>
          <w:rFonts w:eastAsia="Malgun Gothic"/>
          <w:lang w:eastAsia="ko-KR"/>
        </w:rPr>
        <w:t>.</w:t>
      </w:r>
    </w:p>
    <w:p w14:paraId="6EC067B8" w14:textId="111E8955" w:rsidR="009934B7" w:rsidRPr="009318E4" w:rsidRDefault="009934B7" w:rsidP="009934B7">
      <w:pPr>
        <w:pStyle w:val="a3"/>
        <w:widowControl w:val="0"/>
        <w:numPr>
          <w:ilvl w:val="0"/>
          <w:numId w:val="46"/>
        </w:numPr>
        <w:suppressAutoHyphens/>
        <w:autoSpaceDE/>
        <w:autoSpaceDN/>
        <w:adjustRightInd/>
        <w:snapToGrid/>
        <w:spacing w:line="254" w:lineRule="auto"/>
        <w:ind w:left="714" w:hanging="357"/>
        <w:rPr>
          <w:rFonts w:eastAsia="Malgun Gothic"/>
          <w:lang w:eastAsia="ko-KR"/>
        </w:rPr>
      </w:pPr>
      <w:r w:rsidRPr="009318E4">
        <w:rPr>
          <w:rFonts w:eastAsia="Malgun Gothic"/>
          <w:lang w:eastAsia="ko-KR"/>
        </w:rPr>
        <w:t>Only able to monitor cell DTX/DRX outside the DRX active time</w:t>
      </w:r>
      <w:r w:rsidR="00DD59FD" w:rsidRPr="009318E4">
        <w:rPr>
          <w:rFonts w:eastAsia="Malgun Gothic"/>
          <w:lang w:eastAsia="ko-KR"/>
        </w:rPr>
        <w:t>.</w:t>
      </w:r>
    </w:p>
    <w:p w14:paraId="173F23F9" w14:textId="3DDE4844" w:rsidR="00D639C1" w:rsidRPr="009318E4" w:rsidRDefault="00207F1C" w:rsidP="00106E64">
      <w:pPr>
        <w:tabs>
          <w:tab w:val="left" w:pos="720"/>
        </w:tabs>
        <w:rPr>
          <w:sz w:val="20"/>
          <w:szCs w:val="20"/>
        </w:rPr>
      </w:pPr>
      <w:r w:rsidRPr="009318E4">
        <w:rPr>
          <w:sz w:val="20"/>
          <w:szCs w:val="20"/>
        </w:rPr>
        <w:t xml:space="preserve">Introducing a new DCI format configured with a new RNTI in a new search space </w:t>
      </w:r>
      <w:r w:rsidR="00C20800" w:rsidRPr="009318E4">
        <w:rPr>
          <w:sz w:val="20"/>
          <w:szCs w:val="20"/>
        </w:rPr>
        <w:t>avoids the compatibility issue with legacy DCI formats</w:t>
      </w:r>
      <w:r w:rsidR="00247C1E" w:rsidRPr="009318E4">
        <w:rPr>
          <w:sz w:val="20"/>
          <w:szCs w:val="20"/>
        </w:rPr>
        <w:t xml:space="preserve">, and can be </w:t>
      </w:r>
      <w:r w:rsidR="00BA1E42" w:rsidRPr="009318E4">
        <w:rPr>
          <w:sz w:val="20"/>
          <w:szCs w:val="20"/>
        </w:rPr>
        <w:t xml:space="preserve">readily </w:t>
      </w:r>
      <w:r w:rsidR="00247C1E" w:rsidRPr="009318E4">
        <w:rPr>
          <w:sz w:val="20"/>
          <w:szCs w:val="20"/>
        </w:rPr>
        <w:t xml:space="preserve">extended to multiple </w:t>
      </w:r>
      <w:r w:rsidR="00692D3D" w:rsidRPr="009318E4">
        <w:rPr>
          <w:sz w:val="20"/>
          <w:szCs w:val="20"/>
        </w:rPr>
        <w:t>c</w:t>
      </w:r>
      <w:r w:rsidR="00247C1E" w:rsidRPr="009318E4">
        <w:rPr>
          <w:sz w:val="20"/>
          <w:szCs w:val="20"/>
        </w:rPr>
        <w:t>ell DTX/DRX patterns</w:t>
      </w:r>
      <w:r w:rsidR="00C20800" w:rsidRPr="009318E4">
        <w:rPr>
          <w:sz w:val="20"/>
          <w:szCs w:val="20"/>
        </w:rPr>
        <w:t xml:space="preserve">. </w:t>
      </w:r>
    </w:p>
    <w:p w14:paraId="27A9E48E" w14:textId="55C81BE7" w:rsidR="00264104" w:rsidRPr="009318E4" w:rsidRDefault="00264104" w:rsidP="004F3472">
      <w:pPr>
        <w:tabs>
          <w:tab w:val="left" w:pos="720"/>
        </w:tabs>
        <w:rPr>
          <w:sz w:val="20"/>
          <w:szCs w:val="20"/>
        </w:rPr>
      </w:pPr>
      <w:r w:rsidRPr="009318E4">
        <w:rPr>
          <w:sz w:val="20"/>
          <w:szCs w:val="20"/>
        </w:rPr>
        <w:t>Based on the above analysis, we propose the following:</w:t>
      </w:r>
    </w:p>
    <w:p w14:paraId="5A884CD5" w14:textId="77777777" w:rsidR="00032291" w:rsidRDefault="00264104" w:rsidP="007576E6">
      <w:pPr>
        <w:spacing w:after="0"/>
        <w:rPr>
          <w:b/>
          <w:bCs/>
          <w:i/>
          <w:iCs/>
          <w:sz w:val="20"/>
          <w:szCs w:val="20"/>
          <w:lang w:eastAsia="x-none"/>
        </w:rPr>
      </w:pPr>
      <w:r w:rsidRPr="009318E4">
        <w:rPr>
          <w:b/>
          <w:bCs/>
          <w:i/>
          <w:iCs/>
          <w:sz w:val="20"/>
          <w:szCs w:val="20"/>
          <w:lang w:eastAsia="x-none"/>
        </w:rPr>
        <w:t xml:space="preserve">Proposal </w:t>
      </w:r>
      <w:r w:rsidR="009F1604" w:rsidRPr="009318E4">
        <w:rPr>
          <w:b/>
          <w:bCs/>
          <w:i/>
          <w:iCs/>
          <w:sz w:val="20"/>
          <w:szCs w:val="20"/>
          <w:lang w:eastAsia="x-none"/>
        </w:rPr>
        <w:t>1</w:t>
      </w:r>
      <w:r w:rsidRPr="009318E4">
        <w:rPr>
          <w:b/>
          <w:bCs/>
          <w:i/>
          <w:iCs/>
          <w:sz w:val="20"/>
          <w:szCs w:val="20"/>
          <w:lang w:eastAsia="x-none"/>
        </w:rPr>
        <w:t xml:space="preserve">: </w:t>
      </w:r>
      <w:r w:rsidR="00A015E2" w:rsidRPr="009318E4">
        <w:rPr>
          <w:b/>
          <w:bCs/>
          <w:i/>
          <w:iCs/>
          <w:sz w:val="20"/>
          <w:szCs w:val="20"/>
          <w:lang w:eastAsia="x-none"/>
        </w:rPr>
        <w:t xml:space="preserve">For DCI format for group common L1 signaling using PDCCH for cell DTX/DRX activation and deactivation, support </w:t>
      </w:r>
    </w:p>
    <w:p w14:paraId="3B570369" w14:textId="1618094F" w:rsidR="007A0712" w:rsidRPr="007576E6" w:rsidRDefault="00A015E2" w:rsidP="00032291">
      <w:pPr>
        <w:pStyle w:val="a3"/>
        <w:widowControl w:val="0"/>
        <w:numPr>
          <w:ilvl w:val="0"/>
          <w:numId w:val="46"/>
        </w:numPr>
        <w:suppressAutoHyphens/>
        <w:autoSpaceDE/>
        <w:autoSpaceDN/>
        <w:adjustRightInd/>
        <w:snapToGrid/>
        <w:spacing w:after="0" w:line="254" w:lineRule="auto"/>
        <w:rPr>
          <w:b/>
          <w:bCs/>
          <w:i/>
          <w:iCs/>
          <w:lang w:eastAsia="x-none"/>
        </w:rPr>
      </w:pPr>
      <w:r w:rsidRPr="007576E6">
        <w:rPr>
          <w:b/>
          <w:bCs/>
          <w:i/>
          <w:iCs/>
          <w:lang w:eastAsia="x-none"/>
        </w:rPr>
        <w:t>Alt 2) Based on new DCI format 2_X</w:t>
      </w:r>
    </w:p>
    <w:p w14:paraId="18B94AA5" w14:textId="0E4EAC96" w:rsidR="00157FC3" w:rsidRPr="0094485F" w:rsidRDefault="00747F48" w:rsidP="001618CA">
      <w:pPr>
        <w:pStyle w:val="1"/>
        <w:ind w:left="431" w:hanging="431"/>
        <w:rPr>
          <w:rFonts w:ascii="Times New Roman" w:hAnsi="Times New Roman"/>
        </w:rPr>
      </w:pPr>
      <w:r w:rsidRPr="0094485F">
        <w:rPr>
          <w:rFonts w:ascii="Times New Roman" w:hAnsi="Times New Roman"/>
        </w:rPr>
        <w:lastRenderedPageBreak/>
        <w:t>Conclusion</w:t>
      </w:r>
      <w:r w:rsidR="006B1FD5" w:rsidRPr="0094485F">
        <w:rPr>
          <w:rFonts w:ascii="Times New Roman" w:hAnsi="Times New Roman"/>
        </w:rPr>
        <w:t>s</w:t>
      </w:r>
    </w:p>
    <w:p w14:paraId="317C4076" w14:textId="4B663629" w:rsidR="0021120F" w:rsidRPr="00D40C4C" w:rsidRDefault="00B94B12" w:rsidP="00E200FB">
      <w:pPr>
        <w:rPr>
          <w:sz w:val="20"/>
          <w:szCs w:val="20"/>
          <w:lang w:eastAsia="zh-CN"/>
        </w:rPr>
      </w:pPr>
      <w:r w:rsidRPr="00D40C4C">
        <w:rPr>
          <w:sz w:val="20"/>
          <w:szCs w:val="20"/>
        </w:rPr>
        <w:t xml:space="preserve">In this contribution, we present our views on </w:t>
      </w:r>
      <w:r w:rsidR="009A4D51" w:rsidRPr="00D40C4C">
        <w:rPr>
          <w:sz w:val="20"/>
          <w:szCs w:val="20"/>
        </w:rPr>
        <w:t>enhancements on cell DTX/DRX mechanism</w:t>
      </w:r>
      <w:r w:rsidRPr="00D40C4C">
        <w:rPr>
          <w:sz w:val="20"/>
          <w:szCs w:val="20"/>
        </w:rPr>
        <w:t xml:space="preserve">. </w:t>
      </w:r>
      <w:r w:rsidR="002D7E51" w:rsidRPr="00D40C4C">
        <w:rPr>
          <w:sz w:val="20"/>
          <w:szCs w:val="20"/>
        </w:rPr>
        <w:t xml:space="preserve"> Based on the discussions in the previous section</w:t>
      </w:r>
      <w:r w:rsidR="00335D7E" w:rsidRPr="00D40C4C">
        <w:rPr>
          <w:sz w:val="20"/>
          <w:szCs w:val="20"/>
        </w:rPr>
        <w:t xml:space="preserve"> </w:t>
      </w:r>
      <w:r w:rsidR="002D7E51" w:rsidRPr="00D40C4C">
        <w:rPr>
          <w:sz w:val="20"/>
          <w:szCs w:val="20"/>
        </w:rPr>
        <w:t>we propose the following:</w:t>
      </w:r>
      <w:r w:rsidR="001466E4" w:rsidRPr="00D40C4C">
        <w:rPr>
          <w:sz w:val="20"/>
          <w:szCs w:val="20"/>
          <w:lang w:eastAsia="zh-CN"/>
        </w:rPr>
        <w:t xml:space="preserve"> </w:t>
      </w:r>
    </w:p>
    <w:p w14:paraId="6B3D8E16" w14:textId="77777777" w:rsidR="009F2167" w:rsidRPr="00D40C4C" w:rsidRDefault="009F2167" w:rsidP="009F2167">
      <w:pPr>
        <w:spacing w:after="0"/>
        <w:rPr>
          <w:b/>
          <w:bCs/>
          <w:i/>
          <w:iCs/>
          <w:sz w:val="20"/>
          <w:szCs w:val="20"/>
          <w:lang w:eastAsia="x-none"/>
        </w:rPr>
      </w:pPr>
      <w:bookmarkStart w:id="6" w:name="_Ref124589665"/>
      <w:bookmarkStart w:id="7" w:name="_Ref71620620"/>
      <w:bookmarkStart w:id="8" w:name="_Ref124671424"/>
      <w:r w:rsidRPr="00D40C4C">
        <w:rPr>
          <w:b/>
          <w:bCs/>
          <w:i/>
          <w:iCs/>
          <w:sz w:val="20"/>
          <w:szCs w:val="20"/>
          <w:lang w:eastAsia="x-none"/>
        </w:rPr>
        <w:t xml:space="preserve">Proposal 1: For DCI format for group common L1 signaling using PDCCH for cell DTX/DRX activation and deactivation, support </w:t>
      </w:r>
    </w:p>
    <w:p w14:paraId="3380D575" w14:textId="77777777" w:rsidR="009F2167" w:rsidRPr="00D40C4C" w:rsidRDefault="009F2167" w:rsidP="009F2167">
      <w:pPr>
        <w:pStyle w:val="a3"/>
        <w:widowControl w:val="0"/>
        <w:numPr>
          <w:ilvl w:val="0"/>
          <w:numId w:val="46"/>
        </w:numPr>
        <w:suppressAutoHyphens/>
        <w:autoSpaceDE/>
        <w:autoSpaceDN/>
        <w:adjustRightInd/>
        <w:snapToGrid/>
        <w:spacing w:after="0" w:line="254" w:lineRule="auto"/>
        <w:rPr>
          <w:b/>
          <w:bCs/>
          <w:i/>
          <w:iCs/>
          <w:lang w:eastAsia="x-none"/>
        </w:rPr>
      </w:pPr>
      <w:r w:rsidRPr="00D40C4C">
        <w:rPr>
          <w:b/>
          <w:bCs/>
          <w:i/>
          <w:iCs/>
          <w:lang w:eastAsia="x-none"/>
        </w:rPr>
        <w:t>Alt 2) Based on new DCI format 2_X</w:t>
      </w:r>
    </w:p>
    <w:p w14:paraId="410E44E3" w14:textId="77777777" w:rsidR="001D780E" w:rsidRPr="005A49E8" w:rsidRDefault="001D780E" w:rsidP="001618CA">
      <w:pPr>
        <w:pStyle w:val="1"/>
        <w:numPr>
          <w:ilvl w:val="0"/>
          <w:numId w:val="0"/>
        </w:numPr>
        <w:ind w:left="431" w:hanging="431"/>
        <w:rPr>
          <w:rFonts w:ascii="Times New Roman" w:hAnsi="Times New Roman"/>
        </w:rPr>
      </w:pPr>
      <w:r w:rsidRPr="005A49E8">
        <w:rPr>
          <w:rFonts w:ascii="Times New Roman" w:hAnsi="Times New Roman"/>
        </w:rPr>
        <w:t>References</w:t>
      </w:r>
    </w:p>
    <w:p w14:paraId="09412FE7" w14:textId="12D49367" w:rsidR="00576D4E" w:rsidRPr="00EA6762" w:rsidRDefault="00576D4E" w:rsidP="00576D4E">
      <w:pPr>
        <w:pStyle w:val="References"/>
        <w:rPr>
          <w:szCs w:val="20"/>
        </w:rPr>
      </w:pPr>
      <w:bookmarkStart w:id="9" w:name="_Ref45631853"/>
      <w:bookmarkStart w:id="10" w:name="_Ref6583376"/>
      <w:bookmarkStart w:id="11" w:name="_Ref167612875"/>
      <w:bookmarkStart w:id="12" w:name="_Ref167612671"/>
      <w:bookmarkEnd w:id="3"/>
      <w:bookmarkEnd w:id="6"/>
      <w:bookmarkEnd w:id="7"/>
      <w:bookmarkEnd w:id="8"/>
      <w:r w:rsidRPr="00EA6762">
        <w:rPr>
          <w:szCs w:val="20"/>
        </w:rPr>
        <w:t xml:space="preserve">RP-230566, “WID revision: </w:t>
      </w:r>
      <w:r w:rsidRPr="00EA6762">
        <w:rPr>
          <w:rFonts w:hint="eastAsia"/>
          <w:szCs w:val="20"/>
        </w:rPr>
        <w:t>Network</w:t>
      </w:r>
      <w:r w:rsidRPr="00EA6762">
        <w:rPr>
          <w:szCs w:val="20"/>
        </w:rPr>
        <w:t xml:space="preserve"> energy savings for NR”, Huawei, RAN#9</w:t>
      </w:r>
      <w:bookmarkEnd w:id="9"/>
      <w:bookmarkEnd w:id="10"/>
      <w:bookmarkEnd w:id="11"/>
      <w:bookmarkEnd w:id="12"/>
      <w:r w:rsidRPr="00EA6762">
        <w:rPr>
          <w:szCs w:val="20"/>
        </w:rPr>
        <w:t>9</w:t>
      </w:r>
      <w:r w:rsidR="0005132E">
        <w:rPr>
          <w:szCs w:val="20"/>
        </w:rPr>
        <w:t>.</w:t>
      </w:r>
    </w:p>
    <w:p w14:paraId="33DC71EC" w14:textId="3837D308" w:rsidR="00B9733A" w:rsidRPr="00EA6762" w:rsidRDefault="00576D4E" w:rsidP="00E77736">
      <w:pPr>
        <w:pStyle w:val="References"/>
        <w:rPr>
          <w:szCs w:val="20"/>
        </w:rPr>
      </w:pPr>
      <w:r w:rsidRPr="00EA6762">
        <w:rPr>
          <w:szCs w:val="20"/>
        </w:rPr>
        <w:t>3GPP RAN1, RAN1#113, Chairman Notes.</w:t>
      </w:r>
    </w:p>
    <w:sectPr w:rsidR="00B9733A" w:rsidRPr="00EA67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D08B1" w14:textId="77777777" w:rsidR="008E0F01" w:rsidRDefault="008E0F01">
      <w:r>
        <w:separator/>
      </w:r>
    </w:p>
  </w:endnote>
  <w:endnote w:type="continuationSeparator" w:id="0">
    <w:p w14:paraId="5AC65993" w14:textId="77777777" w:rsidR="008E0F01" w:rsidRDefault="008E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0ECCC" w14:textId="77777777" w:rsidR="008E0F01" w:rsidRDefault="008E0F01">
      <w:r>
        <w:separator/>
      </w:r>
    </w:p>
  </w:footnote>
  <w:footnote w:type="continuationSeparator" w:id="0">
    <w:p w14:paraId="3875F2D9" w14:textId="77777777" w:rsidR="008E0F01" w:rsidRDefault="008E0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87F44EE"/>
    <w:multiLevelType w:val="hybridMultilevel"/>
    <w:tmpl w:val="39E6AC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783315D"/>
    <w:multiLevelType w:val="hybridMultilevel"/>
    <w:tmpl w:val="EF44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4509853">
    <w:abstractNumId w:val="15"/>
  </w:num>
  <w:num w:numId="2" w16cid:durableId="1161578491">
    <w:abstractNumId w:val="13"/>
  </w:num>
  <w:num w:numId="3" w16cid:durableId="1729063007">
    <w:abstractNumId w:val="34"/>
  </w:num>
  <w:num w:numId="4" w16cid:durableId="576552151">
    <w:abstractNumId w:val="39"/>
  </w:num>
  <w:num w:numId="5" w16cid:durableId="2014643735">
    <w:abstractNumId w:val="19"/>
  </w:num>
  <w:num w:numId="6" w16cid:durableId="193469541">
    <w:abstractNumId w:val="21"/>
  </w:num>
  <w:num w:numId="7" w16cid:durableId="1990091687">
    <w:abstractNumId w:val="0"/>
  </w:num>
  <w:num w:numId="8" w16cid:durableId="1962104087">
    <w:abstractNumId w:val="30"/>
  </w:num>
  <w:num w:numId="9" w16cid:durableId="476151025">
    <w:abstractNumId w:val="26"/>
  </w:num>
  <w:num w:numId="10" w16cid:durableId="1790659344">
    <w:abstractNumId w:val="5"/>
  </w:num>
  <w:num w:numId="11" w16cid:durableId="544607125">
    <w:abstractNumId w:val="25"/>
  </w:num>
  <w:num w:numId="12" w16cid:durableId="231501147">
    <w:abstractNumId w:val="6"/>
  </w:num>
  <w:num w:numId="13" w16cid:durableId="493568430">
    <w:abstractNumId w:val="3"/>
  </w:num>
  <w:num w:numId="14" w16cid:durableId="1899432727">
    <w:abstractNumId w:val="43"/>
  </w:num>
  <w:num w:numId="15" w16cid:durableId="723018905">
    <w:abstractNumId w:val="29"/>
  </w:num>
  <w:num w:numId="16" w16cid:durableId="462970823">
    <w:abstractNumId w:val="12"/>
  </w:num>
  <w:num w:numId="17" w16cid:durableId="742261033">
    <w:abstractNumId w:val="4"/>
  </w:num>
  <w:num w:numId="18" w16cid:durableId="1102603565">
    <w:abstractNumId w:val="42"/>
  </w:num>
  <w:num w:numId="19" w16cid:durableId="921258838">
    <w:abstractNumId w:val="1"/>
  </w:num>
  <w:num w:numId="20" w16cid:durableId="1663896125">
    <w:abstractNumId w:val="7"/>
  </w:num>
  <w:num w:numId="21" w16cid:durableId="83847615">
    <w:abstractNumId w:val="17"/>
  </w:num>
  <w:num w:numId="22" w16cid:durableId="433404669">
    <w:abstractNumId w:val="37"/>
  </w:num>
  <w:num w:numId="23" w16cid:durableId="1295137961">
    <w:abstractNumId w:val="38"/>
  </w:num>
  <w:num w:numId="24" w16cid:durableId="1533422413">
    <w:abstractNumId w:val="8"/>
  </w:num>
  <w:num w:numId="25" w16cid:durableId="1921863808">
    <w:abstractNumId w:val="35"/>
  </w:num>
  <w:num w:numId="26" w16cid:durableId="1284775059">
    <w:abstractNumId w:val="28"/>
  </w:num>
  <w:num w:numId="27" w16cid:durableId="1840657080">
    <w:abstractNumId w:val="14"/>
  </w:num>
  <w:num w:numId="28" w16cid:durableId="1384014935">
    <w:abstractNumId w:val="9"/>
  </w:num>
  <w:num w:numId="29" w16cid:durableId="576289536">
    <w:abstractNumId w:val="16"/>
  </w:num>
  <w:num w:numId="30" w16cid:durableId="1164316706">
    <w:abstractNumId w:val="20"/>
  </w:num>
  <w:num w:numId="31" w16cid:durableId="159540951">
    <w:abstractNumId w:val="2"/>
  </w:num>
  <w:num w:numId="32" w16cid:durableId="519856575">
    <w:abstractNumId w:val="32"/>
  </w:num>
  <w:num w:numId="33" w16cid:durableId="1058743659">
    <w:abstractNumId w:val="35"/>
  </w:num>
  <w:num w:numId="34" w16cid:durableId="2118061421">
    <w:abstractNumId w:val="40"/>
  </w:num>
  <w:num w:numId="35" w16cid:durableId="980888898">
    <w:abstractNumId w:val="24"/>
  </w:num>
  <w:num w:numId="36" w16cid:durableId="1745682949">
    <w:abstractNumId w:val="11"/>
  </w:num>
  <w:num w:numId="37" w16cid:durableId="1461531663">
    <w:abstractNumId w:val="31"/>
  </w:num>
  <w:num w:numId="38" w16cid:durableId="30540544">
    <w:abstractNumId w:val="36"/>
  </w:num>
  <w:num w:numId="39" w16cid:durableId="80874494">
    <w:abstractNumId w:val="18"/>
  </w:num>
  <w:num w:numId="40" w16cid:durableId="2109736212">
    <w:abstractNumId w:val="44"/>
  </w:num>
  <w:num w:numId="41" w16cid:durableId="1596547510">
    <w:abstractNumId w:val="23"/>
  </w:num>
  <w:num w:numId="42" w16cid:durableId="154685090">
    <w:abstractNumId w:val="27"/>
  </w:num>
  <w:num w:numId="43" w16cid:durableId="1592542">
    <w:abstractNumId w:val="41"/>
  </w:num>
  <w:num w:numId="44" w16cid:durableId="1166941963">
    <w:abstractNumId w:val="45"/>
  </w:num>
  <w:num w:numId="45" w16cid:durableId="1818574981">
    <w:abstractNumId w:val="33"/>
  </w:num>
  <w:num w:numId="46" w16cid:durableId="773787032">
    <w:abstractNumId w:val="46"/>
  </w:num>
  <w:num w:numId="47" w16cid:durableId="972178850">
    <w:abstractNumId w:val="10"/>
  </w:num>
  <w:num w:numId="48" w16cid:durableId="16042208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628"/>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419"/>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291"/>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089D"/>
    <w:rsid w:val="00041C10"/>
    <w:rsid w:val="00041C39"/>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669"/>
    <w:rsid w:val="00047898"/>
    <w:rsid w:val="00047D21"/>
    <w:rsid w:val="00047D47"/>
    <w:rsid w:val="00047E60"/>
    <w:rsid w:val="00050439"/>
    <w:rsid w:val="00050D8A"/>
    <w:rsid w:val="000512E3"/>
    <w:rsid w:val="0005132E"/>
    <w:rsid w:val="00051D59"/>
    <w:rsid w:val="00052144"/>
    <w:rsid w:val="00052AD2"/>
    <w:rsid w:val="00052CF8"/>
    <w:rsid w:val="00052FEE"/>
    <w:rsid w:val="000530DF"/>
    <w:rsid w:val="00053C52"/>
    <w:rsid w:val="00054237"/>
    <w:rsid w:val="000543DD"/>
    <w:rsid w:val="00054B63"/>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CA8"/>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0342"/>
    <w:rsid w:val="00081F3E"/>
    <w:rsid w:val="000823B0"/>
    <w:rsid w:val="0008335B"/>
    <w:rsid w:val="00083379"/>
    <w:rsid w:val="00083587"/>
    <w:rsid w:val="00083838"/>
    <w:rsid w:val="00083B6A"/>
    <w:rsid w:val="00084274"/>
    <w:rsid w:val="000842D5"/>
    <w:rsid w:val="0008568D"/>
    <w:rsid w:val="00085E04"/>
    <w:rsid w:val="00086800"/>
    <w:rsid w:val="00086AA0"/>
    <w:rsid w:val="000871B9"/>
    <w:rsid w:val="00087913"/>
    <w:rsid w:val="000902DC"/>
    <w:rsid w:val="00090946"/>
    <w:rsid w:val="000911AE"/>
    <w:rsid w:val="00091422"/>
    <w:rsid w:val="00092105"/>
    <w:rsid w:val="00092DF7"/>
    <w:rsid w:val="00093163"/>
    <w:rsid w:val="00093697"/>
    <w:rsid w:val="00093784"/>
    <w:rsid w:val="00093AC2"/>
    <w:rsid w:val="00093D42"/>
    <w:rsid w:val="00093DD0"/>
    <w:rsid w:val="000942B1"/>
    <w:rsid w:val="000945A7"/>
    <w:rsid w:val="000947A1"/>
    <w:rsid w:val="00094A16"/>
    <w:rsid w:val="00094DE6"/>
    <w:rsid w:val="000952EF"/>
    <w:rsid w:val="00095694"/>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78F"/>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2FC"/>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505"/>
    <w:rsid w:val="000F0882"/>
    <w:rsid w:val="000F12B4"/>
    <w:rsid w:val="000F157E"/>
    <w:rsid w:val="000F15BC"/>
    <w:rsid w:val="000F1678"/>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2AF"/>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1A4"/>
    <w:rsid w:val="00106A5E"/>
    <w:rsid w:val="00106E64"/>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70D"/>
    <w:rsid w:val="001169EC"/>
    <w:rsid w:val="00116B44"/>
    <w:rsid w:val="00117141"/>
    <w:rsid w:val="0011739A"/>
    <w:rsid w:val="00117650"/>
    <w:rsid w:val="00117678"/>
    <w:rsid w:val="001179BC"/>
    <w:rsid w:val="00117C85"/>
    <w:rsid w:val="00117EB0"/>
    <w:rsid w:val="00120183"/>
    <w:rsid w:val="001203A0"/>
    <w:rsid w:val="00120B13"/>
    <w:rsid w:val="00120D43"/>
    <w:rsid w:val="00121499"/>
    <w:rsid w:val="00121CEA"/>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58"/>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2C5"/>
    <w:rsid w:val="00155501"/>
    <w:rsid w:val="001559FA"/>
    <w:rsid w:val="00155CC0"/>
    <w:rsid w:val="001561EC"/>
    <w:rsid w:val="00156374"/>
    <w:rsid w:val="001572C1"/>
    <w:rsid w:val="001577D8"/>
    <w:rsid w:val="00157FC3"/>
    <w:rsid w:val="00160739"/>
    <w:rsid w:val="00160CAD"/>
    <w:rsid w:val="001616C8"/>
    <w:rsid w:val="001618CA"/>
    <w:rsid w:val="00161FE4"/>
    <w:rsid w:val="0016271E"/>
    <w:rsid w:val="00162D7A"/>
    <w:rsid w:val="001633C3"/>
    <w:rsid w:val="00163BE4"/>
    <w:rsid w:val="00164007"/>
    <w:rsid w:val="0016408A"/>
    <w:rsid w:val="0016411F"/>
    <w:rsid w:val="00164742"/>
    <w:rsid w:val="00164A21"/>
    <w:rsid w:val="00164CE4"/>
    <w:rsid w:val="00164DAB"/>
    <w:rsid w:val="0016536A"/>
    <w:rsid w:val="0016541D"/>
    <w:rsid w:val="00165BBB"/>
    <w:rsid w:val="00165C72"/>
    <w:rsid w:val="00165F64"/>
    <w:rsid w:val="00165FEB"/>
    <w:rsid w:val="0016613F"/>
    <w:rsid w:val="00166215"/>
    <w:rsid w:val="00166487"/>
    <w:rsid w:val="00166591"/>
    <w:rsid w:val="001666C4"/>
    <w:rsid w:val="0016677A"/>
    <w:rsid w:val="00167A37"/>
    <w:rsid w:val="00167C3C"/>
    <w:rsid w:val="001701C9"/>
    <w:rsid w:val="0017060E"/>
    <w:rsid w:val="001708DF"/>
    <w:rsid w:val="00170E24"/>
    <w:rsid w:val="00170F94"/>
    <w:rsid w:val="00171143"/>
    <w:rsid w:val="0017232B"/>
    <w:rsid w:val="00172864"/>
    <w:rsid w:val="00172B82"/>
    <w:rsid w:val="00172BE4"/>
    <w:rsid w:val="00172EFA"/>
    <w:rsid w:val="00173154"/>
    <w:rsid w:val="00173608"/>
    <w:rsid w:val="00173707"/>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C99"/>
    <w:rsid w:val="00183EE6"/>
    <w:rsid w:val="0018443C"/>
    <w:rsid w:val="001844E5"/>
    <w:rsid w:val="00184ABD"/>
    <w:rsid w:val="00184DB0"/>
    <w:rsid w:val="00184E75"/>
    <w:rsid w:val="0018528A"/>
    <w:rsid w:val="0018588A"/>
    <w:rsid w:val="00185B1D"/>
    <w:rsid w:val="00185D4F"/>
    <w:rsid w:val="00186BE6"/>
    <w:rsid w:val="00187252"/>
    <w:rsid w:val="0019137B"/>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22D"/>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11F"/>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3F40"/>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982"/>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6E1"/>
    <w:rsid w:val="00205A0F"/>
    <w:rsid w:val="00206052"/>
    <w:rsid w:val="00207118"/>
    <w:rsid w:val="00207F1C"/>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C1E"/>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4A7"/>
    <w:rsid w:val="00287552"/>
    <w:rsid w:val="002879CB"/>
    <w:rsid w:val="00290647"/>
    <w:rsid w:val="002908E7"/>
    <w:rsid w:val="00291096"/>
    <w:rsid w:val="00291385"/>
    <w:rsid w:val="00291422"/>
    <w:rsid w:val="00291DC6"/>
    <w:rsid w:val="0029237F"/>
    <w:rsid w:val="00292715"/>
    <w:rsid w:val="00292B2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89"/>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6F11"/>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38A"/>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54"/>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390"/>
    <w:rsid w:val="00332E41"/>
    <w:rsid w:val="0033318B"/>
    <w:rsid w:val="003336B3"/>
    <w:rsid w:val="003343EC"/>
    <w:rsid w:val="00335392"/>
    <w:rsid w:val="00335B75"/>
    <w:rsid w:val="00335D7E"/>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B8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EBE"/>
    <w:rsid w:val="00353F59"/>
    <w:rsid w:val="003544BD"/>
    <w:rsid w:val="0035463B"/>
    <w:rsid w:val="003548D8"/>
    <w:rsid w:val="003554CA"/>
    <w:rsid w:val="00355918"/>
    <w:rsid w:val="00355F93"/>
    <w:rsid w:val="003569EF"/>
    <w:rsid w:val="0035767D"/>
    <w:rsid w:val="00360232"/>
    <w:rsid w:val="003602E0"/>
    <w:rsid w:val="00360D01"/>
    <w:rsid w:val="003616EC"/>
    <w:rsid w:val="0036196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3A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400"/>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9E8"/>
    <w:rsid w:val="003E6AC5"/>
    <w:rsid w:val="003E6BB8"/>
    <w:rsid w:val="003E6D0E"/>
    <w:rsid w:val="003E76BC"/>
    <w:rsid w:val="003F0096"/>
    <w:rsid w:val="003F00C3"/>
    <w:rsid w:val="003F0184"/>
    <w:rsid w:val="003F0381"/>
    <w:rsid w:val="003F0850"/>
    <w:rsid w:val="003F0D12"/>
    <w:rsid w:val="003F12C3"/>
    <w:rsid w:val="003F12D4"/>
    <w:rsid w:val="003F1482"/>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6C5"/>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544"/>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656"/>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408"/>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1EF"/>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18C1"/>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96F"/>
    <w:rsid w:val="00475CE0"/>
    <w:rsid w:val="00475D66"/>
    <w:rsid w:val="00476827"/>
    <w:rsid w:val="00476B36"/>
    <w:rsid w:val="00476BC1"/>
    <w:rsid w:val="00476BD4"/>
    <w:rsid w:val="00477383"/>
    <w:rsid w:val="00477AFD"/>
    <w:rsid w:val="00477C22"/>
    <w:rsid w:val="00477C35"/>
    <w:rsid w:val="00477E4E"/>
    <w:rsid w:val="00477FB9"/>
    <w:rsid w:val="004804DA"/>
    <w:rsid w:val="004805C1"/>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1C6"/>
    <w:rsid w:val="004936B3"/>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396"/>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6B3D"/>
    <w:rsid w:val="004A7092"/>
    <w:rsid w:val="004A7437"/>
    <w:rsid w:val="004A74BE"/>
    <w:rsid w:val="004A77CD"/>
    <w:rsid w:val="004B0A85"/>
    <w:rsid w:val="004B0B1D"/>
    <w:rsid w:val="004B1C92"/>
    <w:rsid w:val="004B2A5E"/>
    <w:rsid w:val="004B44D6"/>
    <w:rsid w:val="004B49E6"/>
    <w:rsid w:val="004B4B73"/>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6DA"/>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3472"/>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0F"/>
    <w:rsid w:val="00511F15"/>
    <w:rsid w:val="005127A9"/>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4FC"/>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53"/>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29D"/>
    <w:rsid w:val="00563432"/>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4E"/>
    <w:rsid w:val="00576D6C"/>
    <w:rsid w:val="0057790E"/>
    <w:rsid w:val="00577A2E"/>
    <w:rsid w:val="00580145"/>
    <w:rsid w:val="0058056E"/>
    <w:rsid w:val="00580C26"/>
    <w:rsid w:val="00580E48"/>
    <w:rsid w:val="00580F0A"/>
    <w:rsid w:val="00581246"/>
    <w:rsid w:val="00581692"/>
    <w:rsid w:val="00581A4B"/>
    <w:rsid w:val="005821F9"/>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8FF"/>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49E8"/>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55D2"/>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DF2"/>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2AE"/>
    <w:rsid w:val="006016E5"/>
    <w:rsid w:val="00601839"/>
    <w:rsid w:val="0060256D"/>
    <w:rsid w:val="00602759"/>
    <w:rsid w:val="0060277A"/>
    <w:rsid w:val="00602B7C"/>
    <w:rsid w:val="00603312"/>
    <w:rsid w:val="00603BA1"/>
    <w:rsid w:val="00603CFA"/>
    <w:rsid w:val="006046BF"/>
    <w:rsid w:val="00604DC7"/>
    <w:rsid w:val="00604E47"/>
    <w:rsid w:val="00605441"/>
    <w:rsid w:val="006068A8"/>
    <w:rsid w:val="00606970"/>
    <w:rsid w:val="00606A20"/>
    <w:rsid w:val="00607042"/>
    <w:rsid w:val="006072C6"/>
    <w:rsid w:val="006072F1"/>
    <w:rsid w:val="00607A2E"/>
    <w:rsid w:val="00607C34"/>
    <w:rsid w:val="00607D8D"/>
    <w:rsid w:val="00610238"/>
    <w:rsid w:val="006106D4"/>
    <w:rsid w:val="0061091B"/>
    <w:rsid w:val="006109F9"/>
    <w:rsid w:val="00610AC4"/>
    <w:rsid w:val="00612AEB"/>
    <w:rsid w:val="00612E66"/>
    <w:rsid w:val="006130F7"/>
    <w:rsid w:val="0061315A"/>
    <w:rsid w:val="006135D4"/>
    <w:rsid w:val="0061399A"/>
    <w:rsid w:val="00613AF8"/>
    <w:rsid w:val="00613D8E"/>
    <w:rsid w:val="0061404A"/>
    <w:rsid w:val="006142E0"/>
    <w:rsid w:val="0061444B"/>
    <w:rsid w:val="00614607"/>
    <w:rsid w:val="00614626"/>
    <w:rsid w:val="00614AD6"/>
    <w:rsid w:val="00614DFF"/>
    <w:rsid w:val="00614FEE"/>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15C"/>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6CE"/>
    <w:rsid w:val="00632744"/>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3D0"/>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4E55"/>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2D3D"/>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6F7"/>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64B"/>
    <w:rsid w:val="006D381C"/>
    <w:rsid w:val="006D3A5D"/>
    <w:rsid w:val="006D3BE1"/>
    <w:rsid w:val="006D452F"/>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C31"/>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1FB"/>
    <w:rsid w:val="007015D6"/>
    <w:rsid w:val="007019F0"/>
    <w:rsid w:val="007025CB"/>
    <w:rsid w:val="00702CC5"/>
    <w:rsid w:val="00702D13"/>
    <w:rsid w:val="007034AA"/>
    <w:rsid w:val="007035B8"/>
    <w:rsid w:val="007038CC"/>
    <w:rsid w:val="00703C5D"/>
    <w:rsid w:val="00703C9D"/>
    <w:rsid w:val="00703CD7"/>
    <w:rsid w:val="0070455F"/>
    <w:rsid w:val="0070490C"/>
    <w:rsid w:val="007051B0"/>
    <w:rsid w:val="007054F5"/>
    <w:rsid w:val="00705C38"/>
    <w:rsid w:val="007060B1"/>
    <w:rsid w:val="00706246"/>
    <w:rsid w:val="00706465"/>
    <w:rsid w:val="0070695A"/>
    <w:rsid w:val="00706FC5"/>
    <w:rsid w:val="007071F3"/>
    <w:rsid w:val="007072EB"/>
    <w:rsid w:val="0070782D"/>
    <w:rsid w:val="00707853"/>
    <w:rsid w:val="00707D16"/>
    <w:rsid w:val="00707D56"/>
    <w:rsid w:val="007101F5"/>
    <w:rsid w:val="007109C2"/>
    <w:rsid w:val="00710B13"/>
    <w:rsid w:val="00710B40"/>
    <w:rsid w:val="00710B49"/>
    <w:rsid w:val="00711250"/>
    <w:rsid w:val="00711340"/>
    <w:rsid w:val="00712914"/>
    <w:rsid w:val="00712C42"/>
    <w:rsid w:val="00712F4D"/>
    <w:rsid w:val="0071312C"/>
    <w:rsid w:val="0071323E"/>
    <w:rsid w:val="007136E0"/>
    <w:rsid w:val="007138A1"/>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156"/>
    <w:rsid w:val="00721262"/>
    <w:rsid w:val="00721D9B"/>
    <w:rsid w:val="00721E63"/>
    <w:rsid w:val="00721F11"/>
    <w:rsid w:val="00722121"/>
    <w:rsid w:val="007224B9"/>
    <w:rsid w:val="007224EB"/>
    <w:rsid w:val="007226D1"/>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221"/>
    <w:rsid w:val="007314F0"/>
    <w:rsid w:val="00731E7C"/>
    <w:rsid w:val="007328D9"/>
    <w:rsid w:val="007329EF"/>
    <w:rsid w:val="0073327A"/>
    <w:rsid w:val="00733DB2"/>
    <w:rsid w:val="00734539"/>
    <w:rsid w:val="00734A76"/>
    <w:rsid w:val="00734ABA"/>
    <w:rsid w:val="00734EA0"/>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5E60"/>
    <w:rsid w:val="0075622F"/>
    <w:rsid w:val="007574FC"/>
    <w:rsid w:val="007576E6"/>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890"/>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0B4"/>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F51"/>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A72"/>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565"/>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6BDE"/>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4B7"/>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37D90"/>
    <w:rsid w:val="00840607"/>
    <w:rsid w:val="00840A16"/>
    <w:rsid w:val="00841529"/>
    <w:rsid w:val="00841CD2"/>
    <w:rsid w:val="00841F26"/>
    <w:rsid w:val="008420CD"/>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0E9"/>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5FAD"/>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1A7"/>
    <w:rsid w:val="00877631"/>
    <w:rsid w:val="00877B7F"/>
    <w:rsid w:val="00877F56"/>
    <w:rsid w:val="00877FE0"/>
    <w:rsid w:val="00880485"/>
    <w:rsid w:val="00880933"/>
    <w:rsid w:val="00880D53"/>
    <w:rsid w:val="00880F30"/>
    <w:rsid w:val="00881711"/>
    <w:rsid w:val="00881C05"/>
    <w:rsid w:val="00881FF1"/>
    <w:rsid w:val="00882238"/>
    <w:rsid w:val="00882A1E"/>
    <w:rsid w:val="00882C2F"/>
    <w:rsid w:val="00883085"/>
    <w:rsid w:val="008830E0"/>
    <w:rsid w:val="008833E8"/>
    <w:rsid w:val="008836A0"/>
    <w:rsid w:val="00883CD9"/>
    <w:rsid w:val="00883D79"/>
    <w:rsid w:val="0088464B"/>
    <w:rsid w:val="00884E84"/>
    <w:rsid w:val="0088587D"/>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1FC"/>
    <w:rsid w:val="008D2238"/>
    <w:rsid w:val="008D27E2"/>
    <w:rsid w:val="008D32DF"/>
    <w:rsid w:val="008D35E9"/>
    <w:rsid w:val="008D3734"/>
    <w:rsid w:val="008D3959"/>
    <w:rsid w:val="008D3966"/>
    <w:rsid w:val="008D42A6"/>
    <w:rsid w:val="008D4352"/>
    <w:rsid w:val="008D44E3"/>
    <w:rsid w:val="008D46DB"/>
    <w:rsid w:val="008D5A60"/>
    <w:rsid w:val="008D5AEB"/>
    <w:rsid w:val="008D60BC"/>
    <w:rsid w:val="008D6155"/>
    <w:rsid w:val="008D63E7"/>
    <w:rsid w:val="008D64B8"/>
    <w:rsid w:val="008D6D7B"/>
    <w:rsid w:val="008D7111"/>
    <w:rsid w:val="008D7170"/>
    <w:rsid w:val="008D7D04"/>
    <w:rsid w:val="008D7EB7"/>
    <w:rsid w:val="008E0430"/>
    <w:rsid w:val="008E0928"/>
    <w:rsid w:val="008E0EB8"/>
    <w:rsid w:val="008E0F01"/>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21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18E4"/>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0B9"/>
    <w:rsid w:val="00942251"/>
    <w:rsid w:val="00942C80"/>
    <w:rsid w:val="00943029"/>
    <w:rsid w:val="00943197"/>
    <w:rsid w:val="009435F2"/>
    <w:rsid w:val="009438A5"/>
    <w:rsid w:val="009442EE"/>
    <w:rsid w:val="009446D2"/>
    <w:rsid w:val="00944856"/>
    <w:rsid w:val="0094485F"/>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5F8"/>
    <w:rsid w:val="00954FF5"/>
    <w:rsid w:val="009551B6"/>
    <w:rsid w:val="00955C0A"/>
    <w:rsid w:val="00955C4F"/>
    <w:rsid w:val="00955F2E"/>
    <w:rsid w:val="00956109"/>
    <w:rsid w:val="00956E97"/>
    <w:rsid w:val="00956EDA"/>
    <w:rsid w:val="00957451"/>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4B7"/>
    <w:rsid w:val="0099359F"/>
    <w:rsid w:val="00993639"/>
    <w:rsid w:val="00993DB7"/>
    <w:rsid w:val="00993EC4"/>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4D51"/>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2FB5"/>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0"/>
    <w:rsid w:val="009B7204"/>
    <w:rsid w:val="009B725F"/>
    <w:rsid w:val="009B74EF"/>
    <w:rsid w:val="009B7542"/>
    <w:rsid w:val="009B7B5B"/>
    <w:rsid w:val="009B7BB3"/>
    <w:rsid w:val="009C0074"/>
    <w:rsid w:val="009C0564"/>
    <w:rsid w:val="009C079D"/>
    <w:rsid w:val="009C0C5D"/>
    <w:rsid w:val="009C17DA"/>
    <w:rsid w:val="009C23F5"/>
    <w:rsid w:val="009C2685"/>
    <w:rsid w:val="009C2A14"/>
    <w:rsid w:val="009C2B5F"/>
    <w:rsid w:val="009C2CE0"/>
    <w:rsid w:val="009C2E2F"/>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2A45"/>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167"/>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5E2"/>
    <w:rsid w:val="00A01F17"/>
    <w:rsid w:val="00A022A5"/>
    <w:rsid w:val="00A027E3"/>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350"/>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7ED"/>
    <w:rsid w:val="00A428FB"/>
    <w:rsid w:val="00A4376F"/>
    <w:rsid w:val="00A43FD0"/>
    <w:rsid w:val="00A44919"/>
    <w:rsid w:val="00A452DA"/>
    <w:rsid w:val="00A4549F"/>
    <w:rsid w:val="00A45B9B"/>
    <w:rsid w:val="00A45C93"/>
    <w:rsid w:val="00A4602D"/>
    <w:rsid w:val="00A4607E"/>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662"/>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62A"/>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CCC"/>
    <w:rsid w:val="00AB3F38"/>
    <w:rsid w:val="00AB405C"/>
    <w:rsid w:val="00AB43EC"/>
    <w:rsid w:val="00AB4BF4"/>
    <w:rsid w:val="00AB4FC8"/>
    <w:rsid w:val="00AB5651"/>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E7A86"/>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AB0"/>
    <w:rsid w:val="00B15F83"/>
    <w:rsid w:val="00B15FC2"/>
    <w:rsid w:val="00B160FF"/>
    <w:rsid w:val="00B16322"/>
    <w:rsid w:val="00B1662E"/>
    <w:rsid w:val="00B16A6F"/>
    <w:rsid w:val="00B17487"/>
    <w:rsid w:val="00B176DC"/>
    <w:rsid w:val="00B204A9"/>
    <w:rsid w:val="00B20907"/>
    <w:rsid w:val="00B20A17"/>
    <w:rsid w:val="00B22743"/>
    <w:rsid w:val="00B22C0D"/>
    <w:rsid w:val="00B22CBA"/>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9D6"/>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84A"/>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077"/>
    <w:rsid w:val="00BA01CE"/>
    <w:rsid w:val="00BA029E"/>
    <w:rsid w:val="00BA0375"/>
    <w:rsid w:val="00BA0632"/>
    <w:rsid w:val="00BA0AAA"/>
    <w:rsid w:val="00BA0DFB"/>
    <w:rsid w:val="00BA1E42"/>
    <w:rsid w:val="00BA26B7"/>
    <w:rsid w:val="00BA2FEF"/>
    <w:rsid w:val="00BA39EB"/>
    <w:rsid w:val="00BA51BD"/>
    <w:rsid w:val="00BA59A4"/>
    <w:rsid w:val="00BA5C32"/>
    <w:rsid w:val="00BA5E62"/>
    <w:rsid w:val="00BA6306"/>
    <w:rsid w:val="00BA6425"/>
    <w:rsid w:val="00BA66A2"/>
    <w:rsid w:val="00BA6847"/>
    <w:rsid w:val="00BA6E67"/>
    <w:rsid w:val="00BA6E93"/>
    <w:rsid w:val="00BA7A8F"/>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0FE5"/>
    <w:rsid w:val="00BD2F3B"/>
    <w:rsid w:val="00BD3038"/>
    <w:rsid w:val="00BD3372"/>
    <w:rsid w:val="00BD433D"/>
    <w:rsid w:val="00BD4708"/>
    <w:rsid w:val="00BD50AA"/>
    <w:rsid w:val="00BD5135"/>
    <w:rsid w:val="00BD5499"/>
    <w:rsid w:val="00BD596B"/>
    <w:rsid w:val="00BD5ABB"/>
    <w:rsid w:val="00BD5FB4"/>
    <w:rsid w:val="00BD6077"/>
    <w:rsid w:val="00BD7291"/>
    <w:rsid w:val="00BD79C5"/>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02B"/>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397"/>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805"/>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800"/>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574F"/>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6C8B"/>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9F8"/>
    <w:rsid w:val="00CA0E90"/>
    <w:rsid w:val="00CA17DE"/>
    <w:rsid w:val="00CA18C7"/>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5EC"/>
    <w:rsid w:val="00CB19D2"/>
    <w:rsid w:val="00CB24A2"/>
    <w:rsid w:val="00CB26EC"/>
    <w:rsid w:val="00CB2881"/>
    <w:rsid w:val="00CB2D2A"/>
    <w:rsid w:val="00CB3075"/>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8DB"/>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0C4C"/>
    <w:rsid w:val="00D41005"/>
    <w:rsid w:val="00D41241"/>
    <w:rsid w:val="00D4160D"/>
    <w:rsid w:val="00D4187A"/>
    <w:rsid w:val="00D41B36"/>
    <w:rsid w:val="00D41CC4"/>
    <w:rsid w:val="00D42CFF"/>
    <w:rsid w:val="00D437D8"/>
    <w:rsid w:val="00D438BD"/>
    <w:rsid w:val="00D43AA7"/>
    <w:rsid w:val="00D4419F"/>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2C"/>
    <w:rsid w:val="00D55F97"/>
    <w:rsid w:val="00D56260"/>
    <w:rsid w:val="00D56956"/>
    <w:rsid w:val="00D569FB"/>
    <w:rsid w:val="00D56AF5"/>
    <w:rsid w:val="00D56C5A"/>
    <w:rsid w:val="00D56DB2"/>
    <w:rsid w:val="00D56E4A"/>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9C1"/>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1E4"/>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77DA2"/>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B0B"/>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A87"/>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4E60"/>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463"/>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9FD"/>
    <w:rsid w:val="00DD5F42"/>
    <w:rsid w:val="00DD617B"/>
    <w:rsid w:val="00DD6D4E"/>
    <w:rsid w:val="00DD6E47"/>
    <w:rsid w:val="00DD6F8E"/>
    <w:rsid w:val="00DD7144"/>
    <w:rsid w:val="00DD79A6"/>
    <w:rsid w:val="00DE0443"/>
    <w:rsid w:val="00DE068C"/>
    <w:rsid w:val="00DE06A8"/>
    <w:rsid w:val="00DE0C5F"/>
    <w:rsid w:val="00DE0E59"/>
    <w:rsid w:val="00DE0F6C"/>
    <w:rsid w:val="00DE0FBC"/>
    <w:rsid w:val="00DE12F0"/>
    <w:rsid w:val="00DE219B"/>
    <w:rsid w:val="00DE2378"/>
    <w:rsid w:val="00DE27B1"/>
    <w:rsid w:val="00DE33CA"/>
    <w:rsid w:val="00DE3407"/>
    <w:rsid w:val="00DE3979"/>
    <w:rsid w:val="00DE469E"/>
    <w:rsid w:val="00DE52E3"/>
    <w:rsid w:val="00DE5BC4"/>
    <w:rsid w:val="00DE617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C16"/>
    <w:rsid w:val="00E04DC9"/>
    <w:rsid w:val="00E05C03"/>
    <w:rsid w:val="00E06528"/>
    <w:rsid w:val="00E066DB"/>
    <w:rsid w:val="00E06CC1"/>
    <w:rsid w:val="00E0728F"/>
    <w:rsid w:val="00E0749C"/>
    <w:rsid w:val="00E0755C"/>
    <w:rsid w:val="00E0763A"/>
    <w:rsid w:val="00E07679"/>
    <w:rsid w:val="00E07974"/>
    <w:rsid w:val="00E103FC"/>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589"/>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0E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0C9B"/>
    <w:rsid w:val="00E61CC0"/>
    <w:rsid w:val="00E62264"/>
    <w:rsid w:val="00E62268"/>
    <w:rsid w:val="00E6277B"/>
    <w:rsid w:val="00E635CC"/>
    <w:rsid w:val="00E63830"/>
    <w:rsid w:val="00E64424"/>
    <w:rsid w:val="00E644F2"/>
    <w:rsid w:val="00E6459F"/>
    <w:rsid w:val="00E64822"/>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736"/>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7CA"/>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9791B"/>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762"/>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923"/>
    <w:rsid w:val="00EC5C3E"/>
    <w:rsid w:val="00EC6057"/>
    <w:rsid w:val="00EC6847"/>
    <w:rsid w:val="00EC6E9C"/>
    <w:rsid w:val="00EC6EB4"/>
    <w:rsid w:val="00EC6F7B"/>
    <w:rsid w:val="00EC7604"/>
    <w:rsid w:val="00EC7703"/>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705"/>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5A5"/>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600"/>
    <w:rsid w:val="00F84728"/>
    <w:rsid w:val="00F84997"/>
    <w:rsid w:val="00F85536"/>
    <w:rsid w:val="00F85928"/>
    <w:rsid w:val="00F8631D"/>
    <w:rsid w:val="00F8657A"/>
    <w:rsid w:val="00F86637"/>
    <w:rsid w:val="00F8679A"/>
    <w:rsid w:val="00F86DD2"/>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66"/>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0D0"/>
    <w:rsid w:val="00FA35E3"/>
    <w:rsid w:val="00FA3B76"/>
    <w:rsid w:val="00FA4255"/>
    <w:rsid w:val="00FA426A"/>
    <w:rsid w:val="00FA45EE"/>
    <w:rsid w:val="00FA46A3"/>
    <w:rsid w:val="00FA48A6"/>
    <w:rsid w:val="00FA4BC7"/>
    <w:rsid w:val="00FA4D66"/>
    <w:rsid w:val="00FA56AE"/>
    <w:rsid w:val="00FA5A4E"/>
    <w:rsid w:val="00FA5D08"/>
    <w:rsid w:val="00FA6157"/>
    <w:rsid w:val="00FA71F2"/>
    <w:rsid w:val="00FA740F"/>
    <w:rsid w:val="00FB0082"/>
    <w:rsid w:val="00FB0243"/>
    <w:rsid w:val="00FB0AC3"/>
    <w:rsid w:val="00FB1527"/>
    <w:rsid w:val="00FB1932"/>
    <w:rsid w:val="00FB1E67"/>
    <w:rsid w:val="00FB2537"/>
    <w:rsid w:val="00FB2570"/>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1E45"/>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D9"/>
    <w:rsid w:val="00FE6EE3"/>
    <w:rsid w:val="00FE6FB9"/>
    <w:rsid w:val="00FE7549"/>
    <w:rsid w:val="00FE7BCC"/>
    <w:rsid w:val="00FE7CA0"/>
    <w:rsid w:val="00FF0832"/>
    <w:rsid w:val="00FF0A52"/>
    <w:rsid w:val="00FF126D"/>
    <w:rsid w:val="00FF2310"/>
    <w:rsid w:val="00FF2319"/>
    <w:rsid w:val="00FF2601"/>
    <w:rsid w:val="00FF2DC2"/>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2FB"/>
    <w:rsid w:val="00FF6856"/>
    <w:rsid w:val="00FF6B40"/>
    <w:rsid w:val="00FF6BD1"/>
    <w:rsid w:val="00FF6CC0"/>
    <w:rsid w:val="00FF7289"/>
    <w:rsid w:val="00FF736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Pr>
      <w:sz w:val="20"/>
      <w:szCs w:val="20"/>
    </w:rPr>
  </w:style>
  <w:style w:type="character" w:customStyle="1" w:styleId="a4">
    <w:name w:val="正文文本 字符"/>
    <w:aliases w:val="bt 字符"/>
    <w:basedOn w:val="a0"/>
    <w:link w:val="a3"/>
    <w:rsid w:val="00CF195E"/>
  </w:style>
  <w:style w:type="character" w:styleId="a5">
    <w:name w:val="Hyperlink"/>
    <w:basedOn w:val="a0"/>
    <w:uiPriority w:val="99"/>
    <w:qFormat/>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563432"/>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4245</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1994</cp:revision>
  <cp:lastPrinted>2007-06-18T22:08:00Z</cp:lastPrinted>
  <dcterms:created xsi:type="dcterms:W3CDTF">2021-07-27T21:02:00Z</dcterms:created>
  <dcterms:modified xsi:type="dcterms:W3CDTF">2023-08-08T09:02:00Z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