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C27667E" w14:textId="32C404D1" w:rsidR="004F341B" w:rsidRDefault="00000000">
      <w:pPr>
        <w:tabs>
          <w:tab w:val="right" w:pos="9216"/>
        </w:tabs>
        <w:spacing w:after="0"/>
        <w:jc w:val="left"/>
        <w:rPr>
          <w:b/>
          <w:bCs/>
        </w:rPr>
      </w:pPr>
      <w:r>
        <w:rPr>
          <w:b/>
          <w:bCs/>
          <w:kern w:val="2"/>
        </w:rPr>
        <w:t>3GPP TSG RAN WG1 Meeting #112</w:t>
      </w:r>
      <w:r>
        <w:rPr>
          <w:b/>
          <w:kern w:val="2"/>
        </w:rPr>
        <w:tab/>
      </w:r>
      <w:r>
        <w:rPr>
          <w:b/>
          <w:bCs/>
          <w:kern w:val="2"/>
        </w:rPr>
        <w:t>R1-</w:t>
      </w:r>
      <w:r w:rsidR="000632FD">
        <w:rPr>
          <w:b/>
          <w:bCs/>
          <w:kern w:val="2"/>
        </w:rPr>
        <w:t>2301691</w:t>
      </w:r>
    </w:p>
    <w:p w14:paraId="1E93D920" w14:textId="77777777" w:rsidR="004F341B" w:rsidRDefault="00000000">
      <w:pPr>
        <w:tabs>
          <w:tab w:val="center" w:pos="4536"/>
          <w:tab w:val="right" w:pos="9072"/>
        </w:tabs>
        <w:spacing w:after="0"/>
        <w:jc w:val="left"/>
        <w:rPr>
          <w:b/>
          <w:bCs/>
          <w:kern w:val="2"/>
        </w:rPr>
      </w:pPr>
      <w:r>
        <w:rPr>
          <w:b/>
          <w:bCs/>
          <w:kern w:val="2"/>
        </w:rPr>
        <w:t>Athens, Greece, February 27</w:t>
      </w:r>
      <w:r>
        <w:rPr>
          <w:b/>
          <w:bCs/>
          <w:kern w:val="2"/>
          <w:vertAlign w:val="superscript"/>
        </w:rPr>
        <w:t>th</w:t>
      </w:r>
      <w:r>
        <w:rPr>
          <w:b/>
          <w:bCs/>
          <w:kern w:val="2"/>
        </w:rPr>
        <w:t xml:space="preserve"> – March 3</w:t>
      </w:r>
      <w:r>
        <w:rPr>
          <w:b/>
          <w:bCs/>
          <w:kern w:val="2"/>
          <w:vertAlign w:val="superscript"/>
        </w:rPr>
        <w:t>rd</w:t>
      </w:r>
      <w:r>
        <w:rPr>
          <w:b/>
          <w:bCs/>
          <w:kern w:val="2"/>
        </w:rPr>
        <w:t>, 2023</w:t>
      </w:r>
    </w:p>
    <w:p w14:paraId="28FD62F0" w14:textId="77777777" w:rsidR="004F341B" w:rsidRDefault="004F341B">
      <w:pPr>
        <w:pBdr>
          <w:top w:val="single" w:sz="4" w:space="1" w:color="000000"/>
        </w:pBdr>
        <w:spacing w:after="0"/>
        <w:jc w:val="left"/>
        <w:rPr>
          <w:b/>
          <w:kern w:val="2"/>
          <w:sz w:val="16"/>
          <w:szCs w:val="16"/>
        </w:rPr>
      </w:pPr>
    </w:p>
    <w:p w14:paraId="1BC96183" w14:textId="77777777" w:rsidR="004F341B" w:rsidRDefault="00000000">
      <w:pPr>
        <w:spacing w:after="60"/>
        <w:ind w:left="1555" w:hanging="1555"/>
        <w:jc w:val="left"/>
      </w:pPr>
      <w:r>
        <w:rPr>
          <w:b/>
          <w:kern w:val="2"/>
        </w:rPr>
        <w:t>Agenda Item:</w:t>
      </w:r>
      <w:r>
        <w:rPr>
          <w:b/>
          <w:kern w:val="2"/>
        </w:rPr>
        <w:tab/>
        <w:t>9.3.1</w:t>
      </w:r>
    </w:p>
    <w:p w14:paraId="17AEADA4" w14:textId="0A5D454A" w:rsidR="004F341B" w:rsidRDefault="00000000">
      <w:pPr>
        <w:spacing w:after="60"/>
        <w:ind w:left="1555" w:hanging="1555"/>
        <w:jc w:val="left"/>
      </w:pPr>
      <w:r>
        <w:rPr>
          <w:b/>
          <w:kern w:val="2"/>
        </w:rPr>
        <w:t>Source:</w:t>
      </w:r>
      <w:r>
        <w:rPr>
          <w:b/>
          <w:kern w:val="2"/>
        </w:rPr>
        <w:tab/>
      </w:r>
      <w:proofErr w:type="spellStart"/>
      <w:r>
        <w:rPr>
          <w:b/>
          <w:kern w:val="2"/>
        </w:rPr>
        <w:t>CEWiT</w:t>
      </w:r>
      <w:proofErr w:type="spellEnd"/>
      <w:r w:rsidR="000632FD">
        <w:rPr>
          <w:b/>
          <w:kern w:val="2"/>
        </w:rPr>
        <w:t>, Reliance Jio, IIT Kanpur</w:t>
      </w:r>
    </w:p>
    <w:p w14:paraId="23483842" w14:textId="77777777" w:rsidR="004F341B" w:rsidRDefault="00000000">
      <w:pPr>
        <w:spacing w:after="60"/>
        <w:ind w:left="1555" w:hanging="1555"/>
        <w:jc w:val="left"/>
      </w:pPr>
      <w:r>
        <w:rPr>
          <w:b/>
          <w:bCs/>
          <w:kern w:val="2"/>
        </w:rPr>
        <w:t>Title:</w:t>
      </w:r>
      <w:r>
        <w:rPr>
          <w:b/>
          <w:kern w:val="2"/>
        </w:rPr>
        <w:tab/>
      </w:r>
      <w:r>
        <w:rPr>
          <w:b/>
          <w:bCs/>
          <w:kern w:val="2"/>
        </w:rPr>
        <w:t>Calibration analysis for SBFD</w:t>
      </w:r>
    </w:p>
    <w:p w14:paraId="24A300FD" w14:textId="77777777" w:rsidR="004F341B" w:rsidRDefault="00000000">
      <w:pPr>
        <w:spacing w:after="60"/>
        <w:ind w:left="1555" w:hanging="1555"/>
        <w:jc w:val="left"/>
      </w:pPr>
      <w:r>
        <w:rPr>
          <w:b/>
          <w:kern w:val="2"/>
        </w:rPr>
        <w:t>Document for:</w:t>
      </w:r>
      <w:r>
        <w:rPr>
          <w:b/>
          <w:kern w:val="2"/>
        </w:rPr>
        <w:tab/>
        <w:t xml:space="preserve">Discussion </w:t>
      </w:r>
    </w:p>
    <w:p w14:paraId="1C69A88D" w14:textId="77777777" w:rsidR="004F341B" w:rsidRDefault="004F341B">
      <w:pPr>
        <w:pBdr>
          <w:bottom w:val="single" w:sz="4" w:space="1" w:color="000000"/>
        </w:pBdr>
        <w:spacing w:after="0"/>
        <w:jc w:val="left"/>
        <w:rPr>
          <w:b/>
          <w:kern w:val="2"/>
          <w:sz w:val="16"/>
          <w:szCs w:val="16"/>
        </w:rPr>
      </w:pPr>
    </w:p>
    <w:p w14:paraId="1C73FD5F" w14:textId="77777777" w:rsidR="004F341B" w:rsidRDefault="00000000">
      <w:pPr>
        <w:pStyle w:val="Heading1"/>
        <w:numPr>
          <w:ilvl w:val="0"/>
          <w:numId w:val="2"/>
        </w:numPr>
      </w:pPr>
      <w:bookmarkStart w:id="0" w:name="_Ref124589705"/>
      <w:bookmarkStart w:id="1" w:name="_Ref129681862"/>
      <w:r>
        <w:t>Introduction</w:t>
      </w:r>
      <w:bookmarkEnd w:id="0"/>
      <w:bookmarkEnd w:id="1"/>
    </w:p>
    <w:p w14:paraId="28CBD851" w14:textId="647BDF26" w:rsidR="004F341B" w:rsidRDefault="00000000">
      <w:r>
        <w:t xml:space="preserve">A new study item on “Study on evolution of NR duplex operation” was approved in RAN#94-e [1]. The discussions started in the last meeting RAN1#109-e. </w:t>
      </w:r>
      <w:r>
        <w:rPr>
          <w:rFonts w:eastAsia="Times New Roman"/>
          <w:lang w:eastAsia="en-US"/>
        </w:rPr>
        <w:t xml:space="preserve">This contribution provides the coupling loss (CL) results for </w:t>
      </w:r>
      <w:r>
        <w:rPr>
          <w:rFonts w:eastAsia="Malgun Gothic"/>
          <w:kern w:val="2"/>
          <w:lang w:eastAsia="ko-KR"/>
        </w:rPr>
        <w:t xml:space="preserve">SBFD system level simulations. </w:t>
      </w:r>
      <w:bookmarkStart w:id="2" w:name="_Ref129681832"/>
    </w:p>
    <w:p w14:paraId="2F3654BF" w14:textId="77777777" w:rsidR="004F341B" w:rsidRDefault="00000000">
      <w:pPr>
        <w:pStyle w:val="Heading1"/>
        <w:numPr>
          <w:ilvl w:val="0"/>
          <w:numId w:val="2"/>
        </w:numPr>
      </w:pPr>
      <w:r>
        <w:t>Coupling Loss for SBFD system level simulations</w:t>
      </w:r>
    </w:p>
    <w:p w14:paraId="525DFB80" w14:textId="7F2C9D2D" w:rsidR="004F341B" w:rsidRDefault="00000000">
      <w:r>
        <w:rPr>
          <w:color w:val="000000" w:themeColor="text1"/>
        </w:rPr>
        <w:t xml:space="preserve">Calibration analysis for SBFD was agreed in RAN1 meeting #110bis-e [2]. In this contribution, we have provided the initial CL results for FR1, Urban macro scenario for </w:t>
      </w:r>
      <w:proofErr w:type="spellStart"/>
      <w:r>
        <w:rPr>
          <w:color w:val="000000" w:themeColor="text1"/>
        </w:rPr>
        <w:t>gNB</w:t>
      </w:r>
      <w:proofErr w:type="spellEnd"/>
      <w:r>
        <w:rPr>
          <w:color w:val="000000" w:themeColor="text1"/>
        </w:rPr>
        <w:t xml:space="preserve">-UE links and </w:t>
      </w:r>
      <w:proofErr w:type="spellStart"/>
      <w:r>
        <w:rPr>
          <w:color w:val="000000" w:themeColor="text1"/>
        </w:rPr>
        <w:t>gNB-gNB</w:t>
      </w:r>
      <w:proofErr w:type="spellEnd"/>
      <w:r>
        <w:rPr>
          <w:color w:val="000000" w:themeColor="text1"/>
        </w:rPr>
        <w:t xml:space="preserve"> links in Fig. 1.</w:t>
      </w:r>
    </w:p>
    <w:p w14:paraId="7A864EB7" w14:textId="77777777" w:rsidR="004F341B" w:rsidRDefault="00000000">
      <w:r>
        <w:rPr>
          <w:color w:val="000000" w:themeColor="text1"/>
        </w:rPr>
        <w:t>The CL is calculated according to the agreement in meeting RAN1#111 [3].</w:t>
      </w:r>
    </w:p>
    <w:p w14:paraId="0D86ADEE" w14:textId="77777777" w:rsidR="004F341B" w:rsidRDefault="004F341B">
      <w:pPr>
        <w:rPr>
          <w:color w:val="000000" w:themeColor="text1"/>
        </w:rPr>
      </w:pPr>
    </w:p>
    <w:p w14:paraId="02CB4939" w14:textId="77777777" w:rsidR="004F341B" w:rsidRDefault="00000000">
      <w:pPr>
        <w:rPr>
          <w:b/>
          <w:bCs/>
          <w:i/>
          <w:iCs/>
          <w:sz w:val="20"/>
          <w:szCs w:val="20"/>
          <w:highlight w:val="green"/>
        </w:rPr>
      </w:pPr>
      <w:r>
        <w:rPr>
          <w:b/>
          <w:bCs/>
          <w:i/>
          <w:iCs/>
          <w:sz w:val="20"/>
          <w:szCs w:val="20"/>
          <w:highlight w:val="green"/>
        </w:rPr>
        <w:t>Agreement</w:t>
      </w:r>
    </w:p>
    <w:p w14:paraId="4BC4C74E" w14:textId="77777777" w:rsidR="004F341B" w:rsidRDefault="00000000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Consider following for the definition of coupling loss (</w:t>
      </w:r>
      <w:r>
        <w:fldChar w:fldCharType="begin"/>
      </w:r>
      <w:r>
        <w:rPr>
          <w:i/>
          <w:iCs/>
          <w:position w:val="-8"/>
          <w:sz w:val="20"/>
          <w:szCs w:val="20"/>
        </w:rPr>
        <w:instrText>QUOTE _x0001_</w:instrText>
      </w:r>
      <w:r>
        <w:rPr>
          <w:i/>
          <w:iCs/>
          <w:position w:val="-8"/>
          <w:sz w:val="20"/>
          <w:szCs w:val="20"/>
        </w:rPr>
        <w:fldChar w:fldCharType="separate"/>
      </w:r>
      <w:r>
        <w:rPr>
          <w:i/>
          <w:iCs/>
          <w:noProof/>
          <w:position w:val="-8"/>
          <w:sz w:val="20"/>
          <w:szCs w:val="20"/>
        </w:rPr>
        <w:drawing>
          <wp:inline distT="0" distB="0" distL="0" distR="0" wp14:anchorId="04EC9D80" wp14:editId="0462F03A">
            <wp:extent cx="746760" cy="175260"/>
            <wp:effectExtent l="0" t="0" r="0" b="0"/>
            <wp:docPr id="1" name="Image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0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48" t="-206" r="-48" b="-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8"/>
          <w:sz w:val="20"/>
          <w:szCs w:val="20"/>
        </w:rPr>
        <w:fldChar w:fldCharType="end"/>
      </w:r>
      <w:r>
        <w:rPr>
          <w:i/>
          <w:iCs/>
          <w:sz w:val="20"/>
          <w:szCs w:val="20"/>
        </w:rPr>
        <w:t xml:space="preserve"> from Tx antenna port p of transmitter A to Rx antenna port u of receiver B:</w:t>
      </w:r>
    </w:p>
    <w:p w14:paraId="571ECCA2" w14:textId="77777777" w:rsidR="004F341B" w:rsidRDefault="00000000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If both </w:t>
      </w:r>
      <w:proofErr w:type="gramStart"/>
      <w:r>
        <w:rPr>
          <w:i/>
          <w:iCs/>
          <w:sz w:val="20"/>
          <w:szCs w:val="20"/>
        </w:rPr>
        <w:t>large scale</w:t>
      </w:r>
      <w:proofErr w:type="gramEnd"/>
      <w:r>
        <w:rPr>
          <w:i/>
          <w:iCs/>
          <w:sz w:val="20"/>
          <w:szCs w:val="20"/>
        </w:rPr>
        <w:t xml:space="preserve"> fading and small scale fading are modelled, the coupling loss from Tx antenna port p of transmitter A to Rx antenna port u of receiver B is defined in formula (1) which is based on formula (B.1-2) in TR 37.910</w:t>
      </w:r>
      <w:r>
        <w:rPr>
          <w:i/>
          <w:iCs/>
          <w:color w:val="0070C0"/>
          <w:sz w:val="20"/>
          <w:szCs w:val="20"/>
        </w:rPr>
        <w:t>.</w:t>
      </w:r>
    </w:p>
    <w:p w14:paraId="539D56C4" w14:textId="77777777" w:rsidR="004F341B" w:rsidRDefault="00000000">
      <w:pPr>
        <w:jc w:val="center"/>
        <w:rPr>
          <w:i/>
          <w:iCs/>
          <w:sz w:val="20"/>
          <w:szCs w:val="20"/>
        </w:rPr>
      </w:pPr>
      <w:r>
        <w:rPr>
          <w:i/>
          <w:iCs/>
          <w:noProof/>
          <w:sz w:val="20"/>
          <w:szCs w:val="20"/>
        </w:rPr>
        <w:drawing>
          <wp:inline distT="0" distB="0" distL="0" distR="0" wp14:anchorId="62A68170" wp14:editId="28C09183">
            <wp:extent cx="6119495" cy="426720"/>
            <wp:effectExtent l="0" t="0" r="0" b="0"/>
            <wp:docPr id="2" name="Image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0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6" t="-84" r="-6" b="-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676F7" w14:textId="77777777" w:rsidR="004F341B" w:rsidRDefault="004F341B">
      <w:pPr>
        <w:rPr>
          <w:i/>
          <w:iCs/>
          <w:sz w:val="20"/>
          <w:szCs w:val="20"/>
        </w:rPr>
      </w:pPr>
    </w:p>
    <w:p w14:paraId="36DED2CC" w14:textId="77777777" w:rsidR="004F341B" w:rsidRDefault="00000000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If only </w:t>
      </w:r>
      <w:proofErr w:type="gramStart"/>
      <w:r>
        <w:rPr>
          <w:i/>
          <w:iCs/>
          <w:sz w:val="20"/>
          <w:szCs w:val="20"/>
        </w:rPr>
        <w:t>large scale</w:t>
      </w:r>
      <w:proofErr w:type="gramEnd"/>
      <w:r>
        <w:rPr>
          <w:i/>
          <w:iCs/>
          <w:sz w:val="20"/>
          <w:szCs w:val="20"/>
        </w:rPr>
        <w:t xml:space="preserve"> fading is modelled, the coupling loss from Tx antenna port p of transmitter A to Rx antenna port u of receiver B is defined in formula (2).</w:t>
      </w:r>
    </w:p>
    <w:p w14:paraId="1D49B99F" w14:textId="77777777" w:rsidR="004F341B" w:rsidRDefault="00000000">
      <w:pPr>
        <w:jc w:val="center"/>
        <w:rPr>
          <w:i/>
          <w:iCs/>
          <w:sz w:val="20"/>
          <w:szCs w:val="20"/>
        </w:rPr>
      </w:pPr>
      <w:r>
        <w:rPr>
          <w:i/>
          <w:iCs/>
          <w:noProof/>
          <w:sz w:val="20"/>
          <w:szCs w:val="20"/>
        </w:rPr>
        <w:drawing>
          <wp:inline distT="0" distB="0" distL="0" distR="0" wp14:anchorId="7E9B10AC" wp14:editId="1DDB9EA2">
            <wp:extent cx="6119495" cy="228600"/>
            <wp:effectExtent l="0" t="0" r="0" b="0"/>
            <wp:docPr id="3" name="Image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0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6" t="-157" r="-6" b="-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2D69D" w14:textId="77777777" w:rsidR="004F341B" w:rsidRDefault="00000000">
      <w:pPr>
        <w:jc w:val="center"/>
        <w:rPr>
          <w:i/>
          <w:iCs/>
          <w:sz w:val="20"/>
          <w:szCs w:val="20"/>
        </w:rPr>
      </w:pPr>
      <w:r>
        <w:fldChar w:fldCharType="begin"/>
      </w:r>
      <w:r>
        <w:rPr>
          <w:i/>
          <w:iCs/>
          <w:position w:val="-22"/>
          <w:sz w:val="20"/>
          <w:szCs w:val="20"/>
        </w:rPr>
        <w:instrText>QUOTE _x0001_</w:instrText>
      </w:r>
      <w:r>
        <w:rPr>
          <w:i/>
          <w:iCs/>
          <w:position w:val="-22"/>
          <w:sz w:val="20"/>
          <w:szCs w:val="20"/>
        </w:rPr>
        <w:fldChar w:fldCharType="separate"/>
      </w:r>
      <w:r>
        <w:rPr>
          <w:i/>
          <w:iCs/>
          <w:noProof/>
          <w:position w:val="-22"/>
          <w:sz w:val="20"/>
          <w:szCs w:val="20"/>
        </w:rPr>
        <w:drawing>
          <wp:inline distT="0" distB="0" distL="0" distR="0" wp14:anchorId="0D6161FB" wp14:editId="6BF88557">
            <wp:extent cx="4130675" cy="403860"/>
            <wp:effectExtent l="0" t="0" r="0" b="0"/>
            <wp:docPr id="4" name="Image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9" t="-89" r="-9" b="-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675" cy="40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22"/>
          <w:sz w:val="20"/>
          <w:szCs w:val="20"/>
        </w:rPr>
        <w:fldChar w:fldCharType="end"/>
      </w:r>
      <w:r>
        <w:rPr>
          <w:i/>
          <w:iCs/>
          <w:sz w:val="20"/>
          <w:szCs w:val="20"/>
        </w:rPr>
        <w:t>           (3)</w:t>
      </w:r>
    </w:p>
    <w:p w14:paraId="5AD0144F" w14:textId="77777777" w:rsidR="004F341B" w:rsidRDefault="00000000">
      <w:pPr>
        <w:rPr>
          <w:i/>
          <w:iCs/>
          <w:sz w:val="20"/>
          <w:szCs w:val="20"/>
        </w:rPr>
      </w:pPr>
      <w:proofErr w:type="gramStart"/>
      <w:r>
        <w:rPr>
          <w:i/>
          <w:iCs/>
          <w:sz w:val="20"/>
          <w:szCs w:val="20"/>
        </w:rPr>
        <w:t>Where</w:t>
      </w:r>
      <w:proofErr w:type="gramEnd"/>
    </w:p>
    <w:p w14:paraId="7BA7FB47" w14:textId="77777777" w:rsidR="004F341B" w:rsidRDefault="00000000">
      <w:pPr>
        <w:numPr>
          <w:ilvl w:val="0"/>
          <w:numId w:val="3"/>
        </w:numPr>
        <w:rPr>
          <w:i/>
          <w:iCs/>
          <w:sz w:val="20"/>
          <w:szCs w:val="20"/>
        </w:rPr>
      </w:pPr>
      <w:r>
        <w:fldChar w:fldCharType="begin"/>
      </w:r>
      <w:r>
        <w:rPr>
          <w:i/>
          <w:iCs/>
          <w:position w:val="-5"/>
          <w:sz w:val="20"/>
          <w:szCs w:val="20"/>
        </w:rPr>
        <w:instrText>QUOTE _x0001_</w:instrText>
      </w:r>
      <w:r>
        <w:rPr>
          <w:i/>
          <w:iCs/>
          <w:position w:val="-5"/>
          <w:sz w:val="20"/>
          <w:szCs w:val="20"/>
        </w:rPr>
        <w:fldChar w:fldCharType="separate"/>
      </w:r>
      <w:r>
        <w:rPr>
          <w:i/>
          <w:iCs/>
          <w:noProof/>
          <w:position w:val="-5"/>
          <w:sz w:val="20"/>
          <w:szCs w:val="20"/>
        </w:rPr>
        <w:drawing>
          <wp:inline distT="0" distB="0" distL="0" distR="0" wp14:anchorId="38204C6C" wp14:editId="4A20A1C7">
            <wp:extent cx="160020" cy="152400"/>
            <wp:effectExtent l="0" t="0" r="0" b="0"/>
            <wp:docPr id="5" name="Image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0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225" t="-236" r="-225" b="-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5"/>
          <w:sz w:val="20"/>
          <w:szCs w:val="20"/>
        </w:rPr>
        <w:fldChar w:fldCharType="end"/>
      </w:r>
      <w:r>
        <w:rPr>
          <w:i/>
          <w:iCs/>
          <w:sz w:val="20"/>
          <w:szCs w:val="20"/>
        </w:rPr>
        <w:t xml:space="preserve"> (</w:t>
      </w:r>
      <w:r>
        <w:fldChar w:fldCharType="begin"/>
      </w:r>
      <w:r>
        <w:rPr>
          <w:i/>
          <w:iCs/>
          <w:position w:val="-8"/>
          <w:sz w:val="20"/>
          <w:szCs w:val="20"/>
        </w:rPr>
        <w:instrText>QUOTE _x0001_</w:instrText>
      </w:r>
      <w:r>
        <w:rPr>
          <w:i/>
          <w:iCs/>
          <w:position w:val="-8"/>
          <w:sz w:val="20"/>
          <w:szCs w:val="20"/>
        </w:rPr>
        <w:fldChar w:fldCharType="separate"/>
      </w:r>
      <w:r>
        <w:rPr>
          <w:i/>
          <w:iCs/>
          <w:noProof/>
          <w:position w:val="-8"/>
          <w:sz w:val="20"/>
          <w:szCs w:val="20"/>
        </w:rPr>
        <w:drawing>
          <wp:inline distT="0" distB="0" distL="0" distR="0" wp14:anchorId="60EB2143" wp14:editId="3767FC9A">
            <wp:extent cx="1242060" cy="175260"/>
            <wp:effectExtent l="0" t="0" r="0" b="0"/>
            <wp:docPr id="6" name="Image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29" t="-206" r="-29" b="-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8"/>
          <w:sz w:val="20"/>
          <w:szCs w:val="20"/>
        </w:rPr>
        <w:fldChar w:fldCharType="end"/>
      </w:r>
      <w:r>
        <w:rPr>
          <w:i/>
          <w:iCs/>
          <w:sz w:val="20"/>
          <w:szCs w:val="20"/>
        </w:rPr>
        <w:t xml:space="preserve">) represents a complex weight vector used for virtualization of Tx antenna port p of transmitter </w:t>
      </w:r>
      <w:r>
        <w:fldChar w:fldCharType="begin"/>
      </w:r>
      <w:r>
        <w:rPr>
          <w:i/>
          <w:iCs/>
          <w:position w:val="-5"/>
          <w:sz w:val="20"/>
          <w:szCs w:val="20"/>
        </w:rPr>
        <w:instrText>QUOTE _x0001_</w:instrText>
      </w:r>
      <w:r>
        <w:rPr>
          <w:i/>
          <w:iCs/>
          <w:position w:val="-5"/>
          <w:sz w:val="20"/>
          <w:szCs w:val="20"/>
        </w:rPr>
        <w:fldChar w:fldCharType="separate"/>
      </w:r>
      <w:r>
        <w:rPr>
          <w:i/>
          <w:iCs/>
          <w:noProof/>
          <w:position w:val="-5"/>
          <w:sz w:val="20"/>
          <w:szCs w:val="20"/>
        </w:rPr>
        <w:drawing>
          <wp:inline distT="0" distB="0" distL="0" distR="0" wp14:anchorId="2B52840D" wp14:editId="17A0B3FA">
            <wp:extent cx="83820" cy="152400"/>
            <wp:effectExtent l="0" t="0" r="0" b="0"/>
            <wp:docPr id="7" name="Image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-431" t="-236" r="-431" b="-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5"/>
          <w:sz w:val="20"/>
          <w:szCs w:val="20"/>
        </w:rPr>
        <w:fldChar w:fldCharType="end"/>
      </w:r>
      <w:r>
        <w:rPr>
          <w:i/>
          <w:iCs/>
          <w:sz w:val="20"/>
          <w:szCs w:val="20"/>
        </w:rPr>
        <w:t xml:space="preserve">, and </w:t>
      </w:r>
      <w:r>
        <w:fldChar w:fldCharType="begin"/>
      </w:r>
      <w:r>
        <w:rPr>
          <w:i/>
          <w:iCs/>
          <w:position w:val="-5"/>
          <w:sz w:val="20"/>
          <w:szCs w:val="20"/>
        </w:rPr>
        <w:instrText>QUOTE _x0001_</w:instrText>
      </w:r>
      <w:r>
        <w:rPr>
          <w:i/>
          <w:iCs/>
          <w:position w:val="-5"/>
          <w:sz w:val="20"/>
          <w:szCs w:val="20"/>
        </w:rPr>
        <w:fldChar w:fldCharType="separate"/>
      </w:r>
      <w:r>
        <w:rPr>
          <w:i/>
          <w:iCs/>
          <w:noProof/>
          <w:position w:val="-5"/>
          <w:sz w:val="20"/>
          <w:szCs w:val="20"/>
        </w:rPr>
        <w:drawing>
          <wp:inline distT="0" distB="0" distL="0" distR="0" wp14:anchorId="0B253BB7" wp14:editId="2E70904E">
            <wp:extent cx="152400" cy="152400"/>
            <wp:effectExtent l="0" t="0" r="0" b="0"/>
            <wp:docPr id="8" name="Image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-236" t="-236" r="-236" b="-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5"/>
          <w:sz w:val="20"/>
          <w:szCs w:val="20"/>
        </w:rPr>
        <w:fldChar w:fldCharType="end"/>
      </w:r>
      <w:r>
        <w:rPr>
          <w:i/>
          <w:iCs/>
          <w:sz w:val="20"/>
          <w:szCs w:val="20"/>
        </w:rPr>
        <w:t xml:space="preserve"> (</w:t>
      </w:r>
      <w:r>
        <w:fldChar w:fldCharType="begin"/>
      </w:r>
      <w:r>
        <w:rPr>
          <w:i/>
          <w:iCs/>
          <w:position w:val="-8"/>
          <w:sz w:val="20"/>
          <w:szCs w:val="20"/>
        </w:rPr>
        <w:instrText>QUOTE _x0001_</w:instrText>
      </w:r>
      <w:r>
        <w:rPr>
          <w:i/>
          <w:iCs/>
          <w:position w:val="-8"/>
          <w:sz w:val="20"/>
          <w:szCs w:val="20"/>
        </w:rPr>
        <w:fldChar w:fldCharType="separate"/>
      </w:r>
      <w:r>
        <w:rPr>
          <w:i/>
          <w:iCs/>
          <w:noProof/>
          <w:position w:val="-8"/>
          <w:sz w:val="20"/>
          <w:szCs w:val="20"/>
        </w:rPr>
        <w:drawing>
          <wp:inline distT="0" distB="0" distL="0" distR="0" wp14:anchorId="2F5CDC59" wp14:editId="187E1E46">
            <wp:extent cx="1181100" cy="175260"/>
            <wp:effectExtent l="0" t="0" r="0" b="0"/>
            <wp:docPr id="9" name="Image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-30" t="-206" r="-30" b="-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8"/>
          <w:sz w:val="20"/>
          <w:szCs w:val="20"/>
        </w:rPr>
        <w:fldChar w:fldCharType="end"/>
      </w:r>
      <w:r>
        <w:rPr>
          <w:i/>
          <w:iCs/>
          <w:sz w:val="20"/>
          <w:szCs w:val="20"/>
        </w:rPr>
        <w:t xml:space="preserve">) represents a complex weight vector used for virtualization of Rx antenna port u of receiver </w:t>
      </w:r>
      <w:r>
        <w:fldChar w:fldCharType="begin"/>
      </w:r>
      <w:r>
        <w:rPr>
          <w:i/>
          <w:iCs/>
          <w:position w:val="-5"/>
          <w:sz w:val="20"/>
          <w:szCs w:val="20"/>
        </w:rPr>
        <w:instrText>QUOTE _x0001_</w:instrText>
      </w:r>
      <w:r>
        <w:rPr>
          <w:i/>
          <w:iCs/>
          <w:position w:val="-5"/>
          <w:sz w:val="20"/>
          <w:szCs w:val="20"/>
        </w:rPr>
        <w:fldChar w:fldCharType="separate"/>
      </w:r>
      <w:r>
        <w:rPr>
          <w:i/>
          <w:iCs/>
          <w:noProof/>
          <w:position w:val="-5"/>
          <w:sz w:val="20"/>
          <w:szCs w:val="20"/>
        </w:rPr>
        <w:drawing>
          <wp:inline distT="0" distB="0" distL="0" distR="0" wp14:anchorId="395C1209" wp14:editId="1C2CBC5D">
            <wp:extent cx="83820" cy="152400"/>
            <wp:effectExtent l="0" t="0" r="0" b="0"/>
            <wp:docPr id="10" name="Image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-431" t="-236" r="-431" b="-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5"/>
          <w:sz w:val="20"/>
          <w:szCs w:val="20"/>
        </w:rPr>
        <w:fldChar w:fldCharType="end"/>
      </w:r>
      <w:r>
        <w:rPr>
          <w:i/>
          <w:iCs/>
          <w:sz w:val="20"/>
          <w:szCs w:val="20"/>
        </w:rPr>
        <w:t>.</w:t>
      </w:r>
    </w:p>
    <w:p w14:paraId="765FD82A" w14:textId="77777777" w:rsidR="004F341B" w:rsidRDefault="00000000">
      <w:pPr>
        <w:numPr>
          <w:ilvl w:val="0"/>
          <w:numId w:val="3"/>
        </w:numPr>
        <w:rPr>
          <w:i/>
          <w:iCs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Formula (3) can be understood according to equation (7.5-29) in TR38.901.</w:t>
      </w:r>
    </w:p>
    <w:p w14:paraId="55F4A962" w14:textId="77777777" w:rsidR="004F341B" w:rsidRDefault="004F341B">
      <w:pPr>
        <w:rPr>
          <w:color w:val="000000" w:themeColor="text1"/>
        </w:rPr>
      </w:pPr>
    </w:p>
    <w:p w14:paraId="2613049F" w14:textId="77777777" w:rsidR="004F341B" w:rsidRDefault="004F341B">
      <w:pPr>
        <w:rPr>
          <w:color w:val="000000" w:themeColor="text1"/>
        </w:rPr>
      </w:pPr>
    </w:p>
    <w:p w14:paraId="42A51071" w14:textId="77777777" w:rsidR="004F341B" w:rsidRDefault="00000000">
      <w:pPr>
        <w:rPr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The calibration procedure is followed as given </w:t>
      </w:r>
      <w:proofErr w:type="gramStart"/>
      <w:r>
        <w:rPr>
          <w:color w:val="000000" w:themeColor="text1"/>
          <w:sz w:val="20"/>
          <w:szCs w:val="20"/>
        </w:rPr>
        <w:t>in ;</w:t>
      </w:r>
      <w:proofErr w:type="gramEnd"/>
    </w:p>
    <w:p w14:paraId="5174A03B" w14:textId="77777777" w:rsidR="004F341B" w:rsidRDefault="00000000">
      <w:pPr>
        <w:rPr>
          <w:b/>
          <w:bCs/>
          <w:i/>
          <w:iCs/>
          <w:sz w:val="20"/>
          <w:szCs w:val="20"/>
          <w:highlight w:val="green"/>
          <w:lang w:eastAsia="ko-KR"/>
        </w:rPr>
      </w:pPr>
      <w:r>
        <w:rPr>
          <w:b/>
          <w:bCs/>
          <w:i/>
          <w:iCs/>
          <w:sz w:val="20"/>
          <w:szCs w:val="20"/>
          <w:highlight w:val="green"/>
          <w:lang w:eastAsia="ko-KR"/>
        </w:rPr>
        <w:t>Agreement</w:t>
      </w:r>
    </w:p>
    <w:p w14:paraId="0233E7D5" w14:textId="77777777" w:rsidR="004F341B" w:rsidRDefault="00000000">
      <w:pPr>
        <w:rPr>
          <w:rFonts w:cs="Calibri"/>
          <w:bCs/>
          <w:i/>
          <w:iCs/>
          <w:sz w:val="20"/>
          <w:szCs w:val="20"/>
        </w:rPr>
      </w:pPr>
      <w:r>
        <w:rPr>
          <w:rFonts w:cs="Calibri"/>
          <w:bCs/>
          <w:i/>
          <w:iCs/>
          <w:sz w:val="20"/>
          <w:szCs w:val="20"/>
        </w:rPr>
        <w:t>Regarding SLS calibration, consider the following metrics:</w:t>
      </w:r>
    </w:p>
    <w:p w14:paraId="1C51752D" w14:textId="77777777" w:rsidR="004F341B" w:rsidRDefault="00000000">
      <w:pPr>
        <w:numPr>
          <w:ilvl w:val="0"/>
          <w:numId w:val="3"/>
        </w:numPr>
        <w:rPr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lastRenderedPageBreak/>
        <w:t xml:space="preserve">For CDF of </w:t>
      </w:r>
      <w:proofErr w:type="spellStart"/>
      <w:r>
        <w:rPr>
          <w:rFonts w:cs="Calibri"/>
          <w:i/>
          <w:iCs/>
          <w:sz w:val="20"/>
          <w:szCs w:val="20"/>
        </w:rPr>
        <w:t>gNB</w:t>
      </w:r>
      <w:proofErr w:type="spellEnd"/>
      <w:r>
        <w:rPr>
          <w:rFonts w:cs="Calibri"/>
          <w:i/>
          <w:iCs/>
          <w:sz w:val="20"/>
          <w:szCs w:val="20"/>
        </w:rPr>
        <w:t>-UE coupling loss, only the coupling losses between each UE and its serving cell are collected for CDF statistic.</w:t>
      </w:r>
    </w:p>
    <w:p w14:paraId="7C090BEC" w14:textId="77777777" w:rsidR="004F341B" w:rsidRDefault="00000000">
      <w:pPr>
        <w:numPr>
          <w:ilvl w:val="1"/>
          <w:numId w:val="3"/>
        </w:numPr>
        <w:rPr>
          <w:i/>
          <w:iCs/>
          <w:sz w:val="20"/>
          <w:szCs w:val="20"/>
        </w:rPr>
      </w:pPr>
      <w:r>
        <w:fldChar w:fldCharType="begin"/>
      </w:r>
      <w:r>
        <w:rPr>
          <w:i/>
          <w:iCs/>
          <w:position w:val="-5"/>
          <w:sz w:val="20"/>
          <w:szCs w:val="20"/>
        </w:rPr>
        <w:instrText>QUOTE _x0001_</w:instrText>
      </w:r>
      <w:r>
        <w:rPr>
          <w:i/>
          <w:iCs/>
          <w:position w:val="-5"/>
          <w:sz w:val="20"/>
          <w:szCs w:val="20"/>
        </w:rPr>
        <w:fldChar w:fldCharType="separate"/>
      </w:r>
      <w:r>
        <w:rPr>
          <w:i/>
          <w:iCs/>
          <w:noProof/>
          <w:position w:val="-5"/>
          <w:sz w:val="20"/>
          <w:szCs w:val="20"/>
        </w:rPr>
        <w:drawing>
          <wp:inline distT="0" distB="0" distL="0" distR="0" wp14:anchorId="7B42EE22" wp14:editId="51B690F3">
            <wp:extent cx="160020" cy="152400"/>
            <wp:effectExtent l="0" t="0" r="0" b="0"/>
            <wp:docPr id="11" name="Image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4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225" t="-236" r="-225" b="-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5"/>
          <w:sz w:val="20"/>
          <w:szCs w:val="20"/>
        </w:rPr>
        <w:fldChar w:fldCharType="end"/>
      </w:r>
      <w:r>
        <w:rPr>
          <w:rFonts w:cs="Calibri"/>
          <w:i/>
          <w:iCs/>
          <w:sz w:val="20"/>
          <w:szCs w:val="20"/>
        </w:rPr>
        <w:t xml:space="preserve"> and </w:t>
      </w:r>
      <w:r>
        <w:fldChar w:fldCharType="begin"/>
      </w:r>
      <w:r>
        <w:rPr>
          <w:i/>
          <w:iCs/>
          <w:position w:val="-5"/>
          <w:sz w:val="20"/>
          <w:szCs w:val="20"/>
        </w:rPr>
        <w:instrText>QUOTE _x0001_</w:instrText>
      </w:r>
      <w:r>
        <w:rPr>
          <w:i/>
          <w:iCs/>
          <w:position w:val="-5"/>
          <w:sz w:val="20"/>
          <w:szCs w:val="20"/>
        </w:rPr>
        <w:fldChar w:fldCharType="separate"/>
      </w:r>
      <w:r>
        <w:rPr>
          <w:i/>
          <w:iCs/>
          <w:noProof/>
          <w:position w:val="-5"/>
          <w:sz w:val="20"/>
          <w:szCs w:val="20"/>
        </w:rPr>
        <w:drawing>
          <wp:inline distT="0" distB="0" distL="0" distR="0" wp14:anchorId="63E3AB31" wp14:editId="302B6CBD">
            <wp:extent cx="152400" cy="152400"/>
            <wp:effectExtent l="0" t="0" r="0" b="0"/>
            <wp:docPr id="12" name="Image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5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-236" t="-236" r="-236" b="-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5"/>
          <w:sz w:val="20"/>
          <w:szCs w:val="20"/>
        </w:rPr>
        <w:fldChar w:fldCharType="end"/>
      </w:r>
      <w:r>
        <w:rPr>
          <w:rFonts w:cs="Calibri"/>
          <w:i/>
          <w:iCs/>
          <w:sz w:val="20"/>
          <w:szCs w:val="20"/>
        </w:rPr>
        <w:t xml:space="preserve"> are determined by selecting the best beam pair of the UE and its serving cell with the criteria of maximizing receive power of the UE.</w:t>
      </w:r>
    </w:p>
    <w:p w14:paraId="021B6602" w14:textId="77777777" w:rsidR="004F341B" w:rsidRDefault="00000000">
      <w:pPr>
        <w:numPr>
          <w:ilvl w:val="0"/>
          <w:numId w:val="3"/>
        </w:numPr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For CDF of </w:t>
      </w:r>
      <w:proofErr w:type="spellStart"/>
      <w:r>
        <w:rPr>
          <w:rFonts w:cs="Calibri"/>
          <w:i/>
          <w:iCs/>
          <w:sz w:val="20"/>
          <w:szCs w:val="20"/>
        </w:rPr>
        <w:t>gNB-gNB</w:t>
      </w:r>
      <w:proofErr w:type="spellEnd"/>
      <w:r>
        <w:rPr>
          <w:rFonts w:cs="Calibri"/>
          <w:i/>
          <w:iCs/>
          <w:sz w:val="20"/>
          <w:szCs w:val="20"/>
        </w:rPr>
        <w:t xml:space="preserve"> coupling loss, </w:t>
      </w:r>
    </w:p>
    <w:p w14:paraId="70250535" w14:textId="77777777" w:rsidR="004F341B" w:rsidRDefault="00000000">
      <w:pPr>
        <w:numPr>
          <w:ilvl w:val="1"/>
          <w:numId w:val="3"/>
        </w:numPr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For one SLS drop, generate channels among </w:t>
      </w:r>
      <w:proofErr w:type="spellStart"/>
      <w:r>
        <w:rPr>
          <w:rFonts w:cs="Calibri"/>
          <w:i/>
          <w:iCs/>
          <w:sz w:val="20"/>
          <w:szCs w:val="20"/>
        </w:rPr>
        <w:t>gNBs</w:t>
      </w:r>
      <w:proofErr w:type="spellEnd"/>
      <w:r>
        <w:rPr>
          <w:rFonts w:cs="Calibri"/>
          <w:i/>
          <w:iCs/>
          <w:sz w:val="20"/>
          <w:szCs w:val="20"/>
        </w:rPr>
        <w:t xml:space="preserve">, calculate and collect the coupling loss for each </w:t>
      </w:r>
      <w:proofErr w:type="spellStart"/>
      <w:r>
        <w:rPr>
          <w:rFonts w:cs="Calibri"/>
          <w:i/>
          <w:iCs/>
          <w:sz w:val="20"/>
          <w:szCs w:val="20"/>
        </w:rPr>
        <w:t>gNB</w:t>
      </w:r>
      <w:proofErr w:type="spellEnd"/>
      <w:r>
        <w:rPr>
          <w:rFonts w:cs="Calibri"/>
          <w:i/>
          <w:iCs/>
          <w:sz w:val="20"/>
          <w:szCs w:val="20"/>
        </w:rPr>
        <w:t xml:space="preserve"> </w:t>
      </w:r>
      <w:proofErr w:type="gramStart"/>
      <w:r>
        <w:rPr>
          <w:rFonts w:cs="Calibri"/>
          <w:i/>
          <w:iCs/>
          <w:sz w:val="20"/>
          <w:szCs w:val="20"/>
        </w:rPr>
        <w:t>pair</w:t>
      </w:r>
      <w:proofErr w:type="gramEnd"/>
    </w:p>
    <w:p w14:paraId="5745C215" w14:textId="77777777" w:rsidR="004F341B" w:rsidRDefault="00000000">
      <w:pPr>
        <w:numPr>
          <w:ilvl w:val="2"/>
          <w:numId w:val="3"/>
        </w:numPr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The two </w:t>
      </w:r>
      <w:proofErr w:type="spellStart"/>
      <w:r>
        <w:rPr>
          <w:rFonts w:cs="Calibri"/>
          <w:i/>
          <w:iCs/>
          <w:sz w:val="20"/>
          <w:szCs w:val="20"/>
        </w:rPr>
        <w:t>gNBs</w:t>
      </w:r>
      <w:proofErr w:type="spellEnd"/>
      <w:r>
        <w:rPr>
          <w:rFonts w:cs="Calibri"/>
          <w:i/>
          <w:iCs/>
          <w:sz w:val="20"/>
          <w:szCs w:val="20"/>
        </w:rPr>
        <w:t xml:space="preserve"> in each </w:t>
      </w:r>
      <w:proofErr w:type="spellStart"/>
      <w:r>
        <w:rPr>
          <w:rFonts w:cs="Calibri"/>
          <w:i/>
          <w:iCs/>
          <w:sz w:val="20"/>
          <w:szCs w:val="20"/>
        </w:rPr>
        <w:t>gNB</w:t>
      </w:r>
      <w:proofErr w:type="spellEnd"/>
      <w:r>
        <w:rPr>
          <w:rFonts w:cs="Calibri"/>
          <w:i/>
          <w:iCs/>
          <w:sz w:val="20"/>
          <w:szCs w:val="20"/>
        </w:rPr>
        <w:t xml:space="preserve"> pair should be from different sites.</w:t>
      </w:r>
    </w:p>
    <w:p w14:paraId="2A338BE7" w14:textId="77777777" w:rsidR="004F341B" w:rsidRDefault="00000000">
      <w:pPr>
        <w:numPr>
          <w:ilvl w:val="2"/>
          <w:numId w:val="3"/>
        </w:numPr>
        <w:rPr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Both </w:t>
      </w:r>
      <w:r>
        <w:fldChar w:fldCharType="begin"/>
      </w:r>
      <w:r>
        <w:rPr>
          <w:i/>
          <w:iCs/>
          <w:position w:val="-5"/>
          <w:sz w:val="20"/>
          <w:szCs w:val="20"/>
        </w:rPr>
        <w:instrText>QUOTE _x0001_</w:instrText>
      </w:r>
      <w:r>
        <w:rPr>
          <w:i/>
          <w:iCs/>
          <w:position w:val="-5"/>
          <w:sz w:val="20"/>
          <w:szCs w:val="20"/>
        </w:rPr>
        <w:fldChar w:fldCharType="separate"/>
      </w:r>
      <w:r>
        <w:rPr>
          <w:i/>
          <w:iCs/>
          <w:noProof/>
          <w:position w:val="-5"/>
          <w:sz w:val="20"/>
          <w:szCs w:val="20"/>
        </w:rPr>
        <w:drawing>
          <wp:inline distT="0" distB="0" distL="0" distR="0" wp14:anchorId="0CF764C2" wp14:editId="09E10EA4">
            <wp:extent cx="144780" cy="152400"/>
            <wp:effectExtent l="0" t="0" r="0" b="0"/>
            <wp:docPr id="13" name="Image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5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-249" t="-236" r="-249" b="-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5"/>
          <w:sz w:val="20"/>
          <w:szCs w:val="20"/>
        </w:rPr>
        <w:fldChar w:fldCharType="end"/>
      </w:r>
      <w:r>
        <w:rPr>
          <w:rFonts w:cs="Calibri"/>
          <w:i/>
          <w:iCs/>
          <w:sz w:val="20"/>
          <w:szCs w:val="20"/>
        </w:rPr>
        <w:t xml:space="preserve"> and </w:t>
      </w:r>
      <w:r>
        <w:fldChar w:fldCharType="begin"/>
      </w:r>
      <w:r>
        <w:rPr>
          <w:i/>
          <w:iCs/>
          <w:position w:val="-5"/>
          <w:sz w:val="20"/>
          <w:szCs w:val="20"/>
        </w:rPr>
        <w:instrText>QUOTE _x0001_</w:instrText>
      </w:r>
      <w:r>
        <w:rPr>
          <w:i/>
          <w:iCs/>
          <w:position w:val="-5"/>
          <w:sz w:val="20"/>
          <w:szCs w:val="20"/>
        </w:rPr>
        <w:fldChar w:fldCharType="separate"/>
      </w:r>
      <w:r>
        <w:rPr>
          <w:i/>
          <w:iCs/>
          <w:noProof/>
          <w:position w:val="-5"/>
          <w:sz w:val="20"/>
          <w:szCs w:val="20"/>
        </w:rPr>
        <w:drawing>
          <wp:inline distT="0" distB="0" distL="0" distR="0" wp14:anchorId="19FB6AD8" wp14:editId="5D3E9BF6">
            <wp:extent cx="144780" cy="152400"/>
            <wp:effectExtent l="0" t="0" r="0" b="0"/>
            <wp:docPr id="14" name="Image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5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-249" t="-236" r="-249" b="-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5"/>
          <w:sz w:val="20"/>
          <w:szCs w:val="20"/>
        </w:rPr>
        <w:fldChar w:fldCharType="end"/>
      </w:r>
      <w:r>
        <w:rPr>
          <w:rFonts w:cs="Calibri"/>
          <w:i/>
          <w:iCs/>
          <w:sz w:val="20"/>
          <w:szCs w:val="20"/>
        </w:rPr>
        <w:t xml:space="preserve"> are randomly selected for calculating the coupling loss for each </w:t>
      </w:r>
      <w:proofErr w:type="spellStart"/>
      <w:r>
        <w:rPr>
          <w:rFonts w:cs="Calibri"/>
          <w:i/>
          <w:iCs/>
          <w:sz w:val="20"/>
          <w:szCs w:val="20"/>
        </w:rPr>
        <w:t>gNB</w:t>
      </w:r>
      <w:proofErr w:type="spellEnd"/>
      <w:r>
        <w:rPr>
          <w:rFonts w:cs="Calibri"/>
          <w:i/>
          <w:iCs/>
          <w:sz w:val="20"/>
          <w:szCs w:val="20"/>
        </w:rPr>
        <w:t xml:space="preserve"> pair.</w:t>
      </w:r>
    </w:p>
    <w:p w14:paraId="168AE274" w14:textId="77777777" w:rsidR="004F341B" w:rsidRDefault="00000000">
      <w:pPr>
        <w:numPr>
          <w:ilvl w:val="1"/>
          <w:numId w:val="3"/>
        </w:numPr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Companies to run enough SLS drops and report the number of SLS drops when plotting the CDF using the collected coupling losses.</w:t>
      </w:r>
    </w:p>
    <w:p w14:paraId="691E4532" w14:textId="77777777" w:rsidR="004F341B" w:rsidRDefault="00000000">
      <w:pPr>
        <w:numPr>
          <w:ilvl w:val="0"/>
          <w:numId w:val="3"/>
        </w:numPr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For CDF of UE-UE coupling loss,</w:t>
      </w:r>
    </w:p>
    <w:p w14:paraId="49516CD3" w14:textId="77777777" w:rsidR="004F341B" w:rsidRDefault="00000000">
      <w:pPr>
        <w:numPr>
          <w:ilvl w:val="1"/>
          <w:numId w:val="3"/>
        </w:numPr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For one SLS drop, drop UEs in the network and generate channels among UEs, calculate and collect the coupling loss for each UE </w:t>
      </w:r>
      <w:proofErr w:type="gramStart"/>
      <w:r>
        <w:rPr>
          <w:rFonts w:cs="Calibri"/>
          <w:i/>
          <w:iCs/>
          <w:sz w:val="20"/>
          <w:szCs w:val="20"/>
        </w:rPr>
        <w:t>pair</w:t>
      </w:r>
      <w:proofErr w:type="gramEnd"/>
    </w:p>
    <w:p w14:paraId="53C8B670" w14:textId="77777777" w:rsidR="004F341B" w:rsidRDefault="00000000">
      <w:pPr>
        <w:numPr>
          <w:ilvl w:val="2"/>
          <w:numId w:val="3"/>
        </w:numPr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If the 2D distance between two UEs in a UE pair is larger than 50m, the UE pair is not considered for statistic.</w:t>
      </w:r>
    </w:p>
    <w:p w14:paraId="560BD415" w14:textId="77777777" w:rsidR="004F341B" w:rsidRDefault="00000000">
      <w:pPr>
        <w:numPr>
          <w:ilvl w:val="2"/>
          <w:numId w:val="3"/>
        </w:numPr>
        <w:rPr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For each UE, </w:t>
      </w:r>
      <w:r>
        <w:fldChar w:fldCharType="begin"/>
      </w:r>
      <w:r>
        <w:rPr>
          <w:i/>
          <w:iCs/>
          <w:position w:val="-5"/>
          <w:sz w:val="20"/>
          <w:szCs w:val="20"/>
        </w:rPr>
        <w:instrText>QUOTE _x0001_</w:instrText>
      </w:r>
      <w:r>
        <w:rPr>
          <w:i/>
          <w:iCs/>
          <w:position w:val="-5"/>
          <w:sz w:val="20"/>
          <w:szCs w:val="20"/>
        </w:rPr>
        <w:fldChar w:fldCharType="separate"/>
      </w:r>
      <w:r>
        <w:rPr>
          <w:i/>
          <w:iCs/>
          <w:noProof/>
          <w:position w:val="-5"/>
          <w:sz w:val="20"/>
          <w:szCs w:val="20"/>
        </w:rPr>
        <w:drawing>
          <wp:inline distT="0" distB="0" distL="0" distR="0" wp14:anchorId="45F20EBF" wp14:editId="722CA22E">
            <wp:extent cx="144780" cy="152400"/>
            <wp:effectExtent l="0" t="0" r="0" b="0"/>
            <wp:docPr id="15" name="Image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5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-249" t="-236" r="-249" b="-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5"/>
          <w:sz w:val="20"/>
          <w:szCs w:val="20"/>
        </w:rPr>
        <w:fldChar w:fldCharType="end"/>
      </w:r>
      <w:r>
        <w:rPr>
          <w:rFonts w:cs="Calibri"/>
          <w:i/>
          <w:iCs/>
          <w:sz w:val="20"/>
          <w:szCs w:val="20"/>
        </w:rPr>
        <w:t xml:space="preserve"> and </w:t>
      </w:r>
      <w:r>
        <w:fldChar w:fldCharType="begin"/>
      </w:r>
      <w:r>
        <w:rPr>
          <w:i/>
          <w:iCs/>
          <w:position w:val="-5"/>
          <w:sz w:val="20"/>
          <w:szCs w:val="20"/>
        </w:rPr>
        <w:instrText>QUOTE _x0001_</w:instrText>
      </w:r>
      <w:r>
        <w:rPr>
          <w:i/>
          <w:iCs/>
          <w:position w:val="-5"/>
          <w:sz w:val="20"/>
          <w:szCs w:val="20"/>
        </w:rPr>
        <w:fldChar w:fldCharType="separate"/>
      </w:r>
      <w:r>
        <w:rPr>
          <w:i/>
          <w:iCs/>
          <w:noProof/>
          <w:position w:val="-5"/>
          <w:sz w:val="20"/>
          <w:szCs w:val="20"/>
        </w:rPr>
        <w:drawing>
          <wp:inline distT="0" distB="0" distL="0" distR="0" wp14:anchorId="3556B506" wp14:editId="5A6B79D3">
            <wp:extent cx="144780" cy="152400"/>
            <wp:effectExtent l="0" t="0" r="0" b="0"/>
            <wp:docPr id="16" name="Image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5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-249" t="-236" r="-249" b="-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5"/>
          <w:sz w:val="20"/>
          <w:szCs w:val="20"/>
        </w:rPr>
        <w:fldChar w:fldCharType="end"/>
      </w:r>
      <w:r>
        <w:rPr>
          <w:rFonts w:cs="Calibri"/>
          <w:i/>
          <w:iCs/>
          <w:sz w:val="20"/>
          <w:szCs w:val="20"/>
        </w:rPr>
        <w:t xml:space="preserve"> is determined based on the best beam pair of the UE and its serving cell.</w:t>
      </w:r>
    </w:p>
    <w:p w14:paraId="1ED40AF7" w14:textId="77777777" w:rsidR="004F341B" w:rsidRDefault="00000000">
      <w:pPr>
        <w:numPr>
          <w:ilvl w:val="1"/>
          <w:numId w:val="3"/>
        </w:numPr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Companies to run enough SLS drops and report the number of SLS drops when plotting the CDF using the collected coupling losses.</w:t>
      </w:r>
    </w:p>
    <w:p w14:paraId="47B55755" w14:textId="77777777" w:rsidR="004F341B" w:rsidRDefault="00000000">
      <w:pPr>
        <w:numPr>
          <w:ilvl w:val="0"/>
          <w:numId w:val="3"/>
        </w:numPr>
        <w:rPr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Note1: Formula (2) for CL with averaging across all the Tx/Rx ports is used for coupling loss calculation above, i.e., </w:t>
      </w:r>
      <w:r>
        <w:fldChar w:fldCharType="begin"/>
      </w:r>
      <w:r>
        <w:rPr>
          <w:i/>
          <w:iCs/>
          <w:position w:val="-11"/>
          <w:sz w:val="20"/>
          <w:szCs w:val="20"/>
        </w:rPr>
        <w:instrText>QUOTE _x0001_</w:instrText>
      </w:r>
      <w:r>
        <w:rPr>
          <w:i/>
          <w:iCs/>
          <w:position w:val="-11"/>
          <w:sz w:val="20"/>
          <w:szCs w:val="20"/>
        </w:rPr>
        <w:fldChar w:fldCharType="separate"/>
      </w:r>
      <w:r>
        <w:rPr>
          <w:i/>
          <w:iCs/>
          <w:noProof/>
          <w:position w:val="-11"/>
          <w:sz w:val="20"/>
          <w:szCs w:val="20"/>
        </w:rPr>
        <w:drawing>
          <wp:inline distT="0" distB="0" distL="0" distR="0" wp14:anchorId="682D7AE7" wp14:editId="33D0D54C">
            <wp:extent cx="4412615" cy="228600"/>
            <wp:effectExtent l="0" t="0" r="0" b="0"/>
            <wp:docPr id="17" name="Image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5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-8" t="-157" r="-8" b="-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61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position w:val="-11"/>
          <w:sz w:val="20"/>
          <w:szCs w:val="20"/>
        </w:rPr>
        <w:fldChar w:fldCharType="end"/>
      </w:r>
    </w:p>
    <w:p w14:paraId="12E43B29" w14:textId="77777777" w:rsidR="004F341B" w:rsidRDefault="00000000">
      <w:pPr>
        <w:pStyle w:val="a8"/>
        <w:numPr>
          <w:ilvl w:val="0"/>
          <w:numId w:val="3"/>
        </w:numPr>
        <w:spacing w:after="180"/>
        <w:contextualSpacing/>
        <w:jc w:val="left"/>
        <w:textAlignment w:val="baseline"/>
        <w:rPr>
          <w:rFonts w:cs="Calibri"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Note 2: The beams for above cases are selected based on a defined set of beams for FR1 and FR2 in the table for calibration assumptions. </w:t>
      </w:r>
    </w:p>
    <w:p w14:paraId="58BE6138" w14:textId="77777777" w:rsidR="004F341B" w:rsidRDefault="004F341B">
      <w:pPr>
        <w:pStyle w:val="a8"/>
        <w:spacing w:after="180"/>
        <w:contextualSpacing/>
        <w:jc w:val="left"/>
        <w:textAlignment w:val="baseline"/>
        <w:rPr>
          <w:rFonts w:cs="Calibri"/>
          <w:i/>
          <w:iCs/>
          <w:sz w:val="20"/>
          <w:szCs w:val="20"/>
        </w:rPr>
      </w:pPr>
    </w:p>
    <w:p w14:paraId="1AA48C92" w14:textId="77777777" w:rsidR="004F341B" w:rsidRDefault="00000000">
      <w:pPr>
        <w:jc w:val="center"/>
      </w:pPr>
      <w:r>
        <w:rPr>
          <w:noProof/>
        </w:rPr>
        <w:drawing>
          <wp:anchor distT="0" distB="0" distL="0" distR="0" simplePos="0" relativeHeight="2" behindDoc="0" locked="0" layoutInCell="1" allowOverlap="1" wp14:anchorId="6D93953B" wp14:editId="51D0E35B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886835" cy="2186940"/>
            <wp:effectExtent l="0" t="0" r="0" b="0"/>
            <wp:wrapTopAndBottom/>
            <wp:docPr id="18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835" cy="218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</w:rPr>
        <w:t xml:space="preserve">Fig. 1 CL </w:t>
      </w:r>
      <w:proofErr w:type="gramStart"/>
      <w:r>
        <w:rPr>
          <w:color w:val="000000" w:themeColor="text1"/>
        </w:rPr>
        <w:t xml:space="preserve">for  </w:t>
      </w:r>
      <w:proofErr w:type="spellStart"/>
      <w:r>
        <w:rPr>
          <w:color w:val="000000" w:themeColor="text1"/>
        </w:rPr>
        <w:t>gNB</w:t>
      </w:r>
      <w:proofErr w:type="spellEnd"/>
      <w:proofErr w:type="gramEnd"/>
      <w:r>
        <w:rPr>
          <w:color w:val="000000" w:themeColor="text1"/>
        </w:rPr>
        <w:t xml:space="preserve">-UE links and </w:t>
      </w:r>
      <w:proofErr w:type="spellStart"/>
      <w:r>
        <w:rPr>
          <w:color w:val="000000" w:themeColor="text1"/>
        </w:rPr>
        <w:t>gNB-gNB</w:t>
      </w:r>
      <w:proofErr w:type="spellEnd"/>
      <w:r>
        <w:rPr>
          <w:color w:val="000000" w:themeColor="text1"/>
        </w:rPr>
        <w:t xml:space="preserve"> links(FR1, Urban macro scenario)</w:t>
      </w:r>
    </w:p>
    <w:p w14:paraId="35B16DBE" w14:textId="77777777" w:rsidR="004F341B" w:rsidRDefault="004F341B">
      <w:pPr>
        <w:jc w:val="center"/>
        <w:rPr>
          <w:color w:val="000000" w:themeColor="text1"/>
        </w:rPr>
      </w:pPr>
    </w:p>
    <w:p w14:paraId="72CBEE68" w14:textId="77777777" w:rsidR="004F341B" w:rsidRDefault="004F341B">
      <w:pPr>
        <w:jc w:val="center"/>
        <w:rPr>
          <w:color w:val="000000" w:themeColor="text1"/>
        </w:rPr>
      </w:pPr>
    </w:p>
    <w:p w14:paraId="14860A90" w14:textId="77777777" w:rsidR="004F341B" w:rsidRDefault="00000000">
      <w:pPr>
        <w:rPr>
          <w:b/>
          <w:bCs/>
        </w:rPr>
      </w:pPr>
      <w:r>
        <w:rPr>
          <w:b/>
          <w:bCs/>
          <w:color w:val="000000" w:themeColor="text1"/>
        </w:rPr>
        <w:t xml:space="preserve">Observation 1: The CL for </w:t>
      </w:r>
      <w:proofErr w:type="spellStart"/>
      <w:r>
        <w:rPr>
          <w:b/>
          <w:bCs/>
          <w:color w:val="000000" w:themeColor="text1"/>
        </w:rPr>
        <w:t>gNB</w:t>
      </w:r>
      <w:proofErr w:type="spellEnd"/>
      <w:r>
        <w:rPr>
          <w:b/>
          <w:bCs/>
          <w:color w:val="000000" w:themeColor="text1"/>
        </w:rPr>
        <w:t xml:space="preserve">-UE links and </w:t>
      </w:r>
      <w:proofErr w:type="spellStart"/>
      <w:r>
        <w:rPr>
          <w:b/>
          <w:bCs/>
          <w:color w:val="000000" w:themeColor="text1"/>
        </w:rPr>
        <w:t>gNB-gNB</w:t>
      </w:r>
      <w:proofErr w:type="spellEnd"/>
      <w:r>
        <w:rPr>
          <w:b/>
          <w:bCs/>
          <w:color w:val="000000" w:themeColor="text1"/>
        </w:rPr>
        <w:t xml:space="preserve"> links ranges from approximately 80dB to 150dB and 90dB to 160dB respectively for FR1, Urban macro scenario. </w:t>
      </w:r>
    </w:p>
    <w:p w14:paraId="754FF6AC" w14:textId="77777777" w:rsidR="004F341B" w:rsidRDefault="004F341B">
      <w:pPr>
        <w:jc w:val="center"/>
        <w:rPr>
          <w:color w:val="000000" w:themeColor="text1"/>
        </w:rPr>
      </w:pPr>
    </w:p>
    <w:p w14:paraId="17B725D0" w14:textId="77777777" w:rsidR="004F341B" w:rsidRDefault="00000000">
      <w:r>
        <w:t>The simulation assumptions are given below.</w:t>
      </w:r>
    </w:p>
    <w:tbl>
      <w:tblPr>
        <w:tblW w:w="9314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58"/>
        <w:gridCol w:w="4656"/>
      </w:tblGrid>
      <w:tr w:rsidR="004F341B" w14:paraId="6C7FF9DC" w14:textId="77777777"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3263D1" w14:textId="77777777" w:rsidR="004F341B" w:rsidRDefault="00000000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Parameter</w:t>
            </w:r>
          </w:p>
        </w:tc>
        <w:tc>
          <w:tcPr>
            <w:tcW w:w="4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C3F29" w14:textId="77777777" w:rsidR="004F341B" w:rsidRDefault="00000000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</w:tr>
      <w:tr w:rsidR="004F341B" w14:paraId="4F41AF53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04A15168" w14:textId="77777777" w:rsidR="004F341B" w:rsidRDefault="00000000">
            <w:pPr>
              <w:pStyle w:val="TableContents"/>
            </w:pPr>
            <w:r>
              <w:t>Cell ISD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CA639" w14:textId="77777777" w:rsidR="004F341B" w:rsidRDefault="00000000">
            <w:pPr>
              <w:pStyle w:val="TableContents"/>
            </w:pPr>
            <w:r>
              <w:t>500m</w:t>
            </w:r>
          </w:p>
        </w:tc>
      </w:tr>
      <w:tr w:rsidR="004F341B" w14:paraId="61859F9D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25EFDC18" w14:textId="77777777" w:rsidR="004F341B" w:rsidRDefault="00000000">
            <w:pPr>
              <w:pStyle w:val="TableContents"/>
            </w:pPr>
            <w:r>
              <w:t>Channel model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B4F7E" w14:textId="77777777" w:rsidR="004F341B" w:rsidRDefault="00000000">
            <w:pPr>
              <w:pStyle w:val="TableContents"/>
            </w:pPr>
            <w:proofErr w:type="spellStart"/>
            <w:r>
              <w:t>UMa</w:t>
            </w:r>
            <w:proofErr w:type="spellEnd"/>
            <w:r>
              <w:t xml:space="preserve"> 38.901</w:t>
            </w:r>
          </w:p>
        </w:tc>
      </w:tr>
      <w:tr w:rsidR="004F341B" w14:paraId="5ED55B2A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5E493A34" w14:textId="77777777" w:rsidR="004F341B" w:rsidRDefault="00000000">
            <w:pPr>
              <w:pStyle w:val="TableContents"/>
            </w:pPr>
            <w:r>
              <w:t>Carrier frequency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AB382" w14:textId="77777777" w:rsidR="004F341B" w:rsidRDefault="00000000">
            <w:pPr>
              <w:pStyle w:val="TableContents"/>
            </w:pPr>
            <w:r>
              <w:t>4GHz</w:t>
            </w:r>
          </w:p>
        </w:tc>
      </w:tr>
      <w:tr w:rsidR="004F341B" w14:paraId="66B48D7F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3A174B66" w14:textId="77777777" w:rsidR="004F341B" w:rsidRDefault="00000000">
            <w:pPr>
              <w:pStyle w:val="TableContents"/>
            </w:pPr>
            <w:r>
              <w:t>System bandwidth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46C89" w14:textId="77777777" w:rsidR="004F341B" w:rsidRDefault="00000000">
            <w:pPr>
              <w:pStyle w:val="TableContents"/>
            </w:pPr>
            <w:r>
              <w:t>100MHz</w:t>
            </w:r>
          </w:p>
        </w:tc>
      </w:tr>
      <w:tr w:rsidR="004F341B" w14:paraId="6552D40D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37A53726" w14:textId="77777777" w:rsidR="004F341B" w:rsidRDefault="00000000">
            <w:pPr>
              <w:pStyle w:val="TableContents"/>
            </w:pPr>
            <w:r>
              <w:t>Subcarrier spacing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189DD" w14:textId="77777777" w:rsidR="004F341B" w:rsidRDefault="00000000">
            <w:pPr>
              <w:pStyle w:val="TableContents"/>
            </w:pPr>
            <w:r>
              <w:t>30KHz</w:t>
            </w:r>
          </w:p>
        </w:tc>
      </w:tr>
      <w:tr w:rsidR="004F341B" w14:paraId="4723CB46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359DDEB9" w14:textId="77777777" w:rsidR="004F341B" w:rsidRDefault="00000000">
            <w:pPr>
              <w:pStyle w:val="TableContents"/>
            </w:pPr>
            <w:r>
              <w:t>UE drop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63D8C" w14:textId="77777777" w:rsidR="004F341B" w:rsidRDefault="00000000">
            <w:pPr>
              <w:pStyle w:val="TableContents"/>
            </w:pPr>
            <w:r>
              <w:t>Alt-2 (baseline), R=25m</w:t>
            </w:r>
          </w:p>
        </w:tc>
      </w:tr>
      <w:tr w:rsidR="004F341B" w14:paraId="2AFF2FA3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433A04BC" w14:textId="77777777" w:rsidR="004F341B" w:rsidRDefault="00000000">
            <w:pPr>
              <w:pStyle w:val="TableContents"/>
            </w:pPr>
            <w:proofErr w:type="spellStart"/>
            <w:r>
              <w:t>gNB</w:t>
            </w:r>
            <w:proofErr w:type="spellEnd"/>
            <w:r>
              <w:t xml:space="preserve"> height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48501" w14:textId="77777777" w:rsidR="004F341B" w:rsidRDefault="00000000">
            <w:pPr>
              <w:pStyle w:val="TableContents"/>
            </w:pPr>
            <w:r>
              <w:t>25m</w:t>
            </w:r>
          </w:p>
        </w:tc>
      </w:tr>
      <w:tr w:rsidR="004F341B" w14:paraId="3CEA16C7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1AD34381" w14:textId="77777777" w:rsidR="004F341B" w:rsidRDefault="00000000">
            <w:pPr>
              <w:pStyle w:val="TableContents"/>
            </w:pPr>
            <w:r>
              <w:t>UE height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163B0" w14:textId="77777777" w:rsidR="004F341B" w:rsidRDefault="00000000">
            <w:pPr>
              <w:pStyle w:val="TableContents"/>
            </w:pPr>
            <w:r>
              <w:t>1.5m</w:t>
            </w:r>
          </w:p>
        </w:tc>
      </w:tr>
      <w:tr w:rsidR="004F341B" w14:paraId="0C6FF148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7B78A0D6" w14:textId="77777777" w:rsidR="004F341B" w:rsidRDefault="00000000">
            <w:pPr>
              <w:pStyle w:val="TableContents"/>
            </w:pPr>
            <w:proofErr w:type="spellStart"/>
            <w:r>
              <w:t>gNB</w:t>
            </w:r>
            <w:proofErr w:type="spellEnd"/>
            <w:r>
              <w:t xml:space="preserve"> antenna configuration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F3C0F" w14:textId="77777777" w:rsidR="004F341B" w:rsidRDefault="00000000">
            <w:pPr>
              <w:overflowPunct w:val="0"/>
              <w:spacing w:after="0"/>
              <w:contextualSpacing/>
            </w:pPr>
            <w:r>
              <w:t>(</w:t>
            </w:r>
            <w:proofErr w:type="spellStart"/>
            <w:proofErr w:type="gramStart"/>
            <w:r>
              <w:t>M,N</w:t>
            </w:r>
            <w:proofErr w:type="gramEnd"/>
            <w:r>
              <w:t>,P,Mg,Ng,Mp,Np,dV,dH</w:t>
            </w:r>
            <w:proofErr w:type="spellEnd"/>
            <w:r>
              <w:t>) = (8, 8, 2, 1, 1, 2, 8, 0.8, 0.5)</w:t>
            </w:r>
          </w:p>
        </w:tc>
      </w:tr>
      <w:tr w:rsidR="004F341B" w14:paraId="032EA67E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3D8804DD" w14:textId="77777777" w:rsidR="004F341B" w:rsidRDefault="00000000">
            <w:pPr>
              <w:pStyle w:val="TableContents"/>
            </w:pPr>
            <w:r>
              <w:t>UE antenna configuration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F647C" w14:textId="77777777" w:rsidR="004F341B" w:rsidRDefault="00000000">
            <w:pPr>
              <w:overflowPunct w:val="0"/>
              <w:spacing w:after="0"/>
              <w:contextualSpacing/>
            </w:pPr>
            <w:r>
              <w:t>(</w:t>
            </w:r>
            <w:proofErr w:type="spellStart"/>
            <w:proofErr w:type="gramStart"/>
            <w:r>
              <w:t>M,N</w:t>
            </w:r>
            <w:proofErr w:type="gramEnd"/>
            <w:r>
              <w:t>,P,Mg,Ng,Mp,Np,dV,dH</w:t>
            </w:r>
            <w:proofErr w:type="spellEnd"/>
            <w:r>
              <w:t>) = (1, 2, 2, 1, 1, 1, 2, 0.5, 0.5)</w:t>
            </w:r>
          </w:p>
        </w:tc>
      </w:tr>
      <w:tr w:rsidR="004F341B" w14:paraId="5176BC30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2FB5E127" w14:textId="77777777" w:rsidR="004F341B" w:rsidRDefault="00000000">
            <w:pPr>
              <w:pStyle w:val="TableContents"/>
            </w:pPr>
            <w:proofErr w:type="spellStart"/>
            <w:r>
              <w:t>gNB</w:t>
            </w:r>
            <w:proofErr w:type="spellEnd"/>
            <w:r>
              <w:t xml:space="preserve"> transmit power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B638B" w14:textId="77777777" w:rsidR="004F341B" w:rsidRDefault="00000000">
            <w:pPr>
              <w:pStyle w:val="TableContents"/>
            </w:pPr>
            <w:r>
              <w:t>53dBm</w:t>
            </w:r>
          </w:p>
        </w:tc>
      </w:tr>
      <w:tr w:rsidR="004F341B" w14:paraId="5A77341F" w14:textId="77777777">
        <w:tc>
          <w:tcPr>
            <w:tcW w:w="4657" w:type="dxa"/>
            <w:tcBorders>
              <w:left w:val="single" w:sz="2" w:space="0" w:color="000000"/>
              <w:bottom w:val="single" w:sz="2" w:space="0" w:color="000000"/>
            </w:tcBorders>
          </w:tcPr>
          <w:p w14:paraId="531E5E78" w14:textId="77777777" w:rsidR="004F341B" w:rsidRDefault="00000000">
            <w:pPr>
              <w:pStyle w:val="TableContents"/>
            </w:pPr>
            <w:r>
              <w:t>UE transmit power</w:t>
            </w:r>
          </w:p>
        </w:tc>
        <w:tc>
          <w:tcPr>
            <w:tcW w:w="4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B040D" w14:textId="77777777" w:rsidR="004F341B" w:rsidRDefault="00000000">
            <w:pPr>
              <w:pStyle w:val="TableContents"/>
            </w:pPr>
            <w:r>
              <w:t>23dBm</w:t>
            </w:r>
          </w:p>
        </w:tc>
      </w:tr>
    </w:tbl>
    <w:p w14:paraId="2A177B74" w14:textId="77777777" w:rsidR="004F341B" w:rsidRDefault="004F341B">
      <w:pPr>
        <w:rPr>
          <w:b/>
          <w:bCs/>
        </w:rPr>
      </w:pPr>
    </w:p>
    <w:p w14:paraId="61E7E416" w14:textId="77777777" w:rsidR="004F341B" w:rsidRDefault="00000000">
      <w:pPr>
        <w:pStyle w:val="Heading1"/>
        <w:numPr>
          <w:ilvl w:val="0"/>
          <w:numId w:val="2"/>
        </w:numPr>
      </w:pPr>
      <w:r>
        <w:t>Conclusion</w:t>
      </w:r>
    </w:p>
    <w:p w14:paraId="1825FCC2" w14:textId="77777777" w:rsidR="004F341B" w:rsidRDefault="00000000">
      <w:r>
        <w:rPr>
          <w:color w:val="000000" w:themeColor="text1"/>
        </w:rPr>
        <w:t>The following observation is made in the contribution.</w:t>
      </w:r>
    </w:p>
    <w:p w14:paraId="045E4D03" w14:textId="77777777" w:rsidR="004F341B" w:rsidRDefault="00000000">
      <w:pPr>
        <w:rPr>
          <w:b/>
          <w:bCs/>
        </w:rPr>
      </w:pPr>
      <w:r>
        <w:rPr>
          <w:b/>
          <w:bCs/>
          <w:color w:val="000000" w:themeColor="text1"/>
        </w:rPr>
        <w:t xml:space="preserve">Observation 1: The CL for </w:t>
      </w:r>
      <w:proofErr w:type="spellStart"/>
      <w:r>
        <w:rPr>
          <w:b/>
          <w:bCs/>
          <w:color w:val="000000" w:themeColor="text1"/>
        </w:rPr>
        <w:t>gNB</w:t>
      </w:r>
      <w:proofErr w:type="spellEnd"/>
      <w:r>
        <w:rPr>
          <w:b/>
          <w:bCs/>
          <w:color w:val="000000" w:themeColor="text1"/>
        </w:rPr>
        <w:t xml:space="preserve">-UE links and </w:t>
      </w:r>
      <w:proofErr w:type="spellStart"/>
      <w:r>
        <w:rPr>
          <w:b/>
          <w:bCs/>
          <w:color w:val="000000" w:themeColor="text1"/>
        </w:rPr>
        <w:t>gNB-gNB</w:t>
      </w:r>
      <w:proofErr w:type="spellEnd"/>
      <w:r>
        <w:rPr>
          <w:b/>
          <w:bCs/>
          <w:color w:val="000000" w:themeColor="text1"/>
        </w:rPr>
        <w:t xml:space="preserve"> links ranges from approximately 80dB to 150dB and 90dB to 160dB respectively for FR1, Urban macro scenario. </w:t>
      </w:r>
    </w:p>
    <w:p w14:paraId="30BD17D9" w14:textId="77777777" w:rsidR="004F341B" w:rsidRDefault="004F341B">
      <w:pPr>
        <w:rPr>
          <w:b/>
          <w:bCs/>
          <w:color w:val="000000" w:themeColor="text1"/>
          <w:lang w:eastAsia="ko-KR"/>
        </w:rPr>
      </w:pPr>
    </w:p>
    <w:p w14:paraId="6148BCAB" w14:textId="77777777" w:rsidR="004F341B" w:rsidRDefault="00000000">
      <w:pPr>
        <w:pStyle w:val="Heading1"/>
        <w:ind w:left="432" w:hanging="432"/>
      </w:pPr>
      <w:bookmarkStart w:id="3" w:name="_Ref124589665"/>
      <w:bookmarkStart w:id="4" w:name="_Ref124671424"/>
      <w:bookmarkStart w:id="5" w:name="_Ref71620620"/>
      <w:bookmarkEnd w:id="3"/>
      <w:bookmarkEnd w:id="4"/>
      <w:bookmarkEnd w:id="5"/>
      <w:r>
        <w:rPr>
          <w:rFonts w:eastAsia="Wingdings" w:cs="Wingdings"/>
        </w:rPr>
        <w:t>References</w:t>
      </w:r>
    </w:p>
    <w:p w14:paraId="3E7AC7FC" w14:textId="77777777" w:rsidR="004F341B" w:rsidRDefault="00000000">
      <w:pPr>
        <w:pStyle w:val="References"/>
        <w:numPr>
          <w:ilvl w:val="0"/>
          <w:numId w:val="1"/>
        </w:numPr>
      </w:pPr>
      <w:bookmarkStart w:id="6" w:name="_Ref716206201"/>
      <w:bookmarkStart w:id="7" w:name="_Ref1246714241"/>
      <w:bookmarkStart w:id="8" w:name="_Ref1245896651"/>
      <w:bookmarkStart w:id="9" w:name="OLE_LINK12"/>
      <w:bookmarkStart w:id="10" w:name="_Ref446582201"/>
      <w:bookmarkStart w:id="11" w:name="_Ref485833320"/>
      <w:bookmarkEnd w:id="2"/>
      <w:bookmarkEnd w:id="6"/>
      <w:bookmarkEnd w:id="7"/>
      <w:bookmarkEnd w:id="8"/>
      <w:r>
        <w:rPr>
          <w:rFonts w:eastAsia="Wingdings" w:cs="Wingdings"/>
          <w:lang w:val="en-GB" w:eastAsia="ko-KR"/>
        </w:rPr>
        <w:t>RP-</w:t>
      </w:r>
      <w:bookmarkEnd w:id="9"/>
      <w:r>
        <w:rPr>
          <w:rFonts w:eastAsia="Wingdings" w:cs="Wingdings"/>
          <w:lang w:val="en-GB" w:eastAsia="ko-KR"/>
        </w:rPr>
        <w:t>21</w:t>
      </w:r>
      <w:r>
        <w:rPr>
          <w:lang w:val="en-GB"/>
        </w:rPr>
        <w:t xml:space="preserve">3591, </w:t>
      </w:r>
      <w:bookmarkEnd w:id="10"/>
      <w:bookmarkEnd w:id="11"/>
      <w:r>
        <w:rPr>
          <w:lang w:val="en-GB"/>
        </w:rPr>
        <w:t>New SI: Study on evolution of NR duplex operation, RAN#94-e, Dec. 2021</w:t>
      </w:r>
    </w:p>
    <w:p w14:paraId="0756DC8D" w14:textId="77777777" w:rsidR="004F341B" w:rsidRDefault="00000000">
      <w:pPr>
        <w:pStyle w:val="TdocHeader2"/>
        <w:numPr>
          <w:ilvl w:val="0"/>
          <w:numId w:val="1"/>
        </w:numPr>
        <w:rPr>
          <w:rFonts w:ascii="Times New Roman" w:hAnsi="Times New Roman" w:cs="Times New Roman"/>
          <w:b w:val="0"/>
          <w:sz w:val="20"/>
          <w:szCs w:val="16"/>
          <w:lang w:val="en-GB"/>
        </w:rPr>
      </w:pPr>
      <w:r>
        <w:rPr>
          <w:rFonts w:ascii="Times New Roman" w:hAnsi="Times New Roman" w:cs="Times New Roman"/>
          <w:b w:val="0"/>
          <w:sz w:val="20"/>
          <w:szCs w:val="16"/>
          <w:lang w:val="en-GB"/>
        </w:rPr>
        <w:t>RAN1 Chairman’s Notes, 3GPP TSG RAN WG1 Meeting #110bis-e, October 2022</w:t>
      </w:r>
    </w:p>
    <w:p w14:paraId="2A57C412" w14:textId="77777777" w:rsidR="004F341B" w:rsidRDefault="00000000">
      <w:pPr>
        <w:pStyle w:val="TdocHeader2"/>
        <w:numPr>
          <w:ilvl w:val="0"/>
          <w:numId w:val="1"/>
        </w:numPr>
        <w:rPr>
          <w:rFonts w:ascii="Times New Roman" w:hAnsi="Times New Roman" w:cs="Times New Roman"/>
          <w:b w:val="0"/>
          <w:sz w:val="20"/>
          <w:szCs w:val="16"/>
          <w:lang w:val="en-GB"/>
        </w:rPr>
      </w:pPr>
      <w:r>
        <w:rPr>
          <w:rFonts w:ascii="Times New Roman" w:hAnsi="Times New Roman" w:cs="Times New Roman"/>
          <w:b w:val="0"/>
          <w:sz w:val="20"/>
          <w:szCs w:val="16"/>
          <w:lang w:val="en-GB"/>
        </w:rPr>
        <w:t>RAN1 Chairman’s Notes, 3GPP TSG RAN WG1 Meeting #111, November 2022</w:t>
      </w:r>
    </w:p>
    <w:p w14:paraId="0409BEE2" w14:textId="77777777" w:rsidR="004F341B" w:rsidRDefault="004F341B">
      <w:pPr>
        <w:pStyle w:val="References"/>
        <w:ind w:left="360"/>
        <w:rPr>
          <w:lang w:val="en-GB"/>
        </w:rPr>
      </w:pPr>
    </w:p>
    <w:sectPr w:rsidR="004F341B">
      <w:pgSz w:w="11906" w:h="16838"/>
      <w:pgMar w:top="1440" w:right="1152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;Times New Roman">
    <w:panose1 w:val="00000000000000000000"/>
    <w:charset w:val="00"/>
    <w:family w:val="roman"/>
    <w:notTrueType/>
    <w:pitch w:val="default"/>
  </w:font>
  <w:font w:name="OpenSymbol">
    <w:altName w:val="Cambria"/>
    <w:charset w:val="01"/>
    <w:family w:val="roman"/>
    <w:pitch w:val="variable"/>
  </w:font>
  <w:font w:name="Malgun Gothic;맑은 고딕">
    <w:panose1 w:val="00000000000000000000"/>
    <w:charset w:val="80"/>
    <w:family w:val="roman"/>
    <w:notTrueType/>
    <w:pitch w:val="default"/>
  </w:font>
  <w:font w:name="바탕;Batang">
    <w:panose1 w:val="00000000000000000000"/>
    <w:charset w:val="8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94236"/>
    <w:multiLevelType w:val="multilevel"/>
    <w:tmpl w:val="B81CC1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C0645C"/>
    <w:multiLevelType w:val="multilevel"/>
    <w:tmpl w:val="B04602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5F0FBB"/>
    <w:multiLevelType w:val="multilevel"/>
    <w:tmpl w:val="75A84C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/>
        <w:bCs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/>
        <w:bCs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  <w:bCs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/>
        <w:bCs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/>
        <w:bCs/>
        <w:sz w:val="28"/>
        <w:szCs w:val="28"/>
      </w:rPr>
    </w:lvl>
  </w:abstractNum>
  <w:abstractNum w:abstractNumId="3" w15:restartNumberingAfterBreak="0">
    <w:nsid w:val="6E3546BC"/>
    <w:multiLevelType w:val="multilevel"/>
    <w:tmpl w:val="AC42DB4A"/>
    <w:lvl w:ilvl="0">
      <w:numFmt w:val="bullet"/>
      <w:lvlText w:val="-"/>
      <w:lvlJc w:val="left"/>
      <w:pPr>
        <w:tabs>
          <w:tab w:val="num" w:pos="799"/>
        </w:tabs>
        <w:ind w:left="760" w:hanging="360"/>
      </w:pPr>
      <w:rPr>
        <w:rFonts w:ascii="Times" w:hAnsi="Times" w:cs="Times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num w:numId="1" w16cid:durableId="1699430356">
    <w:abstractNumId w:val="0"/>
  </w:num>
  <w:num w:numId="2" w16cid:durableId="773592984">
    <w:abstractNumId w:val="2"/>
  </w:num>
  <w:num w:numId="3" w16cid:durableId="368729911">
    <w:abstractNumId w:val="3"/>
  </w:num>
  <w:num w:numId="4" w16cid:durableId="1510367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1152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41B"/>
    <w:rsid w:val="000632FD"/>
    <w:rsid w:val="003240B4"/>
    <w:rsid w:val="004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82C7"/>
  <w15:docId w15:val="{3367994F-6F21-4BE3-871B-AD3605E8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napToGrid w:val="0"/>
      <w:spacing w:after="120"/>
      <w:jc w:val="both"/>
    </w:pPr>
    <w:rPr>
      <w:rFonts w:eastAsia="SimSun"/>
      <w:sz w:val="22"/>
      <w:szCs w:val="22"/>
      <w:lang w:eastAsia="zh-CN"/>
    </w:rPr>
  </w:style>
  <w:style w:type="paragraph" w:styleId="Heading1">
    <w:name w:val="heading 1"/>
    <w:basedOn w:val="Normal"/>
    <w:next w:val="Normal"/>
    <w:qFormat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i w:val="0"/>
      <w:lang w:val="en-US"/>
    </w:rPr>
  </w:style>
  <w:style w:type="character" w:customStyle="1" w:styleId="WW8Num1z1">
    <w:name w:val="WW8Num1z1"/>
    <w:qFormat/>
    <w:rPr>
      <w:rFonts w:ascii="Times New Roman" w:hAnsi="Times New Roman" w:cs="Times New Roman"/>
      <w:b/>
      <w:i w:val="0"/>
      <w:sz w:val="24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Courier New" w:eastAsia="Malgun Gothic" w:hAnsi="Courier New" w:cs="Courier New"/>
      <w:lang w:eastAsia="ko-KR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Courier New" w:eastAsia="Malgun Gothic" w:hAnsi="Courier New" w:cs="Courier New"/>
      <w:lang w:eastAsia="ko-KR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eastAsia="Malgun Gothic" w:hAnsi="Symbol" w:cs="Symbol"/>
      <w:lang w:eastAsia="ko-KR"/>
    </w:rPr>
  </w:style>
  <w:style w:type="character" w:customStyle="1" w:styleId="WW8Num5z1">
    <w:name w:val="WW8Num5z1"/>
    <w:qFormat/>
    <w:rPr>
      <w:rFonts w:ascii="Courier New" w:eastAsia="Malgun Gothic" w:hAnsi="Courier New" w:cs="Courier New"/>
      <w:sz w:val="24"/>
      <w:szCs w:val="24"/>
      <w:lang w:eastAsia="en-US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Times New Roman" w:eastAsia="Malgun Gothic" w:hAnsi="Times New Roman" w:cs="Times New Roman"/>
      <w:lang w:eastAsia="ko-KR"/>
    </w:rPr>
  </w:style>
  <w:style w:type="character" w:customStyle="1" w:styleId="WW8Num6z1">
    <w:name w:val="WW8Num6z1"/>
    <w:qFormat/>
    <w:rPr>
      <w:rFonts w:ascii="Wingdings" w:hAnsi="Wingdings" w:cs="Wingdings"/>
    </w:rPr>
  </w:style>
  <w:style w:type="character" w:customStyle="1" w:styleId="DefaultParagraphFont0">
    <w:name w:val="Default Paragraph Font0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-DefaultParagraphFont">
    <w:name w:val="WW-Default Paragraph Font"/>
    <w:qFormat/>
  </w:style>
  <w:style w:type="character" w:customStyle="1" w:styleId="WW8Num3z1">
    <w:name w:val="WW8Num3z1"/>
    <w:qFormat/>
    <w:rPr>
      <w:rFonts w:ascii="Wingdings" w:hAnsi="Wingdings" w:cs="Wingdings"/>
    </w:rPr>
  </w:style>
  <w:style w:type="character" w:customStyle="1" w:styleId="WW8Num8z0">
    <w:name w:val="WW8Num8z0"/>
    <w:qFormat/>
    <w:rPr>
      <w:lang w:eastAsia="zh-CN"/>
    </w:rPr>
  </w:style>
  <w:style w:type="character" w:customStyle="1" w:styleId="WW8Num9z0">
    <w:name w:val="WW8Num9z0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Wingdings" w:hAnsi="Symbol" w:cs="Symbol"/>
    </w:rPr>
  </w:style>
  <w:style w:type="character" w:customStyle="1" w:styleId="WW8Num14z1">
    <w:name w:val="WW8Num14z1"/>
    <w:qFormat/>
    <w:rPr>
      <w:rFonts w:ascii="Courier New" w:eastAsia="Wingdings" w:hAnsi="Courier New" w:cs="Courier New"/>
      <w:sz w:val="24"/>
      <w:szCs w:val="24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5z0">
    <w:name w:val="WW8Num15z0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-DefaultParagraphFont1">
    <w:name w:val="WW-Default Paragraph Font1"/>
    <w:qFormat/>
  </w:style>
  <w:style w:type="character" w:customStyle="1" w:styleId="WW8Num2z1">
    <w:name w:val="WW8Num2z1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1">
    <w:name w:val="WW8Num9z1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a">
    <w:name w:val="默认段落字体"/>
    <w:qFormat/>
  </w:style>
  <w:style w:type="character" w:customStyle="1" w:styleId="Char">
    <w:name w:val="正文文本 Char"/>
    <w:qFormat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customStyle="1" w:styleId="Char0">
    <w:name w:val="题注 Char"/>
    <w:qFormat/>
    <w:rPr>
      <w:b/>
      <w:bCs/>
      <w:kern w:val="2"/>
      <w:lang w:val="en-GB" w:eastAsia="zh-CN" w:bidi="ar-SA"/>
    </w:rPr>
  </w:style>
  <w:style w:type="character" w:customStyle="1" w:styleId="1">
    <w:name w:val="已访问的超链接1"/>
    <w:qFormat/>
    <w:rPr>
      <w:color w:val="800080"/>
      <w:kern w:val="2"/>
      <w:u w:val="single"/>
      <w:lang w:val="en-GB" w:eastAsia="zh-CN" w:bidi="ar-SA"/>
    </w:rPr>
  </w:style>
  <w:style w:type="character" w:customStyle="1" w:styleId="FootnoteCharacters">
    <w:name w:val="Footnote Characters"/>
    <w:qFormat/>
    <w:rPr>
      <w:kern w:val="2"/>
      <w:vertAlign w:val="superscript"/>
      <w:lang w:val="en-GB" w:eastAsia="zh-CN" w:bidi="ar-SA"/>
    </w:rPr>
  </w:style>
  <w:style w:type="character" w:customStyle="1" w:styleId="Char1">
    <w:name w:val="页眉 Char"/>
    <w:qFormat/>
    <w:rPr>
      <w:kern w:val="2"/>
      <w:sz w:val="22"/>
      <w:szCs w:val="22"/>
      <w:lang w:val="en-GB" w:eastAsia="zh-CN" w:bidi="ar-SA"/>
    </w:rPr>
  </w:style>
  <w:style w:type="character" w:customStyle="1" w:styleId="Char2">
    <w:name w:val="页脚 Char"/>
    <w:qFormat/>
    <w:rPr>
      <w:kern w:val="2"/>
      <w:sz w:val="22"/>
      <w:szCs w:val="22"/>
      <w:lang w:val="en-GB" w:eastAsia="zh-CN" w:bidi="ar-SA"/>
    </w:rPr>
  </w:style>
  <w:style w:type="character" w:customStyle="1" w:styleId="Char3">
    <w:name w:val="文档结构图 Char"/>
    <w:qFormat/>
    <w:rPr>
      <w:rFonts w:ascii="SimSun" w:hAnsi="SimSun" w:cs="SimSun"/>
      <w:kern w:val="2"/>
      <w:sz w:val="18"/>
      <w:szCs w:val="18"/>
      <w:lang w:val="en-GB" w:bidi="ar-SA"/>
    </w:rPr>
  </w:style>
  <w:style w:type="character" w:customStyle="1" w:styleId="maintextChar">
    <w:name w:val="main text Char"/>
    <w:qFormat/>
    <w:rPr>
      <w:rFonts w:eastAsia="Malgun Gothic" w:cs="Batang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a0">
    <w:name w:val="批注引用"/>
    <w:qFormat/>
    <w:rPr>
      <w:kern w:val="2"/>
      <w:sz w:val="21"/>
      <w:szCs w:val="21"/>
      <w:lang w:val="en-GB" w:eastAsia="zh-CN" w:bidi="ar-SA"/>
    </w:rPr>
  </w:style>
  <w:style w:type="character" w:customStyle="1" w:styleId="Char4">
    <w:name w:val="批注文字 Char"/>
    <w:qFormat/>
    <w:rPr>
      <w:kern w:val="2"/>
      <w:sz w:val="22"/>
      <w:szCs w:val="22"/>
      <w:lang w:val="en-GB" w:bidi="ar-SA"/>
    </w:rPr>
  </w:style>
  <w:style w:type="character" w:customStyle="1" w:styleId="Char5">
    <w:name w:val="批注主题 Char"/>
    <w:qFormat/>
    <w:rPr>
      <w:b/>
      <w:bCs/>
      <w:kern w:val="2"/>
      <w:sz w:val="22"/>
      <w:szCs w:val="22"/>
      <w:lang w:val="en-GB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rFonts w:eastAsia="SimSun"/>
      <w:lang w:eastAsia="zh-CN"/>
    </w:rPr>
  </w:style>
  <w:style w:type="character" w:customStyle="1" w:styleId="CommentSubjectChar">
    <w:name w:val="Comment Subject Char"/>
    <w:qFormat/>
    <w:rPr>
      <w:rFonts w:eastAsia="SimSun"/>
      <w:b/>
      <w:bCs/>
      <w:lang w:eastAsia="zh-CN"/>
    </w:rPr>
  </w:style>
  <w:style w:type="character" w:customStyle="1" w:styleId="NumberingSymbols">
    <w:name w:val="Numbering Symbols"/>
    <w:qFormat/>
    <w:rPr>
      <w:b/>
      <w:bCs/>
      <w:sz w:val="28"/>
      <w:szCs w:val="28"/>
    </w:rPr>
  </w:style>
  <w:style w:type="character" w:customStyle="1" w:styleId="WW8Num16z0">
    <w:name w:val="WW8Num16z0"/>
    <w:qFormat/>
    <w:rPr>
      <w:rFonts w:ascii="Times;Times New Roman" w:eastAsia="Malgun Gothic" w:hAnsi="Times;Times New Roman" w:cs="Times;Times New Roman"/>
    </w:rPr>
  </w:style>
  <w:style w:type="character" w:customStyle="1" w:styleId="WW8Num16z1">
    <w:name w:val="WW8Num16z1"/>
    <w:qFormat/>
    <w:rPr>
      <w:rFonts w:ascii="Arial" w:eastAsia="Malgun Gothic" w:hAnsi="Arial" w:cs="Arial"/>
      <w:highlight w:val="yellow"/>
      <w:lang w:eastAsia="zh-CN"/>
    </w:rPr>
  </w:style>
  <w:style w:type="character" w:customStyle="1" w:styleId="WW8Num47z0">
    <w:name w:val="WW8Num47z0"/>
    <w:qFormat/>
    <w:rPr>
      <w:rFonts w:ascii="Times;Times New Roman" w:eastAsia="Malgun Gothic" w:hAnsi="Times;Times New Roman" w:cs="Times;Times New Roman"/>
      <w:szCs w:val="20"/>
      <w:highlight w:val="yellow"/>
    </w:rPr>
  </w:style>
  <w:style w:type="character" w:customStyle="1" w:styleId="WW8Num47z1">
    <w:name w:val="WW8Num47z1"/>
    <w:qFormat/>
    <w:rPr>
      <w:rFonts w:ascii="Arial" w:eastAsia="Malgun Gothic" w:hAnsi="Arial" w:cs="Arial"/>
      <w:highlight w:val="yellow"/>
    </w:rPr>
  </w:style>
  <w:style w:type="character" w:customStyle="1" w:styleId="WW8Num12z1">
    <w:name w:val="WW8Num12z1"/>
    <w:qFormat/>
    <w:rPr>
      <w:rFonts w:ascii="Courier New" w:eastAsia="Malgun Gothic" w:hAnsi="Courier New" w:cs="Courier New"/>
      <w:szCs w:val="20"/>
      <w:lang w:eastAsia="ko-KR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WW8Num155z0">
    <w:name w:val="WW8Num155z0"/>
    <w:qFormat/>
    <w:rPr>
      <w:rFonts w:ascii="Symbol" w:eastAsia="Malgun Gothic;맑은 고딕" w:hAnsi="Symbol" w:cs="Symbol"/>
    </w:rPr>
  </w:style>
  <w:style w:type="character" w:customStyle="1" w:styleId="WW8Num155z1">
    <w:name w:val="WW8Num155z1"/>
    <w:qFormat/>
    <w:rPr>
      <w:rFonts w:ascii="Courier New" w:hAnsi="Courier New" w:cs="Courier New"/>
    </w:rPr>
  </w:style>
  <w:style w:type="character" w:customStyle="1" w:styleId="WW8Num155z2">
    <w:name w:val="WW8Num155z2"/>
    <w:qFormat/>
    <w:rPr>
      <w:rFonts w:ascii="Wingdings" w:hAnsi="Wingdings" w:cs="Wingdings"/>
    </w:rPr>
  </w:style>
  <w:style w:type="character" w:customStyle="1" w:styleId="WW8Num135z0">
    <w:name w:val="WW8Num135z0"/>
    <w:qFormat/>
    <w:rPr>
      <w:rFonts w:ascii="Symbol" w:eastAsia="Malgun Gothic;맑은 고딕" w:hAnsi="Symbol" w:cs="Symbol"/>
      <w:lang w:eastAsia="zh-CN"/>
    </w:rPr>
  </w:style>
  <w:style w:type="character" w:customStyle="1" w:styleId="WW8Num135z1">
    <w:name w:val="WW8Num135z1"/>
    <w:qFormat/>
    <w:rPr>
      <w:rFonts w:ascii="Courier New" w:hAnsi="Courier New" w:cs="Courier New"/>
    </w:rPr>
  </w:style>
  <w:style w:type="character" w:customStyle="1" w:styleId="WW8Num135z2">
    <w:name w:val="WW8Num135z2"/>
    <w:qFormat/>
    <w:rPr>
      <w:rFonts w:ascii="Wingdings" w:hAnsi="Wingdings" w:cs="Wingdings"/>
    </w:rPr>
  </w:style>
  <w:style w:type="character" w:customStyle="1" w:styleId="WW8Num219z0">
    <w:name w:val="WW8Num219z0"/>
    <w:qFormat/>
    <w:rPr>
      <w:rFonts w:ascii="Symbol" w:eastAsia="Malgun Gothic;맑은 고딕" w:hAnsi="Symbol" w:cs="Symbol"/>
      <w:szCs w:val="20"/>
    </w:rPr>
  </w:style>
  <w:style w:type="character" w:customStyle="1" w:styleId="WW8Num219z1">
    <w:name w:val="WW8Num219z1"/>
    <w:qFormat/>
    <w:rPr>
      <w:rFonts w:ascii="Courier New" w:eastAsia="Malgun Gothic;맑은 고딕" w:hAnsi="Courier New" w:cs="Courier New"/>
      <w:szCs w:val="20"/>
    </w:rPr>
  </w:style>
  <w:style w:type="character" w:customStyle="1" w:styleId="WW8Num219z2">
    <w:name w:val="WW8Num219z2"/>
    <w:qFormat/>
    <w:rPr>
      <w:rFonts w:ascii="Wingdings" w:hAnsi="Wingdings" w:cs="Wingdings"/>
    </w:rPr>
  </w:style>
  <w:style w:type="character" w:customStyle="1" w:styleId="WW8Num126z0">
    <w:name w:val="WW8Num126z0"/>
    <w:qFormat/>
    <w:rPr>
      <w:rFonts w:ascii="Times" w:eastAsia="바탕;Batang" w:hAnsi="Times" w:cs="Times"/>
    </w:rPr>
  </w:style>
  <w:style w:type="character" w:customStyle="1" w:styleId="WW8Num126z1">
    <w:name w:val="WW8Num126z1"/>
    <w:qFormat/>
    <w:rPr>
      <w:rFonts w:ascii="Symbol" w:hAnsi="Symbol" w:cs="Symbol"/>
      <w:color w:val="FF0000"/>
      <w:szCs w:val="20"/>
    </w:rPr>
  </w:style>
  <w:style w:type="character" w:customStyle="1" w:styleId="WW8Num126z2">
    <w:name w:val="WW8Num126z2"/>
    <w:qFormat/>
    <w:rPr>
      <w:rFonts w:ascii="Courier New" w:hAnsi="Courier New" w:cs="Courier New"/>
      <w:color w:val="FF0000"/>
      <w:sz w:val="22"/>
    </w:rPr>
  </w:style>
  <w:style w:type="character" w:customStyle="1" w:styleId="WW8Num126z3">
    <w:name w:val="WW8Num126z3"/>
    <w:qFormat/>
    <w:rPr>
      <w:rFonts w:ascii="Wingdings" w:hAnsi="Wingdings" w:cs="Wingdings"/>
    </w:rPr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rPr>
      <w:kern w:val="2"/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Caption">
    <w:name w:val="caption"/>
    <w:basedOn w:val="Normal"/>
    <w:qFormat/>
    <w:pPr>
      <w:suppressLineNumbers/>
      <w:spacing w:before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a1">
    <w:name w:val="题注"/>
    <w:basedOn w:val="Normal"/>
    <w:next w:val="Normal"/>
    <w:qFormat/>
    <w:pPr>
      <w:jc w:val="center"/>
    </w:pPr>
    <w:rPr>
      <w:b/>
      <w:bCs/>
      <w:kern w:val="2"/>
      <w:sz w:val="20"/>
      <w:szCs w:val="20"/>
      <w:lang w:val="en-GB"/>
    </w:rPr>
  </w:style>
  <w:style w:type="paragraph" w:customStyle="1" w:styleId="a2">
    <w:name w:val="列表项目符号"/>
    <w:basedOn w:val="List"/>
    <w:qFormat/>
    <w:pPr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2">
    <w:name w:val="正文文本 2"/>
    <w:basedOn w:val="Normal"/>
    <w:qFormat/>
    <w:pPr>
      <w:spacing w:after="0"/>
      <w:jc w:val="left"/>
    </w:pPr>
    <w:rPr>
      <w:szCs w:val="20"/>
    </w:rPr>
  </w:style>
  <w:style w:type="paragraph" w:customStyle="1" w:styleId="a3">
    <w:name w:val="批注框文本"/>
    <w:basedOn w:val="Normal"/>
    <w:qFormat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pPr>
      <w:spacing w:after="60"/>
    </w:pPr>
    <w:rPr>
      <w:sz w:val="20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rPr>
      <w:kern w:val="2"/>
      <w:lang w:val="en-GB"/>
    </w:rPr>
  </w:style>
  <w:style w:type="paragraph" w:styleId="Footer">
    <w:name w:val="footer"/>
    <w:basedOn w:val="Normal"/>
    <w:rPr>
      <w:kern w:val="2"/>
      <w:lang w:val="en-GB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a4">
    <w:name w:val="文档结构图"/>
    <w:basedOn w:val="Normal"/>
    <w:qFormat/>
    <w:rPr>
      <w:rFonts w:ascii="SimSun" w:hAnsi="SimSun" w:cs="SimSun"/>
      <w:kern w:val="2"/>
      <w:sz w:val="18"/>
      <w:szCs w:val="18"/>
      <w:lang w:val="en-GB"/>
    </w:rPr>
  </w:style>
  <w:style w:type="paragraph" w:customStyle="1" w:styleId="maintext">
    <w:name w:val="main text"/>
    <w:basedOn w:val="Normal"/>
    <w:qFormat/>
    <w:pPr>
      <w:snapToGrid/>
      <w:spacing w:before="60" w:after="60" w:line="288" w:lineRule="auto"/>
      <w:ind w:firstLine="200"/>
    </w:pPr>
    <w:rPr>
      <w:rFonts w:eastAsia="Malgun Gothic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napToGrid/>
      <w:spacing w:after="180" w:line="336" w:lineRule="auto"/>
      <w:ind w:firstLine="200"/>
    </w:pPr>
    <w:rPr>
      <w:rFonts w:eastAsia="Malgun Gothic"/>
      <w:sz w:val="20"/>
      <w:szCs w:val="20"/>
      <w:lang w:val="en-GB"/>
    </w:rPr>
  </w:style>
  <w:style w:type="paragraph" w:customStyle="1" w:styleId="a5">
    <w:name w:val="批注文字"/>
    <w:basedOn w:val="Normal"/>
    <w:qFormat/>
    <w:pPr>
      <w:jc w:val="left"/>
    </w:pPr>
    <w:rPr>
      <w:kern w:val="2"/>
      <w:lang w:val="en-GB"/>
    </w:rPr>
  </w:style>
  <w:style w:type="paragraph" w:customStyle="1" w:styleId="a6">
    <w:name w:val="批注主题"/>
    <w:basedOn w:val="a5"/>
    <w:next w:val="a5"/>
    <w:qFormat/>
    <w:rPr>
      <w:b/>
      <w:bCs/>
    </w:rPr>
  </w:style>
  <w:style w:type="paragraph" w:customStyle="1" w:styleId="a7">
    <w:name w:val="列出段落"/>
    <w:basedOn w:val="Normal"/>
    <w:qFormat/>
    <w:pPr>
      <w:ind w:left="720"/>
      <w:contextualSpacing/>
    </w:pPr>
  </w:style>
  <w:style w:type="paragraph" w:styleId="CommentText">
    <w:name w:val="annotation text"/>
    <w:basedOn w:val="Normal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basedOn w:val="Normal"/>
    <w:qFormat/>
    <w:pPr>
      <w:spacing w:after="180"/>
      <w:ind w:left="720"/>
      <w:contextualSpacing/>
    </w:p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 w:cs="Arial"/>
      <w:b/>
      <w:sz w:val="18"/>
      <w:szCs w:val="20"/>
    </w:rPr>
  </w:style>
  <w:style w:type="paragraph" w:styleId="Revision">
    <w:name w:val="Revision"/>
    <w:uiPriority w:val="99"/>
    <w:semiHidden/>
    <w:qFormat/>
    <w:rsid w:val="000158AE"/>
    <w:pPr>
      <w:suppressAutoHyphens w:val="0"/>
    </w:pPr>
    <w:rPr>
      <w:rFonts w:eastAsia="SimSun"/>
      <w:sz w:val="22"/>
      <w:szCs w:val="22"/>
      <w:lang w:eastAsia="zh-CN"/>
    </w:rPr>
  </w:style>
  <w:style w:type="paragraph" w:customStyle="1" w:styleId="a8">
    <w:name w:val="목록 단락"/>
    <w:basedOn w:val="Normal"/>
    <w:qFormat/>
    <w:pPr>
      <w:ind w:left="840"/>
    </w:pPr>
  </w:style>
  <w:style w:type="paragraph" w:customStyle="1" w:styleId="TableContents">
    <w:name w:val="Table Contents"/>
    <w:basedOn w:val="Normal"/>
    <w:qFormat/>
    <w:pPr>
      <w:suppressLineNumbers/>
    </w:pPr>
  </w:style>
  <w:style w:type="numbering" w:customStyle="1" w:styleId="WW8Num16">
    <w:name w:val="WW8Num16"/>
    <w:qFormat/>
  </w:style>
  <w:style w:type="numbering" w:customStyle="1" w:styleId="WW8Num47">
    <w:name w:val="WW8Num47"/>
    <w:qFormat/>
  </w:style>
  <w:style w:type="numbering" w:customStyle="1" w:styleId="WW8Num12">
    <w:name w:val="WW8Num12"/>
    <w:qFormat/>
  </w:style>
  <w:style w:type="numbering" w:customStyle="1" w:styleId="WW8Num155">
    <w:name w:val="WW8Num155"/>
    <w:qFormat/>
  </w:style>
  <w:style w:type="numbering" w:customStyle="1" w:styleId="WW8Num135">
    <w:name w:val="WW8Num135"/>
    <w:qFormat/>
  </w:style>
  <w:style w:type="numbering" w:customStyle="1" w:styleId="WW8Num219">
    <w:name w:val="WW8Num219"/>
    <w:qFormat/>
  </w:style>
  <w:style w:type="numbering" w:customStyle="1" w:styleId="WW8Num126">
    <w:name w:val="WW8Num12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3935</Characters>
  <Application>Microsoft Office Word</Application>
  <DocSecurity>0</DocSecurity>
  <Lines>32</Lines>
  <Paragraphs>9</Paragraphs>
  <ScaleCrop>false</ScaleCrop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dc:description/>
  <cp:lastModifiedBy>cewit</cp:lastModifiedBy>
  <cp:revision>2</cp:revision>
  <cp:lastPrinted>2007-06-19T00:08:00Z</cp:lastPrinted>
  <dcterms:created xsi:type="dcterms:W3CDTF">2023-02-17T12:14:00Z</dcterms:created>
  <dcterms:modified xsi:type="dcterms:W3CDTF">2023-02-17T12:14:00Z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2015_ms_pID_725343">
    <vt:lpwstr>(3)B4ElOIyWbFUE0i2tg9MxI9gGzPxGuIqJUFbpw59zWXb8/+veGTTY5TsxAsd3fGK76tVcIP4j_x000d_
NUkxuEPw1S2C2kT05vGJ3MRbTPq2HHQ5EIFdj+r/U27eDM7Au9J2C4qEziqv40QybXjei0bu_x000d_
mYCL3V1Bkj6SSUME2k7qTb1VErnBpairRjETp9UabKVMqEWV+osNdnc806CL3GtnVovpJVyE_x000d_
UPZKOiRaFnZ7fjU4VY</vt:lpwstr>
  </property>
  <property fmtid="{D5CDD505-2E9C-101B-9397-08002B2CF9AE}" pid="9" name="_2015_ms_pID_7253431">
    <vt:lpwstr>96HbNWILQ9YTEEPZZg62tYX9waDwbAKem3MSBEO2wIsQmvlJQn0Ws+_x000d_
m+nc+PT3UuvRJ1T/8+yat5ds36/WX/v9V9XpguFE1iHNxoafwtQDWeQopJLa+AdKtoutqvGk_x000d_
hlT57uJMspTEYIM2NXshMpXuJ++Mh9W8eEgrBBHsyltaXepOIRKSefkRpsRl5XG67wk4bCGo_x000d_
xfHSO8ZKxcDR6ZcHcjWi+DgGO38FK5XsTZgy</vt:lpwstr>
  </property>
  <property fmtid="{D5CDD505-2E9C-101B-9397-08002B2CF9AE}" pid="10" name="_2015_ms_pID_7253431_00">
    <vt:lpwstr>_2015_ms_pID_7253431</vt:lpwstr>
  </property>
  <property fmtid="{D5CDD505-2E9C-101B-9397-08002B2CF9AE}" pid="11" name="_2015_ms_pID_7253432">
    <vt:lpwstr>9qLhyHC9obdVHv8/RLoYiwEXWdzr8N8/jd2r_x000d_
Z4zgO54Jul26UUC1NNoYDAts+rdWXA==</vt:lpwstr>
  </property>
  <property fmtid="{D5CDD505-2E9C-101B-9397-08002B2CF9AE}" pid="12" name="_2015_ms_pID_7253432_00">
    <vt:lpwstr>_2015_ms_pID_7253432</vt:lpwstr>
  </property>
  <property fmtid="{D5CDD505-2E9C-101B-9397-08002B2CF9AE}" pid="13" name="_2015_ms_pID_725343_00">
    <vt:lpwstr>_2015_ms_pID_725343</vt:lpwstr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17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18" name="_ms_pID_7253431_00">
    <vt:lpwstr>_ms_pID_7253431</vt:lpwstr>
  </property>
  <property fmtid="{D5CDD505-2E9C-101B-9397-08002B2CF9AE}" pid="19" name="_ms_pID_725343_00">
    <vt:lpwstr>_ms_pID_725343</vt:lpwstr>
  </property>
  <property fmtid="{D5CDD505-2E9C-101B-9397-08002B2CF9AE}" pid="20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21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22" name="_new_ms_pID_725431_00">
    <vt:lpwstr>_new_ms_pID_725431</vt:lpwstr>
  </property>
  <property fmtid="{D5CDD505-2E9C-101B-9397-08002B2CF9AE}" pid="23" name="_new_ms_pID_725432">
    <vt:lpwstr>5ODSr9xM8Xe/xX3rgoOAg9xBQQRuph+xauB2_x000d_
+Uz1cw0AjCoGCO2oa+/H2hSUl4V/TuAc1JprpjrQiCnOJfR4pc0=</vt:lpwstr>
  </property>
  <property fmtid="{D5CDD505-2E9C-101B-9397-08002B2CF9AE}" pid="24" name="_new_ms_pID_725432_00">
    <vt:lpwstr>_new_ms_pID_725432</vt:lpwstr>
  </property>
  <property fmtid="{D5CDD505-2E9C-101B-9397-08002B2CF9AE}" pid="25" name="_new_ms_pID_72543_00">
    <vt:lpwstr>_new_ms_pID_72543</vt:lpwstr>
  </property>
  <property fmtid="{D5CDD505-2E9C-101B-9397-08002B2CF9AE}" pid="26" name="_readonly">
    <vt:lpwstr/>
  </property>
  <property fmtid="{D5CDD505-2E9C-101B-9397-08002B2CF9AE}" pid="27" name="sflag">
    <vt:lpwstr>1510973513</vt:lpwstr>
  </property>
</Properties>
</file>