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242E" w14:textId="531A4D73" w:rsidR="00722D3C" w:rsidRPr="00722D3C" w:rsidRDefault="00722D3C" w:rsidP="00722D3C">
      <w:pPr>
        <w:tabs>
          <w:tab w:val="center" w:pos="4536"/>
          <w:tab w:val="right" w:pos="7938"/>
          <w:tab w:val="right" w:pos="9639"/>
        </w:tabs>
        <w:ind w:right="2"/>
        <w:rPr>
          <w:rFonts w:ascii="Arial" w:eastAsia="Batang" w:hAnsi="Arial" w:cs="Arial"/>
          <w:b/>
          <w:bCs/>
          <w:sz w:val="28"/>
          <w:szCs w:val="24"/>
        </w:rPr>
      </w:pPr>
      <w:bookmarkStart w:id="0" w:name="_Hlk117841894"/>
      <w:r w:rsidRPr="00722D3C">
        <w:rPr>
          <w:rFonts w:ascii="Arial" w:eastAsia="Batang" w:hAnsi="Arial" w:cs="Arial"/>
          <w:b/>
          <w:bCs/>
          <w:sz w:val="28"/>
          <w:szCs w:val="24"/>
        </w:rPr>
        <w:t>3GPP TSG RAN WG1 #111</w:t>
      </w:r>
      <w:r w:rsidRPr="00722D3C">
        <w:rPr>
          <w:rFonts w:ascii="Arial" w:eastAsia="Batang" w:hAnsi="Arial" w:cs="Arial"/>
          <w:b/>
          <w:bCs/>
          <w:sz w:val="28"/>
          <w:szCs w:val="24"/>
        </w:rPr>
        <w:tab/>
      </w:r>
      <w:r w:rsidRPr="00722D3C">
        <w:rPr>
          <w:rFonts w:ascii="Arial" w:eastAsia="Batang" w:hAnsi="Arial" w:cs="Arial"/>
          <w:b/>
          <w:bCs/>
          <w:sz w:val="28"/>
          <w:szCs w:val="24"/>
        </w:rPr>
        <w:tab/>
      </w:r>
      <w:r w:rsidRPr="00722D3C">
        <w:rPr>
          <w:rFonts w:ascii="Arial" w:eastAsia="Batang" w:hAnsi="Arial" w:cs="Arial"/>
          <w:b/>
          <w:bCs/>
          <w:sz w:val="28"/>
          <w:szCs w:val="24"/>
        </w:rPr>
        <w:tab/>
        <w:t>R1-22108</w:t>
      </w:r>
      <w:r>
        <w:rPr>
          <w:rFonts w:ascii="Arial" w:eastAsia="Batang" w:hAnsi="Arial" w:cs="Arial"/>
          <w:b/>
          <w:bCs/>
          <w:sz w:val="28"/>
          <w:szCs w:val="24"/>
        </w:rPr>
        <w:t>23</w:t>
      </w:r>
    </w:p>
    <w:p w14:paraId="55DACBA8" w14:textId="77777777" w:rsidR="00722D3C" w:rsidRPr="00722D3C" w:rsidRDefault="00722D3C" w:rsidP="00722D3C">
      <w:pPr>
        <w:tabs>
          <w:tab w:val="center" w:pos="4536"/>
          <w:tab w:val="right" w:pos="9072"/>
        </w:tabs>
        <w:rPr>
          <w:rFonts w:ascii="Arial" w:eastAsia="MS Mincho" w:hAnsi="Arial" w:cs="Arial"/>
          <w:b/>
          <w:bCs/>
          <w:sz w:val="28"/>
          <w:szCs w:val="24"/>
          <w:lang w:eastAsia="ja-JP"/>
        </w:rPr>
      </w:pPr>
      <w:r w:rsidRPr="00722D3C">
        <w:rPr>
          <w:rFonts w:ascii="Arial" w:eastAsia="MS Mincho" w:hAnsi="Arial" w:cs="Arial"/>
          <w:b/>
          <w:bCs/>
          <w:sz w:val="28"/>
          <w:szCs w:val="24"/>
          <w:lang w:eastAsia="ja-JP"/>
        </w:rPr>
        <w:t>Toulouse, France, November 14</w:t>
      </w:r>
      <w:r w:rsidRPr="00722D3C">
        <w:rPr>
          <w:rFonts w:ascii="Arial" w:eastAsia="MS Mincho" w:hAnsi="Arial" w:cs="Arial"/>
          <w:b/>
          <w:bCs/>
          <w:sz w:val="28"/>
          <w:szCs w:val="24"/>
          <w:vertAlign w:val="superscript"/>
          <w:lang w:eastAsia="ja-JP"/>
        </w:rPr>
        <w:t>th</w:t>
      </w:r>
      <w:r w:rsidRPr="00722D3C">
        <w:rPr>
          <w:rFonts w:ascii="Arial" w:eastAsia="MS Mincho" w:hAnsi="Arial" w:cs="Arial"/>
          <w:b/>
          <w:bCs/>
          <w:sz w:val="28"/>
          <w:szCs w:val="24"/>
          <w:lang w:eastAsia="ja-JP"/>
        </w:rPr>
        <w:t xml:space="preserve"> – 18</w:t>
      </w:r>
      <w:r w:rsidRPr="00722D3C">
        <w:rPr>
          <w:rFonts w:ascii="Arial" w:eastAsia="MS Mincho" w:hAnsi="Arial" w:cs="Arial"/>
          <w:b/>
          <w:bCs/>
          <w:sz w:val="28"/>
          <w:szCs w:val="24"/>
          <w:vertAlign w:val="superscript"/>
          <w:lang w:eastAsia="ja-JP"/>
        </w:rPr>
        <w:t>th</w:t>
      </w:r>
      <w:r w:rsidRPr="00722D3C">
        <w:rPr>
          <w:rFonts w:ascii="Arial" w:eastAsia="MS Mincho" w:hAnsi="Arial" w:cs="Arial"/>
          <w:b/>
          <w:bCs/>
          <w:sz w:val="28"/>
          <w:szCs w:val="24"/>
          <w:lang w:eastAsia="ja-JP"/>
        </w:rPr>
        <w:t>, 2022</w:t>
      </w:r>
    </w:p>
    <w:p w14:paraId="45C3C8CB" w14:textId="77777777" w:rsidR="00722D3C" w:rsidRPr="00722D3C" w:rsidRDefault="00722D3C" w:rsidP="00722D3C">
      <w:pPr>
        <w:rPr>
          <w:rFonts w:ascii="Times" w:eastAsia="Batang" w:hAnsi="Times"/>
        </w:rPr>
      </w:pPr>
    </w:p>
    <w:bookmarkEnd w:id="0"/>
    <w:p w14:paraId="7F05AB83" w14:textId="2C9A7A10"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w:t>
      </w:r>
      <w:r w:rsidR="00E74182">
        <w:rPr>
          <w:rFonts w:ascii="Arial" w:hAnsi="Arial" w:cs="Arial"/>
          <w:b/>
          <w:noProof/>
          <w:sz w:val="24"/>
        </w:rPr>
        <w:t>876</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27E57A6A" w:rsidR="00463675" w:rsidRPr="00193393" w:rsidRDefault="00463675" w:rsidP="000F4E43">
      <w:pPr>
        <w:pStyle w:val="Title"/>
      </w:pPr>
      <w:r w:rsidRPr="00193393">
        <w:t>Title:</w:t>
      </w:r>
      <w:r w:rsidRPr="00193393">
        <w:tab/>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r w:rsidR="00DB138F">
        <w:rPr>
          <w:rFonts w:ascii="Arial" w:hAnsi="Arial" w:cs="Arial"/>
          <w:b/>
        </w:rPr>
        <w:t>, RAN</w:t>
      </w:r>
      <w:r w:rsidR="00890C50">
        <w:rPr>
          <w:rFonts w:ascii="Arial" w:hAnsi="Arial" w:cs="Arial"/>
          <w:b/>
        </w:rPr>
        <w:t xml:space="preserve"> WG3</w:t>
      </w:r>
      <w:r w:rsidR="00DB138F">
        <w:rPr>
          <w:rFonts w:ascii="Arial" w:hAnsi="Arial" w:cs="Arial"/>
          <w:b/>
        </w:rPr>
        <w:t>,</w:t>
      </w:r>
      <w:r w:rsidR="00FF7D3C">
        <w:rPr>
          <w:rFonts w:ascii="Arial" w:hAnsi="Arial" w:cs="Arial"/>
          <w:b/>
        </w:rPr>
        <w:t xml:space="preserve"> </w:t>
      </w:r>
      <w:r w:rsidR="00DB138F" w:rsidRPr="00DB138F">
        <w:rPr>
          <w:rFonts w:ascii="Arial" w:hAnsi="Arial" w:cs="Arial"/>
          <w:b/>
        </w:rPr>
        <w:t>SA WG3</w:t>
      </w:r>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r w:rsidR="00F45844" w:rsidRPr="00D25178">
        <w:t>3GPP RAN WG</w:t>
      </w:r>
      <w:r w:rsidR="00F45844">
        <w:t>1</w:t>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471B4B3B"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F52F25">
        <w:rPr>
          <w:rFonts w:ascii="Arial" w:hAnsi="Arial" w:cs="Arial"/>
        </w:rPr>
        <w:t>the following questions</w:t>
      </w:r>
      <w:r w:rsidR="004941C0">
        <w:rPr>
          <w:rFonts w:ascii="Arial" w:hAnsi="Arial" w:cs="Arial"/>
        </w:rPr>
        <w:t>.</w:t>
      </w:r>
    </w:p>
    <w:p w14:paraId="4B80EE0E" w14:textId="70113DFC" w:rsidR="00F52F25" w:rsidRDefault="00F52F25" w:rsidP="00F52F25">
      <w:pPr>
        <w:spacing w:after="120"/>
        <w:jc w:val="both"/>
        <w:rPr>
          <w:rFonts w:ascii="Arial" w:hAnsi="Arial" w:cs="Arial"/>
        </w:rPr>
      </w:pPr>
      <w:r>
        <w:rPr>
          <w:rFonts w:ascii="Arial" w:hAnsi="Arial" w:cs="Arial"/>
        </w:rPr>
        <w:t>A) On 5GS time synchronization status report towards the UE(s) (KI#1):</w:t>
      </w:r>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41C70ED7" w:rsidR="001616E7" w:rsidRDefault="00F155E8" w:rsidP="00526CEE">
      <w:pPr>
        <w:spacing w:after="120"/>
        <w:jc w:val="both"/>
        <w:rPr>
          <w:rFonts w:ascii="Arial" w:hAnsi="Arial" w:cs="Arial"/>
        </w:rPr>
      </w:pPr>
      <w:r>
        <w:rPr>
          <w:rFonts w:ascii="Arial" w:hAnsi="Arial" w:cs="Arial"/>
        </w:rPr>
        <w:t xml:space="preserve">In this regard, </w:t>
      </w:r>
      <w:r w:rsidR="003B28BD">
        <w:rPr>
          <w:rFonts w:ascii="Arial" w:hAnsi="Arial" w:cs="Arial"/>
        </w:rPr>
        <w:t xml:space="preserve">SA2 has discussed different methods on how the </w:t>
      </w:r>
      <w:r w:rsidR="00EC4F88">
        <w:rPr>
          <w:rFonts w:ascii="Arial" w:hAnsi="Arial" w:cs="Arial"/>
        </w:rPr>
        <w:t xml:space="preserve">RAN </w:t>
      </w:r>
      <w:r w:rsidR="003B28BD">
        <w:rPr>
          <w:rFonts w:ascii="Arial" w:hAnsi="Arial" w:cs="Arial"/>
        </w:rPr>
        <w:t xml:space="preserve">time synchronization status </w:t>
      </w:r>
      <w:r w:rsidR="004228D2">
        <w:rPr>
          <w:rFonts w:ascii="Arial" w:hAnsi="Arial" w:cs="Arial"/>
        </w:rPr>
        <w:t xml:space="preserve">(i.e., the time synchronization status of an NG-RAN node) </w:t>
      </w:r>
      <w:r w:rsidR="003B28BD">
        <w:rPr>
          <w:rFonts w:ascii="Arial" w:hAnsi="Arial" w:cs="Arial"/>
        </w:rPr>
        <w:t>can be provided to UE(s</w:t>
      </w:r>
      <w:r w:rsidR="007C15C7">
        <w:rPr>
          <w:rFonts w:ascii="Arial" w:hAnsi="Arial" w:cs="Arial"/>
        </w:rPr>
        <w:t>)</w:t>
      </w:r>
      <w:r w:rsidR="00266CC9">
        <w:rPr>
          <w:rFonts w:ascii="Arial" w:hAnsi="Arial" w:cs="Arial"/>
        </w:rPr>
        <w:t>. These methods are</w:t>
      </w:r>
      <w:r w:rsidR="007C15C7">
        <w:rPr>
          <w:rFonts w:ascii="Arial" w:hAnsi="Arial" w:cs="Arial"/>
        </w:rPr>
        <w:t xml:space="preserve"> </w:t>
      </w:r>
      <w:r w:rsidR="00266CC9">
        <w:rPr>
          <w:rFonts w:ascii="Arial" w:hAnsi="Arial" w:cs="Arial"/>
        </w:rPr>
        <w:t>documented in TR 23.700-25 Annex A</w:t>
      </w:r>
      <w:r w:rsidR="004228D2">
        <w:rPr>
          <w:rFonts w:ascii="Arial" w:hAnsi="Arial" w:cs="Arial"/>
        </w:rPr>
        <w:t>. Related to these methods</w:t>
      </w:r>
      <w:r w:rsidR="00EC4F88">
        <w:rPr>
          <w:rFonts w:ascii="Arial" w:hAnsi="Arial" w:cs="Arial"/>
        </w:rPr>
        <w:t xml:space="preserve"> </w:t>
      </w:r>
      <w:r w:rsidR="00CE3EBE">
        <w:rPr>
          <w:rFonts w:ascii="Arial" w:hAnsi="Arial" w:cs="Arial"/>
        </w:rPr>
        <w:t>SA2 has the following questions</w:t>
      </w:r>
      <w:r w:rsidR="001616E7">
        <w:rPr>
          <w:rFonts w:ascii="Arial" w:hAnsi="Arial" w:cs="Arial"/>
        </w:rPr>
        <w:t>:</w:t>
      </w:r>
    </w:p>
    <w:p w14:paraId="606864D6" w14:textId="74E42E5C" w:rsidR="00EC4F88" w:rsidRDefault="00EC4F88" w:rsidP="00526CEE">
      <w:pPr>
        <w:spacing w:after="120"/>
        <w:jc w:val="both"/>
        <w:rPr>
          <w:rFonts w:ascii="Arial" w:hAnsi="Arial" w:cs="Arial"/>
        </w:rPr>
      </w:pPr>
      <w:r>
        <w:rPr>
          <w:rFonts w:ascii="Arial" w:hAnsi="Arial" w:cs="Arial"/>
        </w:rPr>
        <w:t>RAN2:</w:t>
      </w:r>
    </w:p>
    <w:p w14:paraId="30BE9CBC" w14:textId="32C8EC21" w:rsidR="00333602" w:rsidRDefault="004228D2" w:rsidP="001616E7">
      <w:pPr>
        <w:pStyle w:val="ListParagraph"/>
        <w:numPr>
          <w:ilvl w:val="0"/>
          <w:numId w:val="20"/>
        </w:numPr>
        <w:spacing w:after="120"/>
        <w:jc w:val="both"/>
        <w:rPr>
          <w:rFonts w:ascii="Arial" w:hAnsi="Arial" w:cs="Arial"/>
        </w:rPr>
      </w:pPr>
      <w:r>
        <w:rPr>
          <w:rFonts w:ascii="Arial" w:hAnsi="Arial" w:cs="Arial"/>
        </w:rPr>
        <w:t xml:space="preserve">Please provide feedback on the </w:t>
      </w:r>
      <w:r w:rsidR="00BF6781">
        <w:rPr>
          <w:rFonts w:ascii="Arial" w:hAnsi="Arial" w:cs="Arial"/>
        </w:rPr>
        <w:t xml:space="preserve">methods listed in Annex A </w:t>
      </w:r>
      <w:r w:rsidR="00EC4F88">
        <w:rPr>
          <w:rFonts w:ascii="Arial" w:hAnsi="Arial" w:cs="Arial"/>
        </w:rPr>
        <w:t>from RAN2 perspective</w:t>
      </w:r>
      <w:r>
        <w:rPr>
          <w:rFonts w:ascii="Arial" w:hAnsi="Arial" w:cs="Arial"/>
        </w:rPr>
        <w:t>.</w:t>
      </w:r>
    </w:p>
    <w:p w14:paraId="2DC4F40A" w14:textId="2CE6F834" w:rsidR="00EC4F88" w:rsidRPr="00E74182" w:rsidRDefault="00EC4F88" w:rsidP="00E7418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7C00C52F" w14:textId="285959B4" w:rsidR="00F61729" w:rsidRDefault="00EC4F88" w:rsidP="001616E7">
      <w:pPr>
        <w:pStyle w:val="ListParagraph"/>
        <w:numPr>
          <w:ilvl w:val="0"/>
          <w:numId w:val="20"/>
        </w:numPr>
        <w:spacing w:after="120"/>
        <w:jc w:val="both"/>
        <w:rPr>
          <w:rFonts w:ascii="Arial" w:hAnsi="Arial" w:cs="Arial"/>
        </w:rPr>
      </w:pPr>
      <w:r>
        <w:rPr>
          <w:rFonts w:ascii="Arial" w:hAnsi="Arial" w:cs="Arial"/>
        </w:rPr>
        <w:t>O</w:t>
      </w:r>
      <w:r w:rsidR="00F61729">
        <w:rPr>
          <w:rFonts w:ascii="Arial" w:hAnsi="Arial" w:cs="Arial"/>
        </w:rPr>
        <w:t xml:space="preserve">ne </w:t>
      </w:r>
      <w:r>
        <w:rPr>
          <w:rFonts w:ascii="Arial" w:hAnsi="Arial" w:cs="Arial"/>
        </w:rPr>
        <w:t>method</w:t>
      </w:r>
      <w:r w:rsidR="00F61729">
        <w:rPr>
          <w:rFonts w:ascii="Arial" w:hAnsi="Arial" w:cs="Arial"/>
        </w:rPr>
        <w:t xml:space="preserve"> proposes to use the Ciphered SIB approach </w:t>
      </w:r>
      <w:r>
        <w:rPr>
          <w:rFonts w:ascii="Arial" w:hAnsi="Arial" w:cs="Arial"/>
        </w:rPr>
        <w:t xml:space="preserve">that is </w:t>
      </w:r>
      <w:r w:rsidR="00F61729">
        <w:rPr>
          <w:rFonts w:ascii="Arial" w:hAnsi="Arial" w:cs="Arial"/>
        </w:rPr>
        <w:t xml:space="preserve">used for </w:t>
      </w:r>
      <w:r>
        <w:rPr>
          <w:rFonts w:ascii="Arial" w:hAnsi="Arial" w:cs="Arial"/>
        </w:rPr>
        <w:t xml:space="preserve">broadcast of assistance data for </w:t>
      </w:r>
      <w:r w:rsidR="00F61729">
        <w:rPr>
          <w:rFonts w:ascii="Arial" w:hAnsi="Arial" w:cs="Arial"/>
        </w:rPr>
        <w:t xml:space="preserve">positioning. SA2 would like to </w:t>
      </w:r>
      <w:r>
        <w:rPr>
          <w:rFonts w:ascii="Arial" w:hAnsi="Arial" w:cs="Arial"/>
        </w:rPr>
        <w:t>additionally</w:t>
      </w:r>
      <w:r w:rsidR="00F61729">
        <w:rPr>
          <w:rFonts w:ascii="Arial" w:hAnsi="Arial" w:cs="Arial"/>
        </w:rPr>
        <w:t xml:space="preserve"> </w:t>
      </w:r>
      <w:r>
        <w:rPr>
          <w:rFonts w:ascii="Arial" w:hAnsi="Arial" w:cs="Arial"/>
        </w:rPr>
        <w:t xml:space="preserve">get </w:t>
      </w:r>
      <w:r w:rsidR="00F61729">
        <w:rPr>
          <w:rFonts w:ascii="Arial" w:hAnsi="Arial" w:cs="Arial"/>
        </w:rPr>
        <w:t>feedback on this from SA3</w:t>
      </w:r>
      <w:r>
        <w:rPr>
          <w:rFonts w:ascii="Arial" w:hAnsi="Arial" w:cs="Arial"/>
        </w:rPr>
        <w:t xml:space="preserve"> and</w:t>
      </w:r>
      <w:r w:rsidR="00F61729">
        <w:rPr>
          <w:rFonts w:ascii="Arial" w:hAnsi="Arial" w:cs="Arial"/>
        </w:rPr>
        <w:t xml:space="preserve"> RAN3</w:t>
      </w:r>
      <w:r>
        <w:rPr>
          <w:rFonts w:ascii="Arial" w:hAnsi="Arial" w:cs="Arial"/>
        </w:rPr>
        <w:t xml:space="preserve"> from security and NGAP impact perspective, respectively.</w:t>
      </w:r>
    </w:p>
    <w:p w14:paraId="136B669C" w14:textId="59EF4293" w:rsidR="00AE10BB" w:rsidRDefault="00AE10BB" w:rsidP="00CE18C0">
      <w:pPr>
        <w:spacing w:after="120"/>
        <w:jc w:val="both"/>
        <w:rPr>
          <w:rFonts w:ascii="Arial" w:hAnsi="Arial" w:cs="Arial"/>
        </w:rPr>
      </w:pPr>
    </w:p>
    <w:p w14:paraId="59805031" w14:textId="5632A5D8" w:rsidR="00F52F25" w:rsidRDefault="00F52F25" w:rsidP="00F52F25">
      <w:pPr>
        <w:spacing w:after="120"/>
        <w:jc w:val="both"/>
        <w:rPr>
          <w:rFonts w:ascii="Arial" w:hAnsi="Arial" w:cs="Arial"/>
        </w:rPr>
      </w:pPr>
      <w:r>
        <w:rPr>
          <w:rFonts w:ascii="Arial" w:hAnsi="Arial" w:cs="Arial"/>
        </w:rPr>
        <w:t>B) On additional methods to obtain RAN timing synchronization status from NG-RAN via control plane signalling (KI#1):</w:t>
      </w:r>
    </w:p>
    <w:p w14:paraId="2A915D24" w14:textId="77777777" w:rsidR="00F52F25" w:rsidRDefault="00F52F25" w:rsidP="00F52F25">
      <w:pPr>
        <w:spacing w:after="120"/>
        <w:jc w:val="both"/>
        <w:rPr>
          <w:rFonts w:ascii="Arial" w:hAnsi="Arial" w:cs="Arial"/>
        </w:rPr>
      </w:pPr>
      <w:r>
        <w:rPr>
          <w:rFonts w:ascii="Arial" w:hAnsi="Arial" w:cs="Arial"/>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p w14:paraId="234AE68D" w14:textId="77777777" w:rsidR="00F52F25" w:rsidRDefault="00F52F25" w:rsidP="00F52F25">
      <w:pPr>
        <w:spacing w:after="120"/>
        <w:jc w:val="both"/>
        <w:rPr>
          <w:rFonts w:ascii="Arial" w:hAnsi="Arial" w:cs="Arial"/>
        </w:rPr>
      </w:pPr>
      <w:r>
        <w:rPr>
          <w:rFonts w:ascii="Arial" w:hAnsi="Arial" w:cs="Arial"/>
        </w:rPr>
        <w:t>RAN3:</w:t>
      </w:r>
    </w:p>
    <w:p w14:paraId="7E1C147E" w14:textId="40E065CD" w:rsidR="00F52F25" w:rsidRDefault="00F52F25" w:rsidP="00F52F25">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r w:rsidR="00136291">
        <w:rPr>
          <w:rFonts w:ascii="Arial" w:hAnsi="Arial" w:cs="Arial"/>
          <w:b/>
        </w:rPr>
        <w:t>, SA3, RAN3</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7BAE35AC"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136291">
        <w:rPr>
          <w:rFonts w:ascii="Arial" w:hAnsi="Arial" w:cs="Arial"/>
        </w:rPr>
        <w:t>, RAN3 and SA3</w:t>
      </w:r>
      <w:r w:rsidR="00D25178">
        <w:rPr>
          <w:rFonts w:ascii="Arial" w:hAnsi="Arial" w:cs="Arial"/>
        </w:rPr>
        <w:t xml:space="preserve"> to </w:t>
      </w:r>
      <w:r w:rsidR="00C74F0A">
        <w:rPr>
          <w:rFonts w:ascii="Arial" w:hAnsi="Arial" w:cs="Arial"/>
        </w:rPr>
        <w:t>provide feedback.</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3F303" w14:textId="77777777" w:rsidR="00457051" w:rsidRDefault="00457051">
      <w:r>
        <w:separator/>
      </w:r>
    </w:p>
  </w:endnote>
  <w:endnote w:type="continuationSeparator" w:id="0">
    <w:p w14:paraId="5ADA29B6" w14:textId="77777777" w:rsidR="00457051" w:rsidRDefault="0045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568F" w14:textId="77777777" w:rsidR="00457051" w:rsidRDefault="00457051">
      <w:r>
        <w:separator/>
      </w:r>
    </w:p>
  </w:footnote>
  <w:footnote w:type="continuationSeparator" w:id="0">
    <w:p w14:paraId="1E1D8A33" w14:textId="77777777" w:rsidR="00457051" w:rsidRDefault="00457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4844155">
    <w:abstractNumId w:val="18"/>
  </w:num>
  <w:num w:numId="2" w16cid:durableId="769085828">
    <w:abstractNumId w:val="17"/>
  </w:num>
  <w:num w:numId="3" w16cid:durableId="46993770">
    <w:abstractNumId w:val="16"/>
  </w:num>
  <w:num w:numId="4" w16cid:durableId="1541432631">
    <w:abstractNumId w:val="13"/>
  </w:num>
  <w:num w:numId="5" w16cid:durableId="1211528219">
    <w:abstractNumId w:val="9"/>
  </w:num>
  <w:num w:numId="6" w16cid:durableId="1748530383">
    <w:abstractNumId w:val="7"/>
  </w:num>
  <w:num w:numId="7" w16cid:durableId="582182914">
    <w:abstractNumId w:val="6"/>
  </w:num>
  <w:num w:numId="8" w16cid:durableId="1656227184">
    <w:abstractNumId w:val="5"/>
  </w:num>
  <w:num w:numId="9" w16cid:durableId="1703170244">
    <w:abstractNumId w:val="4"/>
  </w:num>
  <w:num w:numId="10" w16cid:durableId="562912770">
    <w:abstractNumId w:val="8"/>
  </w:num>
  <w:num w:numId="11" w16cid:durableId="1505706136">
    <w:abstractNumId w:val="3"/>
  </w:num>
  <w:num w:numId="12" w16cid:durableId="1771008178">
    <w:abstractNumId w:val="2"/>
  </w:num>
  <w:num w:numId="13" w16cid:durableId="1090658915">
    <w:abstractNumId w:val="1"/>
  </w:num>
  <w:num w:numId="14" w16cid:durableId="480343472">
    <w:abstractNumId w:val="0"/>
  </w:num>
  <w:num w:numId="15" w16cid:durableId="2123645923">
    <w:abstractNumId w:val="11"/>
  </w:num>
  <w:num w:numId="16" w16cid:durableId="836455325">
    <w:abstractNumId w:val="19"/>
  </w:num>
  <w:num w:numId="17" w16cid:durableId="325089984">
    <w:abstractNumId w:val="10"/>
  </w:num>
  <w:num w:numId="18" w16cid:durableId="562449643">
    <w:abstractNumId w:val="12"/>
  </w:num>
  <w:num w:numId="19" w16cid:durableId="259875128">
    <w:abstractNumId w:val="14"/>
  </w:num>
  <w:num w:numId="20" w16cid:durableId="61933604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57051"/>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2D3C"/>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737E8"/>
    <w:rsid w:val="00E74182"/>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6A9788-3D2B-4DCB-B398-C906A318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A1670-DD4C-42D3-848D-22292EE1F891}">
  <ds:schemaRefs>
    <ds:schemaRef ds:uri="Microsoft.SharePoint.Taxonomy.ContentTypeSync"/>
  </ds:schemaRefs>
</ds:datastoreItem>
</file>

<file path=customXml/itemProps3.xml><?xml version="1.0" encoding="utf-8"?>
<ds:datastoreItem xmlns:ds="http://schemas.openxmlformats.org/officeDocument/2006/customXml" ds:itemID="{D840F00F-2441-4D14-B5B6-186365CD82CD}">
  <ds:schemaRefs>
    <ds:schemaRef ds:uri="http://schemas.microsoft.com/sharepoint/events"/>
  </ds:schemaRefs>
</ds:datastoreItem>
</file>

<file path=customXml/itemProps4.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603877A-EDCF-4F86-B3F6-B02B9B7789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5870</cp:lastModifiedBy>
  <cp:revision>6</cp:revision>
  <cp:lastPrinted>2002-04-23T07:10:00Z</cp:lastPrinted>
  <dcterms:created xsi:type="dcterms:W3CDTF">2022-10-11T20:57:00Z</dcterms:created>
  <dcterms:modified xsi:type="dcterms:W3CDTF">2022-10-28T12:58:00Z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