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B5D3" w14:textId="65EC2DBA" w:rsidR="00FD3ACC" w:rsidRDefault="00A06353">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w:t>
      </w:r>
      <w:r w:rsidR="002F2A7C">
        <w:rPr>
          <w:rFonts w:ascii="Arial" w:eastAsia="SimSun" w:hAnsi="Arial" w:cs="Arial"/>
          <w:b/>
          <w:bCs/>
          <w:sz w:val="22"/>
          <w:szCs w:val="22"/>
          <w:lang w:val="de-DE" w:eastAsia="en-US"/>
        </w:rPr>
        <w:t>111</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R1-22xxxxx</w:t>
      </w:r>
    </w:p>
    <w:p w14:paraId="293FF9F4" w14:textId="77777777" w:rsidR="0076571A" w:rsidRDefault="0076571A" w:rsidP="0076571A">
      <w:pPr>
        <w:pStyle w:val="CRCoverPage"/>
        <w:tabs>
          <w:tab w:val="right" w:pos="9639"/>
        </w:tabs>
        <w:spacing w:afterLines="50"/>
        <w:rPr>
          <w:rFonts w:ascii="Times New Roman" w:hAnsi="Times New Roman"/>
          <w:b/>
          <w:noProof/>
          <w:sz w:val="24"/>
        </w:rPr>
      </w:pPr>
      <w:bookmarkStart w:id="0" w:name="_Hlk115114929"/>
      <w:bookmarkStart w:id="1" w:name="_Hlk111652075"/>
      <w:r>
        <w:rPr>
          <w:rFonts w:ascii="Times New Roman" w:hAnsi="Times New Roman"/>
          <w:b/>
          <w:noProof/>
          <w:sz w:val="24"/>
        </w:rPr>
        <w:t>Toulouse, FR November 14 – 18, 2022</w:t>
      </w:r>
      <w:bookmarkEnd w:id="0"/>
    </w:p>
    <w:bookmarkEnd w:id="1"/>
    <w:p w14:paraId="6AE48FED" w14:textId="77777777" w:rsidR="00FD3ACC" w:rsidRDefault="00FD3ACC">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5D727906" w14:textId="77777777" w:rsidR="00FD3ACC" w:rsidRDefault="00A06353">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8.2</w:t>
      </w:r>
    </w:p>
    <w:p w14:paraId="0B99B3D3" w14:textId="77777777" w:rsidR="00FD3ACC" w:rsidRDefault="00A06353">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Incorporated (Moderator)</w:t>
      </w:r>
    </w:p>
    <w:p w14:paraId="2294548F" w14:textId="0D621BAF" w:rsidR="00FD3ACC" w:rsidRDefault="00A06353">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r>
      <w:r w:rsidR="0065548F">
        <w:rPr>
          <w:rFonts w:ascii="Arial" w:eastAsia="SimSun" w:hAnsi="Arial" w:cs="Arial"/>
          <w:b/>
          <w:bCs/>
          <w:sz w:val="22"/>
          <w:szCs w:val="20"/>
          <w:lang w:val="en-GB" w:eastAsia="zh-CN"/>
        </w:rPr>
        <w:t>Preparation Phase discussion on</w:t>
      </w:r>
      <w:r>
        <w:rPr>
          <w:rFonts w:ascii="Arial" w:eastAsia="SimSun" w:hAnsi="Arial" w:cs="Arial"/>
          <w:b/>
          <w:bCs/>
          <w:sz w:val="22"/>
          <w:szCs w:val="20"/>
          <w:lang w:val="en-GB" w:eastAsia="zh-CN"/>
        </w:rPr>
        <w:t xml:space="preserve"> Maintenance of Channel Access Mechanisms for NR in 52.6 to 71GHz band</w:t>
      </w:r>
    </w:p>
    <w:p w14:paraId="2F7CC08D" w14:textId="77777777" w:rsidR="00FD3ACC" w:rsidRDefault="00A06353">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5FF3A974" w14:textId="77777777" w:rsidR="00FD3ACC" w:rsidRDefault="00FD3ACC">
      <w:pPr>
        <w:ind w:left="360" w:hanging="360"/>
      </w:pPr>
    </w:p>
    <w:p w14:paraId="21B8A4E1" w14:textId="07CCC738" w:rsidR="00FD3ACC" w:rsidRDefault="00A06353" w:rsidP="000012F9">
      <w:pPr>
        <w:pStyle w:val="Heading1"/>
        <w:numPr>
          <w:ilvl w:val="0"/>
          <w:numId w:val="33"/>
        </w:numPr>
      </w:pPr>
      <w:r>
        <w:t>Issues for Channel Access Aspects</w:t>
      </w:r>
    </w:p>
    <w:p w14:paraId="56035D20" w14:textId="4D426948" w:rsidR="0065548F" w:rsidRPr="0065548F" w:rsidRDefault="0065548F" w:rsidP="0065548F">
      <w:pPr>
        <w:rPr>
          <w:lang w:val="en-GB"/>
        </w:rPr>
      </w:pPr>
      <w:r>
        <w:rPr>
          <w:lang w:val="en-GB"/>
        </w:rPr>
        <w:t>The following issues have been identified from the submitted papers on channel access mechanism for NR in 52.6 to 71GHz band.</w:t>
      </w:r>
    </w:p>
    <w:p w14:paraId="2FA6705E" w14:textId="77777777" w:rsidR="00D1618D" w:rsidRPr="00BD5216" w:rsidRDefault="00D1618D" w:rsidP="00BD5216"/>
    <w:p w14:paraId="439A0821" w14:textId="77777777" w:rsidR="00FD3ACC" w:rsidRDefault="00A06353">
      <w:pPr>
        <w:spacing w:after="160" w:line="259" w:lineRule="auto"/>
        <w:jc w:val="center"/>
        <w:rPr>
          <w:b/>
          <w:bCs/>
          <w:kern w:val="2"/>
        </w:rPr>
      </w:pPr>
      <w:r>
        <w:rPr>
          <w:b/>
        </w:rPr>
        <w:t>Table 1 – Identified issues for Channel Access Aspects</w:t>
      </w:r>
    </w:p>
    <w:tbl>
      <w:tblPr>
        <w:tblStyle w:val="TableGrid"/>
        <w:tblW w:w="4894" w:type="pct"/>
        <w:tblLook w:val="04A0" w:firstRow="1" w:lastRow="0" w:firstColumn="1" w:lastColumn="0" w:noHBand="0" w:noVBand="1"/>
      </w:tblPr>
      <w:tblGrid>
        <w:gridCol w:w="803"/>
        <w:gridCol w:w="4232"/>
        <w:gridCol w:w="4681"/>
      </w:tblGrid>
      <w:tr w:rsidR="00FB3C0F" w14:paraId="05E0E884" w14:textId="3AF96F6C" w:rsidTr="00134CA2">
        <w:trPr>
          <w:trHeight w:val="53"/>
        </w:trPr>
        <w:tc>
          <w:tcPr>
            <w:tcW w:w="413" w:type="pct"/>
            <w:shd w:val="clear" w:color="auto" w:fill="BFBFBF" w:themeFill="background1" w:themeFillShade="BF"/>
            <w:vAlign w:val="center"/>
          </w:tcPr>
          <w:p w14:paraId="0736C344" w14:textId="77777777" w:rsidR="00FB3C0F" w:rsidRDefault="00FB3C0F">
            <w:pPr>
              <w:snapToGrid w:val="0"/>
              <w:rPr>
                <w:b/>
                <w:sz w:val="22"/>
                <w:szCs w:val="22"/>
              </w:rPr>
            </w:pPr>
            <w:r>
              <w:rPr>
                <w:b/>
                <w:sz w:val="22"/>
                <w:szCs w:val="22"/>
              </w:rPr>
              <w:t>Issue#</w:t>
            </w:r>
          </w:p>
        </w:tc>
        <w:tc>
          <w:tcPr>
            <w:tcW w:w="2178" w:type="pct"/>
            <w:shd w:val="clear" w:color="auto" w:fill="BFBFBF" w:themeFill="background1" w:themeFillShade="BF"/>
            <w:vAlign w:val="center"/>
          </w:tcPr>
          <w:p w14:paraId="5AEDC30C" w14:textId="77777777" w:rsidR="00FB3C0F" w:rsidRDefault="00FB3C0F">
            <w:pPr>
              <w:snapToGrid w:val="0"/>
              <w:rPr>
                <w:b/>
                <w:sz w:val="22"/>
                <w:szCs w:val="22"/>
              </w:rPr>
            </w:pPr>
            <w:r>
              <w:rPr>
                <w:b/>
                <w:sz w:val="22"/>
                <w:szCs w:val="22"/>
              </w:rPr>
              <w:t>Issue</w:t>
            </w:r>
          </w:p>
        </w:tc>
        <w:tc>
          <w:tcPr>
            <w:tcW w:w="2409" w:type="pct"/>
            <w:shd w:val="clear" w:color="auto" w:fill="BFBFBF" w:themeFill="background1" w:themeFillShade="BF"/>
            <w:vAlign w:val="center"/>
          </w:tcPr>
          <w:p w14:paraId="6E6077CD" w14:textId="77777777" w:rsidR="00FB3C0F" w:rsidRDefault="00FB3C0F">
            <w:pPr>
              <w:snapToGrid w:val="0"/>
              <w:rPr>
                <w:b/>
                <w:sz w:val="22"/>
                <w:szCs w:val="22"/>
              </w:rPr>
            </w:pPr>
            <w:r>
              <w:rPr>
                <w:b/>
                <w:sz w:val="22"/>
                <w:szCs w:val="22"/>
              </w:rPr>
              <w:t>References</w:t>
            </w:r>
          </w:p>
        </w:tc>
      </w:tr>
      <w:tr w:rsidR="00FB3C0F" w14:paraId="005655F1" w14:textId="3D8DBEC6" w:rsidTr="00134CA2">
        <w:trPr>
          <w:trHeight w:val="66"/>
        </w:trPr>
        <w:tc>
          <w:tcPr>
            <w:tcW w:w="413" w:type="pct"/>
            <w:vAlign w:val="center"/>
          </w:tcPr>
          <w:p w14:paraId="2044B8F1" w14:textId="36331219" w:rsidR="00FB3C0F" w:rsidRDefault="007B2DC2">
            <w:pPr>
              <w:snapToGrid w:val="0"/>
              <w:rPr>
                <w:sz w:val="22"/>
                <w:szCs w:val="22"/>
              </w:rPr>
            </w:pPr>
            <w:r>
              <w:rPr>
                <w:sz w:val="22"/>
                <w:szCs w:val="22"/>
              </w:rPr>
              <w:t>CA-1</w:t>
            </w:r>
          </w:p>
        </w:tc>
        <w:tc>
          <w:tcPr>
            <w:tcW w:w="2178" w:type="pct"/>
            <w:vAlign w:val="center"/>
          </w:tcPr>
          <w:p w14:paraId="0777B6BE" w14:textId="5B26BF2F" w:rsidR="00FB3C0F" w:rsidRDefault="00FB3C0F">
            <w:pPr>
              <w:snapToGrid w:val="0"/>
              <w:rPr>
                <w:rFonts w:eastAsia="DengXian"/>
                <w:color w:val="000000" w:themeColor="text1"/>
                <w:sz w:val="22"/>
                <w:szCs w:val="22"/>
                <w:lang w:eastAsia="zh-CN"/>
              </w:rPr>
            </w:pPr>
            <w:r>
              <w:rPr>
                <w:rFonts w:eastAsia="DengXian"/>
                <w:color w:val="000000" w:themeColor="text1"/>
                <w:sz w:val="22"/>
                <w:szCs w:val="22"/>
                <w:lang w:eastAsia="zh-CN"/>
              </w:rPr>
              <w:t>Control of SCSt based msg1/msgA transmission</w:t>
            </w:r>
          </w:p>
        </w:tc>
        <w:tc>
          <w:tcPr>
            <w:tcW w:w="2409" w:type="pct"/>
            <w:vAlign w:val="center"/>
          </w:tcPr>
          <w:p w14:paraId="12206884" w14:textId="117AD1FE" w:rsidR="00FB3C0F" w:rsidRPr="000012F9" w:rsidRDefault="00FB3C0F">
            <w:pPr>
              <w:snapToGrid w:val="0"/>
              <w:rPr>
                <w:sz w:val="22"/>
                <w:szCs w:val="22"/>
              </w:rPr>
            </w:pPr>
            <w:r w:rsidRPr="000012F9">
              <w:rPr>
                <w:rFonts w:eastAsia="Batang"/>
                <w:sz w:val="22"/>
                <w:szCs w:val="22"/>
                <w:lang w:val="en-GB"/>
              </w:rPr>
              <w:t xml:space="preserve">HW[1], vivo[2], </w:t>
            </w:r>
            <w:r w:rsidR="00F416D9" w:rsidRPr="000012F9">
              <w:rPr>
                <w:rFonts w:eastAsia="Batang"/>
                <w:sz w:val="22"/>
                <w:szCs w:val="22"/>
                <w:lang w:val="en-GB"/>
              </w:rPr>
              <w:t xml:space="preserve">CATT </w:t>
            </w:r>
            <w:r w:rsidR="007E450E" w:rsidRPr="000012F9">
              <w:rPr>
                <w:rFonts w:eastAsia="Batang"/>
                <w:sz w:val="22"/>
                <w:szCs w:val="22"/>
                <w:lang w:val="en-GB"/>
              </w:rPr>
              <w:t>[5],</w:t>
            </w:r>
            <w:r w:rsidR="00EC6DDA" w:rsidRPr="000012F9">
              <w:rPr>
                <w:rFonts w:eastAsia="Batang"/>
                <w:sz w:val="22"/>
                <w:szCs w:val="22"/>
                <w:lang w:val="en-GB"/>
              </w:rPr>
              <w:t xml:space="preserve"> ZTE [</w:t>
            </w:r>
            <w:r w:rsidR="004B0238" w:rsidRPr="000012F9">
              <w:rPr>
                <w:rFonts w:eastAsia="Batang"/>
                <w:sz w:val="22"/>
                <w:szCs w:val="22"/>
                <w:lang w:val="en-GB"/>
              </w:rPr>
              <w:t>6]</w:t>
            </w:r>
            <w:r w:rsidR="0013618A" w:rsidRPr="000012F9">
              <w:rPr>
                <w:rFonts w:eastAsia="Batang"/>
                <w:sz w:val="22"/>
                <w:szCs w:val="22"/>
                <w:lang w:val="en-GB"/>
              </w:rPr>
              <w:t>, intel [9]</w:t>
            </w:r>
            <w:r w:rsidR="00E8638C" w:rsidRPr="000012F9">
              <w:rPr>
                <w:rFonts w:eastAsia="Batang"/>
                <w:sz w:val="22"/>
                <w:szCs w:val="22"/>
                <w:lang w:val="en-GB"/>
              </w:rPr>
              <w:t>, OPPO [10],[11]</w:t>
            </w:r>
            <w:r w:rsidR="00F50A94" w:rsidRPr="000012F9">
              <w:rPr>
                <w:rFonts w:eastAsia="Batang"/>
                <w:sz w:val="22"/>
                <w:szCs w:val="22"/>
                <w:lang w:val="en-GB"/>
              </w:rPr>
              <w:t>, Ericsson [12]</w:t>
            </w:r>
            <w:r w:rsidR="006064AB" w:rsidRPr="000012F9">
              <w:rPr>
                <w:rFonts w:eastAsia="Batang"/>
                <w:sz w:val="22"/>
                <w:szCs w:val="22"/>
                <w:lang w:val="en-GB"/>
              </w:rPr>
              <w:t>, [13]</w:t>
            </w:r>
            <w:r w:rsidR="006704E4" w:rsidRPr="000012F9">
              <w:rPr>
                <w:rFonts w:eastAsia="Batang"/>
                <w:sz w:val="22"/>
                <w:szCs w:val="22"/>
                <w:lang w:val="en-GB"/>
              </w:rPr>
              <w:t>, Docomo [15]</w:t>
            </w:r>
            <w:r w:rsidR="009824FA" w:rsidRPr="000012F9">
              <w:rPr>
                <w:rFonts w:eastAsia="Batang"/>
                <w:sz w:val="22"/>
                <w:szCs w:val="22"/>
                <w:lang w:val="en-GB"/>
              </w:rPr>
              <w:t>, Samsung [17]</w:t>
            </w:r>
            <w:r w:rsidR="007E40D0" w:rsidRPr="000012F9">
              <w:rPr>
                <w:rFonts w:eastAsia="Batang"/>
                <w:sz w:val="22"/>
                <w:szCs w:val="22"/>
                <w:lang w:val="en-GB"/>
              </w:rPr>
              <w:t xml:space="preserve">, </w:t>
            </w:r>
            <w:bookmarkStart w:id="2" w:name="_Hlk118980959"/>
            <w:r w:rsidR="007E40D0" w:rsidRPr="000012F9">
              <w:rPr>
                <w:rFonts w:eastAsia="Batang"/>
                <w:sz w:val="22"/>
                <w:szCs w:val="22"/>
                <w:lang w:val="en-GB"/>
              </w:rPr>
              <w:t xml:space="preserve">Qualcomm [18][19], </w:t>
            </w:r>
            <w:bookmarkEnd w:id="2"/>
            <w:r w:rsidR="00ED62CD" w:rsidRPr="000012F9">
              <w:rPr>
                <w:rFonts w:eastAsia="Batang"/>
                <w:sz w:val="22"/>
                <w:szCs w:val="22"/>
                <w:lang w:val="en-GB"/>
              </w:rPr>
              <w:t>LGE [21]</w:t>
            </w:r>
            <w:r w:rsidR="00265480" w:rsidRPr="000012F9">
              <w:rPr>
                <w:rFonts w:eastAsia="Batang"/>
                <w:sz w:val="22"/>
                <w:szCs w:val="22"/>
                <w:lang w:val="en-GB"/>
              </w:rPr>
              <w:t xml:space="preserve">[23], </w:t>
            </w:r>
            <w:r w:rsidR="12332910" w:rsidRPr="000012F9">
              <w:rPr>
                <w:rFonts w:eastAsia="Batang"/>
                <w:sz w:val="22"/>
                <w:szCs w:val="22"/>
                <w:lang w:val="en-GB"/>
              </w:rPr>
              <w:t>Nokia [26][27]</w:t>
            </w:r>
          </w:p>
        </w:tc>
      </w:tr>
      <w:tr w:rsidR="00FB3C0F" w14:paraId="4E314B31" w14:textId="289DFE59" w:rsidTr="00134CA2">
        <w:trPr>
          <w:trHeight w:val="66"/>
        </w:trPr>
        <w:tc>
          <w:tcPr>
            <w:tcW w:w="413" w:type="pct"/>
            <w:vAlign w:val="center"/>
          </w:tcPr>
          <w:p w14:paraId="0B2BA4B1" w14:textId="5EEAECEA" w:rsidR="00FB3C0F" w:rsidRDefault="007B2DC2">
            <w:pPr>
              <w:snapToGrid w:val="0"/>
              <w:rPr>
                <w:sz w:val="22"/>
                <w:szCs w:val="22"/>
              </w:rPr>
            </w:pPr>
            <w:r>
              <w:rPr>
                <w:sz w:val="22"/>
                <w:szCs w:val="22"/>
              </w:rPr>
              <w:t>CA-2</w:t>
            </w:r>
          </w:p>
        </w:tc>
        <w:tc>
          <w:tcPr>
            <w:tcW w:w="2178" w:type="pct"/>
            <w:vAlign w:val="center"/>
          </w:tcPr>
          <w:p w14:paraId="2459DF3D" w14:textId="45109FD4" w:rsidR="00FB3C0F" w:rsidRDefault="00FB3C0F">
            <w:pPr>
              <w:snapToGrid w:val="0"/>
              <w:rPr>
                <w:rFonts w:eastAsia="DengXian"/>
                <w:color w:val="000000" w:themeColor="text1"/>
                <w:sz w:val="22"/>
                <w:szCs w:val="22"/>
                <w:lang w:eastAsia="zh-CN"/>
              </w:rPr>
            </w:pPr>
            <w:r>
              <w:rPr>
                <w:rFonts w:eastAsia="DengXian"/>
                <w:color w:val="000000" w:themeColor="text1"/>
                <w:sz w:val="22"/>
                <w:szCs w:val="22"/>
                <w:lang w:eastAsia="zh-CN"/>
              </w:rPr>
              <w:t xml:space="preserve">Channel Access Type upgrade within gNB COT </w:t>
            </w:r>
          </w:p>
        </w:tc>
        <w:tc>
          <w:tcPr>
            <w:tcW w:w="2409" w:type="pct"/>
            <w:vAlign w:val="center"/>
          </w:tcPr>
          <w:p w14:paraId="1F3BA4E3" w14:textId="65502E11" w:rsidR="00FB3C0F" w:rsidRPr="000012F9" w:rsidRDefault="00FB3C0F">
            <w:pPr>
              <w:snapToGrid w:val="0"/>
              <w:rPr>
                <w:sz w:val="22"/>
                <w:szCs w:val="22"/>
              </w:rPr>
            </w:pPr>
            <w:r w:rsidRPr="000012F9">
              <w:rPr>
                <w:rFonts w:eastAsia="Batang"/>
                <w:sz w:val="22"/>
                <w:szCs w:val="22"/>
                <w:lang w:val="en-GB"/>
              </w:rPr>
              <w:t>HW[1], vivo[2],</w:t>
            </w:r>
            <w:r w:rsidR="005523C6" w:rsidRPr="000012F9">
              <w:rPr>
                <w:rFonts w:eastAsia="Batang"/>
                <w:sz w:val="22"/>
                <w:szCs w:val="22"/>
                <w:lang w:val="en-GB"/>
              </w:rPr>
              <w:t xml:space="preserve"> CATT [5],</w:t>
            </w:r>
            <w:r w:rsidR="5ED5471E" w:rsidRPr="000012F9">
              <w:rPr>
                <w:rFonts w:eastAsia="Batang"/>
                <w:sz w:val="22"/>
                <w:szCs w:val="22"/>
                <w:lang w:val="en-GB"/>
              </w:rPr>
              <w:t xml:space="preserve"> Wilus [31]</w:t>
            </w:r>
          </w:p>
        </w:tc>
      </w:tr>
      <w:tr w:rsidR="00AC5118" w14:paraId="14EC17AC" w14:textId="77777777" w:rsidTr="00134CA2">
        <w:trPr>
          <w:trHeight w:val="66"/>
        </w:trPr>
        <w:tc>
          <w:tcPr>
            <w:tcW w:w="413" w:type="pct"/>
            <w:vAlign w:val="center"/>
          </w:tcPr>
          <w:p w14:paraId="03ABA53D" w14:textId="3D3CE4EB" w:rsidR="00AC5118" w:rsidRDefault="007B2DC2">
            <w:pPr>
              <w:snapToGrid w:val="0"/>
              <w:rPr>
                <w:sz w:val="22"/>
                <w:szCs w:val="22"/>
              </w:rPr>
            </w:pPr>
            <w:r>
              <w:rPr>
                <w:sz w:val="22"/>
                <w:szCs w:val="22"/>
              </w:rPr>
              <w:t>CA-3</w:t>
            </w:r>
          </w:p>
        </w:tc>
        <w:tc>
          <w:tcPr>
            <w:tcW w:w="2178" w:type="pct"/>
            <w:vAlign w:val="center"/>
          </w:tcPr>
          <w:p w14:paraId="6AEED1ED" w14:textId="68544A53" w:rsidR="00AC5118" w:rsidRDefault="00AC5118">
            <w:pPr>
              <w:snapToGrid w:val="0"/>
              <w:rPr>
                <w:rFonts w:eastAsia="DengXian"/>
                <w:color w:val="000000" w:themeColor="text1"/>
                <w:sz w:val="22"/>
                <w:szCs w:val="22"/>
                <w:lang w:eastAsia="zh-CN"/>
              </w:rPr>
            </w:pPr>
            <w:bookmarkStart w:id="3" w:name="_Hlk118988929"/>
            <w:r>
              <w:rPr>
                <w:rFonts w:eastAsia="DengXian"/>
                <w:color w:val="000000" w:themeColor="text1"/>
                <w:sz w:val="22"/>
                <w:szCs w:val="22"/>
                <w:lang w:eastAsia="zh-CN"/>
              </w:rPr>
              <w:t>Channel Access Type for resuming UE COT after a gap</w:t>
            </w:r>
            <w:bookmarkEnd w:id="3"/>
          </w:p>
        </w:tc>
        <w:tc>
          <w:tcPr>
            <w:tcW w:w="2409" w:type="pct"/>
            <w:vAlign w:val="center"/>
          </w:tcPr>
          <w:p w14:paraId="66F856D9" w14:textId="7D11AF09" w:rsidR="00AC5118" w:rsidRPr="000012F9" w:rsidRDefault="00AC5118">
            <w:pPr>
              <w:snapToGrid w:val="0"/>
              <w:rPr>
                <w:rFonts w:eastAsia="Batang"/>
                <w:sz w:val="22"/>
                <w:szCs w:val="22"/>
                <w:lang w:val="en-GB"/>
              </w:rPr>
            </w:pPr>
            <w:r w:rsidRPr="000012F9">
              <w:rPr>
                <w:rFonts w:eastAsia="Batang"/>
                <w:sz w:val="22"/>
                <w:szCs w:val="22"/>
                <w:lang w:val="en-GB"/>
              </w:rPr>
              <w:t>HW[1],</w:t>
            </w:r>
            <w:r w:rsidR="00961B06" w:rsidRPr="000012F9">
              <w:rPr>
                <w:rFonts w:eastAsia="Batang"/>
                <w:sz w:val="22"/>
                <w:szCs w:val="22"/>
                <w:lang w:val="en-GB"/>
              </w:rPr>
              <w:t xml:space="preserve"> CATT [3]</w:t>
            </w:r>
            <w:r w:rsidR="001127A5" w:rsidRPr="000012F9">
              <w:rPr>
                <w:rFonts w:eastAsia="Batang"/>
                <w:sz w:val="22"/>
                <w:szCs w:val="22"/>
                <w:lang w:val="en-GB"/>
              </w:rPr>
              <w:t xml:space="preserve">,[4], </w:t>
            </w:r>
            <w:r w:rsidR="005523C6" w:rsidRPr="000012F9">
              <w:rPr>
                <w:rFonts w:eastAsia="Batang"/>
                <w:sz w:val="22"/>
                <w:szCs w:val="22"/>
                <w:lang w:val="en-GB"/>
              </w:rPr>
              <w:t>CATT [5],</w:t>
            </w:r>
            <w:r w:rsidR="14DA1626" w:rsidRPr="000012F9">
              <w:rPr>
                <w:rFonts w:eastAsia="Batang"/>
                <w:sz w:val="22"/>
                <w:szCs w:val="22"/>
                <w:lang w:val="en-GB"/>
              </w:rPr>
              <w:t xml:space="preserve"> Nokia [26], [28]</w:t>
            </w:r>
          </w:p>
        </w:tc>
      </w:tr>
      <w:tr w:rsidR="00FB3C0F" w14:paraId="1D4E0606" w14:textId="1EFDF095" w:rsidTr="00134CA2">
        <w:trPr>
          <w:trHeight w:val="66"/>
        </w:trPr>
        <w:tc>
          <w:tcPr>
            <w:tcW w:w="413" w:type="pct"/>
            <w:vAlign w:val="center"/>
          </w:tcPr>
          <w:p w14:paraId="541E6F84" w14:textId="1AEB4540" w:rsidR="00FB3C0F" w:rsidRDefault="007B2DC2">
            <w:pPr>
              <w:snapToGrid w:val="0"/>
              <w:rPr>
                <w:sz w:val="22"/>
                <w:szCs w:val="22"/>
              </w:rPr>
            </w:pPr>
            <w:r>
              <w:rPr>
                <w:sz w:val="22"/>
                <w:szCs w:val="22"/>
              </w:rPr>
              <w:t>CA-4</w:t>
            </w:r>
          </w:p>
        </w:tc>
        <w:tc>
          <w:tcPr>
            <w:tcW w:w="2178" w:type="pct"/>
            <w:vAlign w:val="center"/>
          </w:tcPr>
          <w:p w14:paraId="2EA8F731" w14:textId="562AE69B" w:rsidR="00FB3C0F" w:rsidRDefault="00FB3C0F">
            <w:pPr>
              <w:snapToGrid w:val="0"/>
              <w:rPr>
                <w:rFonts w:eastAsia="DengXian"/>
                <w:color w:val="000000" w:themeColor="text1"/>
                <w:sz w:val="22"/>
                <w:szCs w:val="22"/>
                <w:lang w:eastAsia="zh-CN"/>
              </w:rPr>
            </w:pPr>
            <w:bookmarkStart w:id="4" w:name="_Hlk118988919"/>
            <w:r>
              <w:rPr>
                <w:rFonts w:eastAsia="DengXian"/>
                <w:color w:val="000000" w:themeColor="text1"/>
                <w:sz w:val="22"/>
                <w:szCs w:val="22"/>
                <w:lang w:eastAsia="zh-CN"/>
              </w:rPr>
              <w:t>Independent Per Beam LBT procedure  in a multi-Beam COT</w:t>
            </w:r>
            <w:bookmarkEnd w:id="4"/>
          </w:p>
        </w:tc>
        <w:tc>
          <w:tcPr>
            <w:tcW w:w="2409" w:type="pct"/>
            <w:vAlign w:val="center"/>
          </w:tcPr>
          <w:p w14:paraId="0DBCC13D" w14:textId="68F38989" w:rsidR="00FB3C0F" w:rsidRPr="000012F9" w:rsidRDefault="00FB3C0F">
            <w:pPr>
              <w:snapToGrid w:val="0"/>
              <w:rPr>
                <w:sz w:val="22"/>
                <w:szCs w:val="22"/>
              </w:rPr>
            </w:pPr>
            <w:r w:rsidRPr="000012F9">
              <w:rPr>
                <w:rFonts w:eastAsia="Batang"/>
                <w:sz w:val="22"/>
                <w:szCs w:val="22"/>
                <w:lang w:val="en-GB"/>
              </w:rPr>
              <w:t>HW[1]</w:t>
            </w:r>
            <w:r w:rsidR="0013618A" w:rsidRPr="000012F9">
              <w:rPr>
                <w:rFonts w:eastAsia="Batang"/>
                <w:sz w:val="22"/>
                <w:szCs w:val="22"/>
                <w:lang w:val="en-GB"/>
              </w:rPr>
              <w:t>, intel [9]</w:t>
            </w:r>
          </w:p>
        </w:tc>
      </w:tr>
      <w:tr w:rsidR="00FB6358" w14:paraId="4659D5B7" w14:textId="77777777" w:rsidTr="00134CA2">
        <w:trPr>
          <w:trHeight w:val="66"/>
        </w:trPr>
        <w:tc>
          <w:tcPr>
            <w:tcW w:w="413" w:type="pct"/>
            <w:vAlign w:val="center"/>
          </w:tcPr>
          <w:p w14:paraId="516E174A" w14:textId="3CBD4AFD" w:rsidR="00FB6358" w:rsidRDefault="007B2DC2">
            <w:pPr>
              <w:snapToGrid w:val="0"/>
              <w:rPr>
                <w:sz w:val="22"/>
                <w:szCs w:val="22"/>
              </w:rPr>
            </w:pPr>
            <w:r>
              <w:rPr>
                <w:sz w:val="22"/>
                <w:szCs w:val="22"/>
              </w:rPr>
              <w:t>CA-5</w:t>
            </w:r>
          </w:p>
        </w:tc>
        <w:tc>
          <w:tcPr>
            <w:tcW w:w="2178" w:type="pct"/>
            <w:vAlign w:val="center"/>
          </w:tcPr>
          <w:p w14:paraId="07804E7F" w14:textId="3B380E1D" w:rsidR="00FB6358" w:rsidRDefault="00DD25E8">
            <w:pPr>
              <w:snapToGrid w:val="0"/>
              <w:rPr>
                <w:rFonts w:eastAsia="DengXian"/>
                <w:color w:val="000000" w:themeColor="text1"/>
                <w:sz w:val="22"/>
                <w:szCs w:val="22"/>
                <w:lang w:eastAsia="zh-CN"/>
              </w:rPr>
            </w:pPr>
            <w:r>
              <w:rPr>
                <w:rFonts w:eastAsia="DengXian"/>
                <w:color w:val="000000" w:themeColor="text1"/>
                <w:sz w:val="22"/>
                <w:szCs w:val="22"/>
                <w:lang w:eastAsia="zh-CN"/>
              </w:rPr>
              <w:t>DCI Format 0_2, 1_2</w:t>
            </w:r>
          </w:p>
        </w:tc>
        <w:tc>
          <w:tcPr>
            <w:tcW w:w="2409" w:type="pct"/>
            <w:vAlign w:val="center"/>
          </w:tcPr>
          <w:p w14:paraId="60502518" w14:textId="23596D29" w:rsidR="00FB6358" w:rsidRPr="000012F9" w:rsidRDefault="00DD25E8">
            <w:pPr>
              <w:snapToGrid w:val="0"/>
              <w:rPr>
                <w:rFonts w:eastAsia="Batang"/>
                <w:sz w:val="22"/>
                <w:szCs w:val="22"/>
                <w:lang w:val="en-GB"/>
              </w:rPr>
            </w:pPr>
            <w:r w:rsidRPr="000012F9">
              <w:rPr>
                <w:rFonts w:eastAsia="Batang"/>
                <w:sz w:val="22"/>
                <w:szCs w:val="22"/>
                <w:lang w:val="en-GB"/>
              </w:rPr>
              <w:t>LGE [21]</w:t>
            </w:r>
          </w:p>
        </w:tc>
      </w:tr>
      <w:tr w:rsidR="00FB3C0F" w14:paraId="0DE1DE90" w14:textId="450F826E" w:rsidTr="00134CA2">
        <w:trPr>
          <w:trHeight w:val="66"/>
        </w:trPr>
        <w:tc>
          <w:tcPr>
            <w:tcW w:w="413" w:type="pct"/>
            <w:vAlign w:val="center"/>
          </w:tcPr>
          <w:p w14:paraId="5549C4E2" w14:textId="02D99B0E" w:rsidR="00FB3C0F" w:rsidRDefault="007B2DC2">
            <w:pPr>
              <w:snapToGrid w:val="0"/>
              <w:rPr>
                <w:sz w:val="22"/>
                <w:szCs w:val="22"/>
              </w:rPr>
            </w:pPr>
            <w:r>
              <w:rPr>
                <w:sz w:val="22"/>
                <w:szCs w:val="22"/>
              </w:rPr>
              <w:t>CA-6</w:t>
            </w:r>
          </w:p>
        </w:tc>
        <w:tc>
          <w:tcPr>
            <w:tcW w:w="2178" w:type="pct"/>
            <w:vAlign w:val="center"/>
          </w:tcPr>
          <w:p w14:paraId="0A12EE7E" w14:textId="25955290" w:rsidR="00FB3C0F" w:rsidRDefault="0000310A">
            <w:pPr>
              <w:snapToGrid w:val="0"/>
              <w:rPr>
                <w:color w:val="000000" w:themeColor="text1"/>
                <w:sz w:val="22"/>
                <w:szCs w:val="22"/>
                <w:lang w:eastAsia="zh-CN"/>
              </w:rPr>
            </w:pPr>
            <w:r>
              <w:rPr>
                <w:color w:val="000000" w:themeColor="text1"/>
                <w:sz w:val="22"/>
                <w:szCs w:val="22"/>
                <w:lang w:eastAsia="zh-CN"/>
              </w:rPr>
              <w:t>Exclude CSI-RS validation when in discovery burst</w:t>
            </w:r>
          </w:p>
        </w:tc>
        <w:tc>
          <w:tcPr>
            <w:tcW w:w="2409" w:type="pct"/>
            <w:vAlign w:val="center"/>
          </w:tcPr>
          <w:p w14:paraId="00566809" w14:textId="14CD416F" w:rsidR="00FB3C0F" w:rsidRPr="000012F9" w:rsidRDefault="0000310A">
            <w:pPr>
              <w:snapToGrid w:val="0"/>
              <w:rPr>
                <w:sz w:val="22"/>
                <w:szCs w:val="22"/>
              </w:rPr>
            </w:pPr>
            <w:r w:rsidRPr="000012F9">
              <w:rPr>
                <w:sz w:val="22"/>
                <w:szCs w:val="22"/>
              </w:rPr>
              <w:t>AsusTek [20]</w:t>
            </w:r>
          </w:p>
        </w:tc>
      </w:tr>
      <w:tr w:rsidR="00FB3C0F" w14:paraId="2F389579" w14:textId="3080F5AA" w:rsidTr="00134CA2">
        <w:trPr>
          <w:trHeight w:val="66"/>
        </w:trPr>
        <w:tc>
          <w:tcPr>
            <w:tcW w:w="413" w:type="pct"/>
            <w:vAlign w:val="center"/>
          </w:tcPr>
          <w:p w14:paraId="2D24041F" w14:textId="0FCDD294" w:rsidR="00FB3C0F" w:rsidRDefault="007B2DC2">
            <w:pPr>
              <w:snapToGrid w:val="0"/>
              <w:rPr>
                <w:sz w:val="22"/>
                <w:szCs w:val="22"/>
              </w:rPr>
            </w:pPr>
            <w:r>
              <w:rPr>
                <w:sz w:val="22"/>
                <w:szCs w:val="22"/>
              </w:rPr>
              <w:t>CA-7</w:t>
            </w:r>
          </w:p>
        </w:tc>
        <w:tc>
          <w:tcPr>
            <w:tcW w:w="2178" w:type="pct"/>
            <w:vAlign w:val="center"/>
          </w:tcPr>
          <w:p w14:paraId="59BED7E2" w14:textId="6DE438ED" w:rsidR="00FB3C0F" w:rsidRDefault="0043626A">
            <w:pPr>
              <w:snapToGrid w:val="0"/>
              <w:rPr>
                <w:color w:val="000000" w:themeColor="text1"/>
                <w:sz w:val="22"/>
                <w:szCs w:val="22"/>
                <w:lang w:eastAsia="zh-CN"/>
              </w:rPr>
            </w:pPr>
            <w:r>
              <w:rPr>
                <w:color w:val="000000" w:themeColor="text1"/>
                <w:sz w:val="22"/>
                <w:szCs w:val="22"/>
                <w:lang w:eastAsia="zh-CN"/>
              </w:rPr>
              <w:t xml:space="preserve">PDCCH ordered PRACH </w:t>
            </w:r>
          </w:p>
        </w:tc>
        <w:tc>
          <w:tcPr>
            <w:tcW w:w="2409" w:type="pct"/>
            <w:vAlign w:val="center"/>
          </w:tcPr>
          <w:p w14:paraId="096CD51E" w14:textId="12A8BF61" w:rsidR="00FB3C0F" w:rsidRPr="000012F9" w:rsidRDefault="0043626A">
            <w:pPr>
              <w:snapToGrid w:val="0"/>
              <w:rPr>
                <w:sz w:val="22"/>
                <w:szCs w:val="22"/>
              </w:rPr>
            </w:pPr>
            <w:r w:rsidRPr="000012F9">
              <w:rPr>
                <w:sz w:val="22"/>
                <w:szCs w:val="22"/>
              </w:rPr>
              <w:t>Docomo [15][16]</w:t>
            </w:r>
          </w:p>
        </w:tc>
      </w:tr>
      <w:tr w:rsidR="00FB3C0F" w14:paraId="03148B29" w14:textId="5154E0B8" w:rsidTr="00134CA2">
        <w:trPr>
          <w:trHeight w:val="66"/>
        </w:trPr>
        <w:tc>
          <w:tcPr>
            <w:tcW w:w="413" w:type="pct"/>
            <w:vAlign w:val="center"/>
          </w:tcPr>
          <w:p w14:paraId="7D69A7EF" w14:textId="4C583BDB" w:rsidR="00FB3C0F" w:rsidRDefault="00AC37A0">
            <w:pPr>
              <w:snapToGrid w:val="0"/>
              <w:rPr>
                <w:sz w:val="22"/>
                <w:szCs w:val="22"/>
              </w:rPr>
            </w:pPr>
            <w:r>
              <w:rPr>
                <w:sz w:val="22"/>
                <w:szCs w:val="22"/>
              </w:rPr>
              <w:t>CA-</w:t>
            </w:r>
            <w:r w:rsidR="00FD7B48">
              <w:rPr>
                <w:sz w:val="22"/>
                <w:szCs w:val="22"/>
              </w:rPr>
              <w:t>8</w:t>
            </w:r>
          </w:p>
        </w:tc>
        <w:tc>
          <w:tcPr>
            <w:tcW w:w="2178" w:type="pct"/>
            <w:vAlign w:val="center"/>
          </w:tcPr>
          <w:p w14:paraId="595C7941" w14:textId="2E25B776" w:rsidR="00FB3C0F" w:rsidRDefault="00565E68">
            <w:pPr>
              <w:snapToGrid w:val="0"/>
              <w:rPr>
                <w:color w:val="000000" w:themeColor="text1"/>
                <w:sz w:val="22"/>
                <w:szCs w:val="22"/>
                <w:lang w:eastAsia="zh-CN"/>
              </w:rPr>
            </w:pPr>
            <w:bookmarkStart w:id="5" w:name="_Hlk118988828"/>
            <w:r>
              <w:rPr>
                <w:color w:val="000000" w:themeColor="text1"/>
                <w:sz w:val="22"/>
                <w:szCs w:val="22"/>
                <w:lang w:eastAsia="zh-CN"/>
              </w:rPr>
              <w:t xml:space="preserve">TCI State </w:t>
            </w:r>
            <w:r w:rsidR="00E71FA7">
              <w:rPr>
                <w:color w:val="000000" w:themeColor="text1"/>
                <w:sz w:val="22"/>
                <w:szCs w:val="22"/>
                <w:lang w:eastAsia="zh-CN"/>
              </w:rPr>
              <w:t xml:space="preserve">for </w:t>
            </w:r>
            <w:r w:rsidR="00324935">
              <w:rPr>
                <w:color w:val="000000" w:themeColor="text1"/>
                <w:sz w:val="22"/>
                <w:szCs w:val="22"/>
                <w:lang w:eastAsia="zh-CN"/>
              </w:rPr>
              <w:t>L3-</w:t>
            </w:r>
            <w:r w:rsidR="00E71FA7">
              <w:rPr>
                <w:color w:val="000000" w:themeColor="text1"/>
                <w:sz w:val="22"/>
                <w:szCs w:val="22"/>
                <w:lang w:eastAsia="zh-CN"/>
              </w:rPr>
              <w:t>RSSI measurement</w:t>
            </w:r>
            <w:bookmarkEnd w:id="5"/>
          </w:p>
        </w:tc>
        <w:tc>
          <w:tcPr>
            <w:tcW w:w="2409" w:type="pct"/>
            <w:vAlign w:val="center"/>
          </w:tcPr>
          <w:p w14:paraId="4BA48F26" w14:textId="4FA9B748" w:rsidR="00FB3C0F" w:rsidRPr="000012F9" w:rsidRDefault="00E71FA7">
            <w:pPr>
              <w:snapToGrid w:val="0"/>
              <w:rPr>
                <w:sz w:val="22"/>
                <w:szCs w:val="22"/>
              </w:rPr>
            </w:pPr>
            <w:r w:rsidRPr="000012F9">
              <w:rPr>
                <w:sz w:val="22"/>
                <w:szCs w:val="22"/>
              </w:rPr>
              <w:t xml:space="preserve">Ericsson </w:t>
            </w:r>
            <w:r w:rsidR="00324935" w:rsidRPr="000012F9">
              <w:rPr>
                <w:sz w:val="22"/>
                <w:szCs w:val="22"/>
              </w:rPr>
              <w:t>[14]</w:t>
            </w:r>
          </w:p>
        </w:tc>
      </w:tr>
      <w:tr w:rsidR="00FB3C0F" w14:paraId="58830D53" w14:textId="7A15DD35" w:rsidTr="00134CA2">
        <w:trPr>
          <w:trHeight w:val="66"/>
        </w:trPr>
        <w:tc>
          <w:tcPr>
            <w:tcW w:w="413" w:type="pct"/>
            <w:vAlign w:val="center"/>
          </w:tcPr>
          <w:p w14:paraId="462B5C04" w14:textId="693C812F" w:rsidR="00FB3C0F" w:rsidRDefault="00AC37A0">
            <w:pPr>
              <w:snapToGrid w:val="0"/>
              <w:rPr>
                <w:sz w:val="22"/>
                <w:szCs w:val="22"/>
              </w:rPr>
            </w:pPr>
            <w:r>
              <w:rPr>
                <w:sz w:val="22"/>
                <w:szCs w:val="22"/>
              </w:rPr>
              <w:t>CA-</w:t>
            </w:r>
            <w:r w:rsidR="00FD7B48">
              <w:rPr>
                <w:sz w:val="22"/>
                <w:szCs w:val="22"/>
              </w:rPr>
              <w:t>8</w:t>
            </w:r>
          </w:p>
        </w:tc>
        <w:tc>
          <w:tcPr>
            <w:tcW w:w="2178" w:type="pct"/>
            <w:vAlign w:val="center"/>
          </w:tcPr>
          <w:p w14:paraId="0875E12C" w14:textId="58CE6E44" w:rsidR="00FB3C0F" w:rsidRDefault="00645B49">
            <w:pPr>
              <w:snapToGrid w:val="0"/>
              <w:rPr>
                <w:color w:val="000000" w:themeColor="text1"/>
                <w:sz w:val="22"/>
                <w:szCs w:val="22"/>
                <w:lang w:eastAsia="zh-CN"/>
              </w:rPr>
            </w:pPr>
            <w:r>
              <w:rPr>
                <w:color w:val="000000" w:themeColor="text1"/>
                <w:sz w:val="22"/>
                <w:szCs w:val="22"/>
                <w:lang w:eastAsia="zh-CN"/>
              </w:rPr>
              <w:t>Channel measurement and Interference Measurement subject to validation</w:t>
            </w:r>
          </w:p>
        </w:tc>
        <w:tc>
          <w:tcPr>
            <w:tcW w:w="2409" w:type="pct"/>
            <w:vAlign w:val="center"/>
          </w:tcPr>
          <w:p w14:paraId="2D4C05B0" w14:textId="5644CBEE" w:rsidR="00FB3C0F" w:rsidRPr="000012F9" w:rsidRDefault="00645B49">
            <w:pPr>
              <w:snapToGrid w:val="0"/>
              <w:rPr>
                <w:sz w:val="22"/>
                <w:szCs w:val="22"/>
              </w:rPr>
            </w:pPr>
            <w:r w:rsidRPr="000012F9">
              <w:rPr>
                <w:sz w:val="22"/>
                <w:szCs w:val="22"/>
              </w:rPr>
              <w:t xml:space="preserve">ZTE </w:t>
            </w:r>
            <w:r w:rsidR="00913ADB" w:rsidRPr="000012F9">
              <w:rPr>
                <w:sz w:val="22"/>
                <w:szCs w:val="22"/>
              </w:rPr>
              <w:t>[8]</w:t>
            </w:r>
          </w:p>
        </w:tc>
      </w:tr>
      <w:tr w:rsidR="00FB3C0F" w14:paraId="6262C6B5" w14:textId="12CBA9A0" w:rsidTr="00134CA2">
        <w:trPr>
          <w:trHeight w:val="66"/>
        </w:trPr>
        <w:tc>
          <w:tcPr>
            <w:tcW w:w="413" w:type="pct"/>
            <w:vAlign w:val="center"/>
          </w:tcPr>
          <w:p w14:paraId="36A30192" w14:textId="7321FB98" w:rsidR="00FB3C0F" w:rsidRDefault="00AC37A0">
            <w:pPr>
              <w:snapToGrid w:val="0"/>
              <w:rPr>
                <w:sz w:val="22"/>
                <w:szCs w:val="22"/>
              </w:rPr>
            </w:pPr>
            <w:r>
              <w:rPr>
                <w:sz w:val="22"/>
                <w:szCs w:val="22"/>
              </w:rPr>
              <w:t>CA-1</w:t>
            </w:r>
            <w:r w:rsidR="00FD7B48">
              <w:rPr>
                <w:sz w:val="22"/>
                <w:szCs w:val="22"/>
              </w:rPr>
              <w:t>0</w:t>
            </w:r>
          </w:p>
        </w:tc>
        <w:tc>
          <w:tcPr>
            <w:tcW w:w="2178" w:type="pct"/>
            <w:vAlign w:val="center"/>
          </w:tcPr>
          <w:p w14:paraId="267FFE68" w14:textId="76BF0B68" w:rsidR="00FB3C0F" w:rsidRDefault="00BA3795">
            <w:pPr>
              <w:snapToGrid w:val="0"/>
              <w:rPr>
                <w:color w:val="000000" w:themeColor="text1"/>
                <w:sz w:val="22"/>
                <w:szCs w:val="22"/>
                <w:lang w:eastAsia="zh-CN"/>
              </w:rPr>
            </w:pPr>
            <w:r>
              <w:rPr>
                <w:color w:val="000000" w:themeColor="text1"/>
                <w:sz w:val="22"/>
                <w:szCs w:val="22"/>
                <w:lang w:eastAsia="zh-CN"/>
              </w:rPr>
              <w:t xml:space="preserve">Cg-minDFI-Delay </w:t>
            </w:r>
            <w:r w:rsidR="00615CFA">
              <w:rPr>
                <w:color w:val="000000" w:themeColor="text1"/>
                <w:sz w:val="22"/>
                <w:szCs w:val="22"/>
                <w:lang w:eastAsia="zh-CN"/>
              </w:rPr>
              <w:t>in FR2-2</w:t>
            </w:r>
          </w:p>
        </w:tc>
        <w:tc>
          <w:tcPr>
            <w:tcW w:w="2409" w:type="pct"/>
            <w:vAlign w:val="center"/>
          </w:tcPr>
          <w:p w14:paraId="174F9062" w14:textId="4AD7F753" w:rsidR="00FB3C0F" w:rsidRPr="000012F9" w:rsidRDefault="00615CFA">
            <w:pPr>
              <w:snapToGrid w:val="0"/>
              <w:rPr>
                <w:rFonts w:eastAsia="Batang"/>
                <w:snapToGrid w:val="0"/>
                <w:kern w:val="2"/>
                <w:sz w:val="22"/>
                <w:szCs w:val="22"/>
              </w:rPr>
            </w:pPr>
            <w:r w:rsidRPr="000012F9">
              <w:rPr>
                <w:rFonts w:eastAsia="Batang"/>
                <w:snapToGrid w:val="0"/>
                <w:kern w:val="2"/>
                <w:sz w:val="22"/>
                <w:szCs w:val="22"/>
              </w:rPr>
              <w:t>ZTE [7]</w:t>
            </w:r>
          </w:p>
        </w:tc>
      </w:tr>
      <w:tr w:rsidR="00FB3C0F" w14:paraId="251FB951" w14:textId="309ADEF3" w:rsidTr="00134CA2">
        <w:trPr>
          <w:trHeight w:val="66"/>
        </w:trPr>
        <w:tc>
          <w:tcPr>
            <w:tcW w:w="413" w:type="pct"/>
            <w:vAlign w:val="center"/>
          </w:tcPr>
          <w:p w14:paraId="026DF60F" w14:textId="07BD3DBF" w:rsidR="00FB3C0F" w:rsidRDefault="00AC37A0">
            <w:pPr>
              <w:snapToGrid w:val="0"/>
              <w:rPr>
                <w:rFonts w:eastAsia="SimSun"/>
                <w:sz w:val="22"/>
                <w:szCs w:val="22"/>
                <w:lang w:eastAsia="zh-CN"/>
              </w:rPr>
            </w:pPr>
            <w:r>
              <w:rPr>
                <w:rFonts w:eastAsia="SimSun"/>
                <w:sz w:val="22"/>
                <w:szCs w:val="22"/>
                <w:lang w:eastAsia="zh-CN"/>
              </w:rPr>
              <w:t>CA-1</w:t>
            </w:r>
            <w:r w:rsidR="00FD7B48">
              <w:rPr>
                <w:rFonts w:eastAsia="SimSun"/>
                <w:sz w:val="22"/>
                <w:szCs w:val="22"/>
                <w:lang w:eastAsia="zh-CN"/>
              </w:rPr>
              <w:t>1</w:t>
            </w:r>
          </w:p>
        </w:tc>
        <w:tc>
          <w:tcPr>
            <w:tcW w:w="2178" w:type="pct"/>
            <w:vAlign w:val="center"/>
          </w:tcPr>
          <w:p w14:paraId="3E120FB5" w14:textId="3125843F" w:rsidR="00FB3C0F" w:rsidRDefault="00FB3C0F">
            <w:pPr>
              <w:snapToGrid w:val="0"/>
              <w:rPr>
                <w:i/>
                <w:sz w:val="22"/>
                <w:szCs w:val="22"/>
              </w:rPr>
            </w:pPr>
            <w:bookmarkStart w:id="6" w:name="_Hlk118988773"/>
            <w:r>
              <w:rPr>
                <w:i/>
                <w:sz w:val="22"/>
                <w:szCs w:val="22"/>
              </w:rPr>
              <w:t xml:space="preserve">Channel Occupancy Duration </w:t>
            </w:r>
            <w:r w:rsidRPr="00500BDC">
              <w:rPr>
                <w:sz w:val="22"/>
                <w:szCs w:val="22"/>
              </w:rPr>
              <w:t>maximum value</w:t>
            </w:r>
            <w:bookmarkEnd w:id="6"/>
          </w:p>
        </w:tc>
        <w:tc>
          <w:tcPr>
            <w:tcW w:w="2409" w:type="pct"/>
            <w:vAlign w:val="center"/>
          </w:tcPr>
          <w:p w14:paraId="65DB3226" w14:textId="070FD7CD" w:rsidR="00FB3C0F" w:rsidRPr="000012F9" w:rsidRDefault="00FB3C0F">
            <w:pPr>
              <w:snapToGrid w:val="0"/>
              <w:rPr>
                <w:rFonts w:eastAsia="Batang"/>
                <w:snapToGrid w:val="0"/>
                <w:kern w:val="2"/>
                <w:sz w:val="22"/>
                <w:szCs w:val="22"/>
              </w:rPr>
            </w:pPr>
            <w:r w:rsidRPr="000012F9">
              <w:rPr>
                <w:rFonts w:eastAsia="Batang"/>
                <w:sz w:val="22"/>
                <w:szCs w:val="22"/>
                <w:lang w:val="en-GB"/>
              </w:rPr>
              <w:t>HW[1]</w:t>
            </w:r>
          </w:p>
        </w:tc>
      </w:tr>
      <w:tr w:rsidR="44CC29D5" w14:paraId="0CAD2060" w14:textId="77777777" w:rsidTr="00134CA2">
        <w:trPr>
          <w:trHeight w:val="66"/>
        </w:trPr>
        <w:tc>
          <w:tcPr>
            <w:tcW w:w="413" w:type="pct"/>
            <w:vAlign w:val="center"/>
          </w:tcPr>
          <w:p w14:paraId="5E63DC1C" w14:textId="681D1D67" w:rsidR="44CC29D5" w:rsidRDefault="0706F2A7" w:rsidP="44CC29D5">
            <w:pPr>
              <w:rPr>
                <w:rFonts w:eastAsia="SimSun"/>
                <w:sz w:val="22"/>
                <w:szCs w:val="22"/>
                <w:lang w:eastAsia="zh-CN"/>
              </w:rPr>
            </w:pPr>
            <w:r w:rsidRPr="55D5791A">
              <w:rPr>
                <w:rFonts w:eastAsia="SimSun"/>
                <w:sz w:val="22"/>
                <w:szCs w:val="22"/>
                <w:lang w:eastAsia="zh-CN"/>
              </w:rPr>
              <w:t>CA-1</w:t>
            </w:r>
            <w:r w:rsidR="00FD7B48">
              <w:rPr>
                <w:rFonts w:eastAsia="SimSun"/>
                <w:sz w:val="22"/>
                <w:szCs w:val="22"/>
                <w:lang w:eastAsia="zh-CN"/>
              </w:rPr>
              <w:t>2</w:t>
            </w:r>
          </w:p>
        </w:tc>
        <w:tc>
          <w:tcPr>
            <w:tcW w:w="2178" w:type="pct"/>
            <w:vAlign w:val="center"/>
          </w:tcPr>
          <w:p w14:paraId="6FC93EED" w14:textId="70692FD3" w:rsidR="44CC29D5" w:rsidRDefault="0706F2A7" w:rsidP="44CC29D5">
            <w:pPr>
              <w:rPr>
                <w:i/>
                <w:iCs/>
                <w:sz w:val="22"/>
                <w:szCs w:val="22"/>
              </w:rPr>
            </w:pPr>
            <w:r w:rsidRPr="3C4FBAF7">
              <w:rPr>
                <w:sz w:val="22"/>
                <w:szCs w:val="22"/>
              </w:rPr>
              <w:t xml:space="preserve">Channel Access </w:t>
            </w:r>
            <w:r w:rsidRPr="5FA1D0FE">
              <w:rPr>
                <w:sz w:val="22"/>
                <w:szCs w:val="22"/>
              </w:rPr>
              <w:t xml:space="preserve">Procedure </w:t>
            </w:r>
            <w:r w:rsidRPr="6E026492">
              <w:rPr>
                <w:sz w:val="22"/>
                <w:szCs w:val="22"/>
              </w:rPr>
              <w:t>after failure of Type</w:t>
            </w:r>
            <w:r w:rsidRPr="2645FD0D">
              <w:rPr>
                <w:sz w:val="22"/>
                <w:szCs w:val="22"/>
              </w:rPr>
              <w:t xml:space="preserve"> 2 </w:t>
            </w:r>
            <w:r w:rsidRPr="04618AF5">
              <w:rPr>
                <w:sz w:val="22"/>
                <w:szCs w:val="22"/>
              </w:rPr>
              <w:t xml:space="preserve"> </w:t>
            </w:r>
            <w:r w:rsidRPr="4C452E80">
              <w:rPr>
                <w:sz w:val="22"/>
                <w:szCs w:val="22"/>
              </w:rPr>
              <w:t xml:space="preserve">channel </w:t>
            </w:r>
            <w:r w:rsidRPr="6F974487">
              <w:rPr>
                <w:sz w:val="22"/>
                <w:szCs w:val="22"/>
              </w:rPr>
              <w:t>access</w:t>
            </w:r>
            <w:r w:rsidRPr="4C452E80">
              <w:rPr>
                <w:sz w:val="22"/>
                <w:szCs w:val="22"/>
              </w:rPr>
              <w:t xml:space="preserve"> </w:t>
            </w:r>
          </w:p>
        </w:tc>
        <w:tc>
          <w:tcPr>
            <w:tcW w:w="2409" w:type="pct"/>
            <w:vAlign w:val="center"/>
          </w:tcPr>
          <w:p w14:paraId="31BE6DFB" w14:textId="3A9EA0F1" w:rsidR="44CC29D5" w:rsidRPr="000012F9" w:rsidRDefault="0706F2A7" w:rsidP="44CC29D5">
            <w:pPr>
              <w:rPr>
                <w:rFonts w:eastAsia="Batang"/>
                <w:sz w:val="22"/>
                <w:szCs w:val="22"/>
                <w:lang w:val="en-GB"/>
              </w:rPr>
            </w:pPr>
            <w:r w:rsidRPr="000012F9">
              <w:rPr>
                <w:rFonts w:eastAsia="Batang"/>
                <w:sz w:val="22"/>
                <w:szCs w:val="22"/>
                <w:lang w:val="en-GB"/>
              </w:rPr>
              <w:t>Wilus [29][30]</w:t>
            </w:r>
          </w:p>
        </w:tc>
      </w:tr>
    </w:tbl>
    <w:p w14:paraId="4D152647" w14:textId="6021A132" w:rsidR="00FD3ACC" w:rsidRDefault="00FD3ACC">
      <w:pPr>
        <w:snapToGrid w:val="0"/>
        <w:spacing w:after="60" w:line="288" w:lineRule="auto"/>
        <w:jc w:val="both"/>
      </w:pPr>
    </w:p>
    <w:p w14:paraId="42FD90FC" w14:textId="07CDC9E6" w:rsidR="00AC37A0" w:rsidRDefault="00155453" w:rsidP="00B738A5">
      <w:pPr>
        <w:pStyle w:val="Heading1"/>
        <w:numPr>
          <w:ilvl w:val="0"/>
          <w:numId w:val="33"/>
        </w:numPr>
      </w:pPr>
      <w:r>
        <w:t>Details of i</w:t>
      </w:r>
      <w:r w:rsidR="00B738A5">
        <w:t>ssues</w:t>
      </w:r>
      <w:r>
        <w:t xml:space="preserve"> </w:t>
      </w:r>
    </w:p>
    <w:p w14:paraId="7CC72EC1" w14:textId="091DFA89" w:rsidR="0065548F" w:rsidRPr="0065548F" w:rsidRDefault="0065548F" w:rsidP="0065548F">
      <w:pPr>
        <w:rPr>
          <w:lang w:val="en-GB"/>
        </w:rPr>
      </w:pPr>
      <w:r>
        <w:rPr>
          <w:lang w:val="en-GB"/>
        </w:rPr>
        <w:t>Some details for submitted issues are captured in this section, with some FL recommendations.</w:t>
      </w:r>
    </w:p>
    <w:p w14:paraId="74FDE8F5" w14:textId="77777777" w:rsidR="00B738A5" w:rsidRPr="00B738A5" w:rsidRDefault="00B738A5" w:rsidP="00B738A5">
      <w:pPr>
        <w:rPr>
          <w:lang w:val="en-GB"/>
        </w:rPr>
      </w:pPr>
    </w:p>
    <w:p w14:paraId="507A448D" w14:textId="77777777" w:rsidR="00C973AA" w:rsidRDefault="00C973AA" w:rsidP="00C973AA">
      <w:pPr>
        <w:rPr>
          <w:lang w:val="en-GB"/>
        </w:rPr>
      </w:pPr>
      <w:r>
        <w:rPr>
          <w:lang w:val="en-GB"/>
        </w:rPr>
        <w:lastRenderedPageBreak/>
        <w:t xml:space="preserve">The proposal on the table at the end of the meeting RAN1-110b-e  was as follows: </w:t>
      </w:r>
    </w:p>
    <w:p w14:paraId="7DA4C251" w14:textId="77777777" w:rsidR="00C973AA" w:rsidRDefault="00C973AA" w:rsidP="00C973AA">
      <w:pPr>
        <w:rPr>
          <w:lang w:val="en-GB"/>
        </w:rPr>
      </w:pPr>
    </w:p>
    <w:tbl>
      <w:tblPr>
        <w:tblStyle w:val="TableGrid"/>
        <w:tblW w:w="0" w:type="auto"/>
        <w:tblLook w:val="04A0" w:firstRow="1" w:lastRow="0" w:firstColumn="1" w:lastColumn="0" w:noHBand="0" w:noVBand="1"/>
      </w:tblPr>
      <w:tblGrid>
        <w:gridCol w:w="9926"/>
      </w:tblGrid>
      <w:tr w:rsidR="00C973AA" w14:paraId="08EADFE0" w14:textId="77777777" w:rsidTr="00C973AA">
        <w:tc>
          <w:tcPr>
            <w:tcW w:w="9926" w:type="dxa"/>
          </w:tcPr>
          <w:p w14:paraId="34BF8940" w14:textId="77777777" w:rsidR="00C973AA" w:rsidRPr="0000470A" w:rsidRDefault="00C973AA" w:rsidP="00C973AA">
            <w:pPr>
              <w:ind w:left="360"/>
              <w:rPr>
                <w:lang w:val="en-GB"/>
              </w:rPr>
            </w:pPr>
            <w:r w:rsidRPr="0000470A">
              <w:rPr>
                <w:lang w:val="en-GB"/>
              </w:rPr>
              <w:t xml:space="preserve">Proposed conclusion 3-3 </w:t>
            </w:r>
            <w:r>
              <w:rPr>
                <w:lang w:val="en-GB"/>
              </w:rPr>
              <w:t>from RAN1-110bis-e</w:t>
            </w:r>
          </w:p>
          <w:p w14:paraId="33011E6A" w14:textId="77777777" w:rsidR="00C973AA" w:rsidRPr="0000470A" w:rsidRDefault="00C973AA" w:rsidP="00C973AA">
            <w:pPr>
              <w:ind w:left="360"/>
              <w:rPr>
                <w:lang w:val="en-GB"/>
              </w:rPr>
            </w:pPr>
            <w:r w:rsidRPr="0000470A">
              <w:rPr>
                <w:lang w:val="en-GB"/>
              </w:rPr>
              <w:t>•</w:t>
            </w:r>
            <w:r w:rsidRPr="0000470A">
              <w:rPr>
                <w:lang w:val="en-GB"/>
              </w:rPr>
              <w:tab/>
              <w:t>No additional control for SCSt based msg1/msgA transmission will be provided in Rel-17</w:t>
            </w:r>
          </w:p>
          <w:p w14:paraId="4CF88AE5" w14:textId="77777777" w:rsidR="00C973AA" w:rsidRPr="0000470A" w:rsidRDefault="00C973AA" w:rsidP="00C973AA">
            <w:pPr>
              <w:ind w:left="360"/>
              <w:rPr>
                <w:lang w:val="en-GB"/>
              </w:rPr>
            </w:pPr>
            <w:r w:rsidRPr="0000470A">
              <w:rPr>
                <w:lang w:val="en-GB"/>
              </w:rPr>
              <w:t>o</w:t>
            </w:r>
            <w:r w:rsidRPr="0000470A">
              <w:rPr>
                <w:lang w:val="en-GB"/>
              </w:rPr>
              <w:tab/>
              <w:t>FFS: Spec impact</w:t>
            </w:r>
          </w:p>
          <w:p w14:paraId="75F54A7B" w14:textId="77777777" w:rsidR="00C973AA" w:rsidRPr="0000470A" w:rsidRDefault="00C973AA" w:rsidP="00C973AA">
            <w:pPr>
              <w:ind w:left="360"/>
              <w:rPr>
                <w:lang w:val="en-GB"/>
              </w:rPr>
            </w:pPr>
            <w:r w:rsidRPr="0000470A">
              <w:rPr>
                <w:lang w:val="en-GB"/>
              </w:rPr>
              <w:t>•</w:t>
            </w:r>
            <w:r w:rsidRPr="0000470A">
              <w:rPr>
                <w:lang w:val="en-GB"/>
              </w:rPr>
              <w:tab/>
              <w:t>Type 1 CA to Type2 or Type 3 CA upgrade when back in gNB COT is not supported in Rel.17</w:t>
            </w:r>
          </w:p>
          <w:p w14:paraId="5E3741F9" w14:textId="77777777" w:rsidR="00C973AA" w:rsidRDefault="00C973AA" w:rsidP="00C973AA">
            <w:pPr>
              <w:rPr>
                <w:lang w:val="en-GB"/>
              </w:rPr>
            </w:pPr>
            <w:r w:rsidRPr="0000470A">
              <w:rPr>
                <w:lang w:val="en-GB"/>
              </w:rPr>
              <w:t>•</w:t>
            </w:r>
            <w:r w:rsidRPr="0000470A">
              <w:rPr>
                <w:lang w:val="en-GB"/>
              </w:rPr>
              <w:tab/>
              <w:t>UE uses Type 2 or Type 3 CA to resume COT within its own COT is not supported in Rel.17</w:t>
            </w:r>
          </w:p>
        </w:tc>
      </w:tr>
    </w:tbl>
    <w:p w14:paraId="359B55DD" w14:textId="77777777" w:rsidR="00C973AA" w:rsidRDefault="00C973AA" w:rsidP="00C973AA">
      <w:pPr>
        <w:rPr>
          <w:lang w:val="en-GB"/>
        </w:rPr>
      </w:pPr>
    </w:p>
    <w:p w14:paraId="2339CFAF" w14:textId="77777777" w:rsidR="00C973AA" w:rsidRDefault="00C973AA" w:rsidP="00C973AA">
      <w:pPr>
        <w:rPr>
          <w:lang w:val="en-GB"/>
        </w:rPr>
      </w:pPr>
      <w:r>
        <w:rPr>
          <w:lang w:val="en-GB"/>
        </w:rPr>
        <w:t>The three bullets of the proposal are captured separately in issues CA-1, CA-2, CA-3.</w:t>
      </w:r>
    </w:p>
    <w:p w14:paraId="52C8D2AD" w14:textId="77777777" w:rsidR="00C973AA" w:rsidRPr="00B738A5" w:rsidRDefault="00C973AA" w:rsidP="00B738A5">
      <w:pPr>
        <w:rPr>
          <w:lang w:val="en-GB"/>
        </w:rPr>
      </w:pPr>
    </w:p>
    <w:p w14:paraId="3A8A2B4E" w14:textId="5FF1F4CC" w:rsidR="00F353ED" w:rsidRPr="00980B6C" w:rsidRDefault="00F46E89" w:rsidP="00980B6C">
      <w:pPr>
        <w:pStyle w:val="Heading2"/>
      </w:pPr>
      <w:r>
        <w:t xml:space="preserve">CA-1. </w:t>
      </w:r>
      <w:r w:rsidR="00F9240D">
        <w:t>Short Control Signaling indications</w:t>
      </w:r>
    </w:p>
    <w:p w14:paraId="6B4309F7" w14:textId="05E2433E" w:rsidR="00CF3D78" w:rsidRDefault="00CF3D78" w:rsidP="00CF3D78">
      <w:pPr>
        <w:ind w:left="360"/>
        <w:rPr>
          <w:lang w:val="en-GB"/>
        </w:rPr>
      </w:pPr>
    </w:p>
    <w:tbl>
      <w:tblPr>
        <w:tblStyle w:val="TableGrid"/>
        <w:tblW w:w="0" w:type="auto"/>
        <w:tblLayout w:type="fixed"/>
        <w:tblLook w:val="06A0" w:firstRow="1" w:lastRow="0" w:firstColumn="1" w:lastColumn="0" w:noHBand="1" w:noVBand="1"/>
      </w:tblPr>
      <w:tblGrid>
        <w:gridCol w:w="9930"/>
      </w:tblGrid>
      <w:tr w:rsidR="2DF89269" w14:paraId="6B145427" w14:textId="77777777" w:rsidTr="2DF89269">
        <w:tc>
          <w:tcPr>
            <w:tcW w:w="9930" w:type="dxa"/>
          </w:tcPr>
          <w:p w14:paraId="0B1A7522" w14:textId="5E792DEF" w:rsidR="16750020" w:rsidRDefault="16750020" w:rsidP="00332457">
            <w:pPr>
              <w:rPr>
                <w:lang w:val="en-GB"/>
              </w:rPr>
            </w:pPr>
            <w:r w:rsidRPr="02B85B1D">
              <w:rPr>
                <w:lang w:val="en-GB"/>
              </w:rPr>
              <w:t>Proposed conclusion 3-3 from RAN1-110bis-e</w:t>
            </w:r>
            <w:r w:rsidR="00706F90">
              <w:rPr>
                <w:lang w:val="en-GB"/>
              </w:rPr>
              <w:t>: Bullet 1</w:t>
            </w:r>
          </w:p>
          <w:p w14:paraId="763CDD0D" w14:textId="77777777" w:rsidR="16750020" w:rsidRDefault="16750020" w:rsidP="02B85B1D">
            <w:pPr>
              <w:ind w:left="360"/>
              <w:rPr>
                <w:lang w:val="en-GB"/>
              </w:rPr>
            </w:pPr>
            <w:r w:rsidRPr="02B85B1D">
              <w:rPr>
                <w:lang w:val="en-GB"/>
              </w:rPr>
              <w:t>•</w:t>
            </w:r>
            <w:r>
              <w:tab/>
            </w:r>
            <w:r w:rsidRPr="02B85B1D">
              <w:rPr>
                <w:lang w:val="en-GB"/>
              </w:rPr>
              <w:t>No additional control for SCSt based msg1/msgA transmission will be provided in Rel-17</w:t>
            </w:r>
          </w:p>
          <w:p w14:paraId="24F1255C" w14:textId="4C7AF483" w:rsidR="2DF89269" w:rsidRDefault="16750020" w:rsidP="02B85B1D">
            <w:pPr>
              <w:ind w:left="360"/>
              <w:rPr>
                <w:lang w:val="en-GB"/>
              </w:rPr>
            </w:pPr>
            <w:r w:rsidRPr="02B85B1D">
              <w:rPr>
                <w:lang w:val="en-GB"/>
              </w:rPr>
              <w:t>o</w:t>
            </w:r>
            <w:r>
              <w:tab/>
            </w:r>
            <w:r w:rsidRPr="02B85B1D">
              <w:rPr>
                <w:lang w:val="en-GB"/>
              </w:rPr>
              <w:t>FFS: Spec impact</w:t>
            </w:r>
          </w:p>
        </w:tc>
      </w:tr>
    </w:tbl>
    <w:p w14:paraId="6A452422" w14:textId="02A36060" w:rsidR="4F2BDA9D" w:rsidRDefault="00A878E5" w:rsidP="4F2BDA9D">
      <w:pPr>
        <w:spacing w:after="60" w:line="288" w:lineRule="auto"/>
        <w:jc w:val="both"/>
      </w:pPr>
      <w:r>
        <w:t xml:space="preserve"> </w:t>
      </w:r>
    </w:p>
    <w:p w14:paraId="314C55B8" w14:textId="53C79AC7" w:rsidR="7504B277" w:rsidRDefault="7504B277" w:rsidP="02A190A0">
      <w:pPr>
        <w:spacing w:after="60" w:line="288" w:lineRule="auto"/>
        <w:jc w:val="both"/>
      </w:pPr>
      <w:r>
        <w:t>Summary of Company positions:</w:t>
      </w:r>
    </w:p>
    <w:p w14:paraId="200F7328" w14:textId="1038905F" w:rsidR="00A878E5" w:rsidRDefault="00A878E5" w:rsidP="00A878E5">
      <w:pPr>
        <w:pStyle w:val="ListParagraph"/>
        <w:numPr>
          <w:ilvl w:val="0"/>
          <w:numId w:val="36"/>
        </w:numPr>
        <w:snapToGrid w:val="0"/>
        <w:spacing w:after="60" w:line="288" w:lineRule="auto"/>
        <w:jc w:val="both"/>
      </w:pPr>
      <w:r>
        <w:t>Support</w:t>
      </w:r>
      <w:r w:rsidR="379AE6F4">
        <w:t xml:space="preserve"> the proposed conclusion</w:t>
      </w:r>
      <w:r>
        <w:t>: vivo [2]</w:t>
      </w:r>
      <w:r w:rsidR="00F556AE">
        <w:t>, Intel [9]</w:t>
      </w:r>
      <w:r w:rsidR="00E8638C">
        <w:t>, Oppo [10],[11]</w:t>
      </w:r>
      <w:r w:rsidR="00CB4EE1">
        <w:t>, Doc</w:t>
      </w:r>
      <w:r w:rsidR="00F860D9">
        <w:t>omo [15]</w:t>
      </w:r>
      <w:r w:rsidR="00DE2C0E">
        <w:t xml:space="preserve"> (for SCSt)</w:t>
      </w:r>
      <w:r w:rsidR="00F81A95">
        <w:t>, Samsung [</w:t>
      </w:r>
      <w:r w:rsidR="009824FA">
        <w:t>17]</w:t>
      </w:r>
      <w:r w:rsidR="007E40D0">
        <w:t>,</w:t>
      </w:r>
      <w:r w:rsidR="007E40D0" w:rsidRPr="007E40D0">
        <w:t xml:space="preserve"> Qualcomm [18][19],</w:t>
      </w:r>
    </w:p>
    <w:p w14:paraId="1236BE2D" w14:textId="7A0CC116" w:rsidR="5036818F" w:rsidRDefault="5036818F" w:rsidP="65E11FA8">
      <w:pPr>
        <w:pStyle w:val="ListParagraph"/>
        <w:numPr>
          <w:ilvl w:val="0"/>
          <w:numId w:val="36"/>
        </w:numPr>
        <w:spacing w:after="60" w:line="288" w:lineRule="auto"/>
        <w:jc w:val="both"/>
      </w:pPr>
      <w:r>
        <w:t>Do not support the proposed conclusion:</w:t>
      </w:r>
    </w:p>
    <w:p w14:paraId="12E6BD21" w14:textId="77777777" w:rsidR="009C0DAF" w:rsidRDefault="0002108D" w:rsidP="007E450E">
      <w:pPr>
        <w:pStyle w:val="ListParagraph"/>
        <w:numPr>
          <w:ilvl w:val="1"/>
          <w:numId w:val="36"/>
        </w:numPr>
        <w:snapToGrid w:val="0"/>
        <w:spacing w:after="60" w:line="288" w:lineRule="auto"/>
        <w:jc w:val="both"/>
      </w:pPr>
      <w:r>
        <w:t xml:space="preserve">SCSt for Msg1/A: </w:t>
      </w:r>
    </w:p>
    <w:p w14:paraId="77D0926B" w14:textId="7DFF6306" w:rsidR="007E450E" w:rsidRDefault="007215E9" w:rsidP="009C0DAF">
      <w:pPr>
        <w:pStyle w:val="ListParagraph"/>
        <w:numPr>
          <w:ilvl w:val="2"/>
          <w:numId w:val="36"/>
        </w:numPr>
        <w:snapToGrid w:val="0"/>
        <w:spacing w:after="60" w:line="288" w:lineRule="auto"/>
        <w:jc w:val="both"/>
      </w:pPr>
      <w:r>
        <w:t>SIB1 based control: CATT</w:t>
      </w:r>
      <w:r w:rsidR="00B63646">
        <w:t>, Ericsson</w:t>
      </w:r>
      <w:r w:rsidR="00D05FFD">
        <w:t xml:space="preserve">, </w:t>
      </w:r>
      <w:r w:rsidR="00ED62CD">
        <w:t>LGE</w:t>
      </w:r>
      <w:r w:rsidR="3E3C9CB7">
        <w:t>, Nokia</w:t>
      </w:r>
      <w:r w:rsidR="262A15AA">
        <w:t>, Huawei [33]</w:t>
      </w:r>
    </w:p>
    <w:p w14:paraId="72E2BB9D" w14:textId="0E49570C" w:rsidR="007215E9" w:rsidRDefault="3E3C9CB7" w:rsidP="00706F90">
      <w:pPr>
        <w:pStyle w:val="ListParagraph"/>
        <w:numPr>
          <w:ilvl w:val="2"/>
          <w:numId w:val="36"/>
        </w:numPr>
        <w:snapToGrid w:val="0"/>
        <w:spacing w:after="60" w:line="288" w:lineRule="auto"/>
        <w:jc w:val="both"/>
        <w:rPr>
          <w:lang w:val="en-GB"/>
        </w:rPr>
      </w:pPr>
      <w:r w:rsidRPr="7C5F949F">
        <w:rPr>
          <w:lang w:val="en-GB"/>
        </w:rPr>
        <w:t>10% duty cycle is implemented as a cell-wide constraint: ZTE, Nokia</w:t>
      </w:r>
    </w:p>
    <w:p w14:paraId="1DAAEA0D" w14:textId="09C42F29" w:rsidR="00E2004A" w:rsidRDefault="00A3016B" w:rsidP="0080068A">
      <w:pPr>
        <w:snapToGrid w:val="0"/>
        <w:spacing w:after="60" w:line="288" w:lineRule="auto"/>
        <w:jc w:val="both"/>
        <w:outlineLvl w:val="3"/>
        <w:rPr>
          <w:lang w:val="en-GB"/>
        </w:rPr>
      </w:pPr>
      <w:r>
        <w:rPr>
          <w:lang w:val="en-GB"/>
        </w:rPr>
        <w:t xml:space="preserve">FL </w:t>
      </w:r>
      <w:r w:rsidR="003B1B43">
        <w:rPr>
          <w:lang w:val="en-GB"/>
        </w:rPr>
        <w:t>recommendation</w:t>
      </w:r>
      <w:r>
        <w:rPr>
          <w:lang w:val="en-GB"/>
        </w:rPr>
        <w:t xml:space="preserve"> CA-1-1: </w:t>
      </w:r>
    </w:p>
    <w:p w14:paraId="6CB1430E" w14:textId="4FA048B7" w:rsidR="00A3016B" w:rsidRPr="00A3016B" w:rsidRDefault="00426669" w:rsidP="00A3016B">
      <w:pPr>
        <w:snapToGrid w:val="0"/>
        <w:spacing w:after="60" w:line="288" w:lineRule="auto"/>
        <w:jc w:val="both"/>
        <w:rPr>
          <w:lang w:val="en-GB"/>
        </w:rPr>
      </w:pPr>
      <w:r>
        <w:rPr>
          <w:lang w:val="en-GB"/>
        </w:rPr>
        <w:t xml:space="preserve">Consider this topic has been discussed </w:t>
      </w:r>
      <w:r w:rsidR="00E2004A">
        <w:rPr>
          <w:lang w:val="en-GB"/>
        </w:rPr>
        <w:t>multiple rounds, FL recommend</w:t>
      </w:r>
      <w:r w:rsidR="0006331C">
        <w:rPr>
          <w:lang w:val="en-GB"/>
        </w:rPr>
        <w:t>s</w:t>
      </w:r>
      <w:r w:rsidR="00E2004A">
        <w:rPr>
          <w:lang w:val="en-GB"/>
        </w:rPr>
        <w:t xml:space="preserve"> to accept the fact we cannot agree on t</w:t>
      </w:r>
      <w:r w:rsidR="00915C25">
        <w:rPr>
          <w:lang w:val="en-GB"/>
        </w:rPr>
        <w:t>he issue and the remaining discussion is focused on if we should explicitly remove this from the spec.</w:t>
      </w:r>
    </w:p>
    <w:p w14:paraId="24A87BEF" w14:textId="31E1BDC1" w:rsidR="00F46E89" w:rsidRDefault="00F46E89" w:rsidP="00F46E89">
      <w:pPr>
        <w:pStyle w:val="Heading2"/>
      </w:pPr>
      <w:r>
        <w:t>CA-2</w:t>
      </w:r>
      <w:r w:rsidR="00155453">
        <w:t xml:space="preserve">. </w:t>
      </w:r>
      <w:r w:rsidR="00155453" w:rsidRPr="00155453">
        <w:t>Channel Access Type upgrade within gNB COT</w:t>
      </w:r>
    </w:p>
    <w:p w14:paraId="568AC1B3" w14:textId="060E89D6" w:rsidR="00F46E89" w:rsidRPr="00F46E89" w:rsidRDefault="00F46E89" w:rsidP="00F46E89">
      <w:pPr>
        <w:rPr>
          <w:lang w:eastAsia="zh-CN"/>
        </w:rPr>
      </w:pPr>
      <w:r>
        <w:rPr>
          <w:lang w:eastAsia="zh-CN"/>
        </w:rPr>
        <w:t xml:space="preserve">The following </w:t>
      </w:r>
      <w:r w:rsidR="1681E6CC" w:rsidRPr="7DD4C05D">
        <w:rPr>
          <w:lang w:eastAsia="zh-CN"/>
        </w:rPr>
        <w:t>are</w:t>
      </w:r>
      <w:r w:rsidR="1681E6CC" w:rsidRPr="6CF2AD1E">
        <w:rPr>
          <w:lang w:eastAsia="zh-CN"/>
        </w:rPr>
        <w:t xml:space="preserve"> </w:t>
      </w:r>
      <w:r w:rsidR="7684DE74" w:rsidRPr="6E391507">
        <w:rPr>
          <w:lang w:eastAsia="zh-CN"/>
        </w:rPr>
        <w:t xml:space="preserve">the positions </w:t>
      </w:r>
      <w:r w:rsidR="7684DE74" w:rsidRPr="6D65D07F">
        <w:rPr>
          <w:lang w:eastAsia="zh-CN"/>
        </w:rPr>
        <w:t xml:space="preserve">captured based on company </w:t>
      </w:r>
      <w:r w:rsidR="7684DE74" w:rsidRPr="08593292">
        <w:rPr>
          <w:lang w:eastAsia="zh-CN"/>
        </w:rPr>
        <w:t>contributions and draft CRs</w:t>
      </w:r>
      <w:r w:rsidR="7684DE74" w:rsidRPr="67F92EE5">
        <w:rPr>
          <w:lang w:eastAsia="zh-CN"/>
        </w:rPr>
        <w:t>.</w:t>
      </w:r>
    </w:p>
    <w:p w14:paraId="4A517066" w14:textId="2727E097" w:rsidR="67F92EE5" w:rsidRDefault="67F92EE5" w:rsidP="67F92EE5">
      <w:pPr>
        <w:rPr>
          <w:lang w:eastAsia="zh-CN"/>
        </w:rPr>
      </w:pPr>
    </w:p>
    <w:p w14:paraId="7B95E9BE" w14:textId="114F5795" w:rsidR="67F92EE5" w:rsidRDefault="1403C846" w:rsidP="67F92EE5">
      <w:pPr>
        <w:rPr>
          <w:lang w:val="en-GB"/>
        </w:rPr>
      </w:pPr>
      <w:r w:rsidRPr="30C3B0AB">
        <w:rPr>
          <w:lang w:eastAsia="zh-CN"/>
        </w:rPr>
        <w:t xml:space="preserve"> </w:t>
      </w:r>
    </w:p>
    <w:tbl>
      <w:tblPr>
        <w:tblStyle w:val="TableGrid"/>
        <w:tblW w:w="0" w:type="auto"/>
        <w:tblLook w:val="04A0" w:firstRow="1" w:lastRow="0" w:firstColumn="1" w:lastColumn="0" w:noHBand="0" w:noVBand="1"/>
      </w:tblPr>
      <w:tblGrid>
        <w:gridCol w:w="9926"/>
      </w:tblGrid>
      <w:tr w:rsidR="00B564D0" w14:paraId="06711DAB" w14:textId="77777777" w:rsidTr="00B564D0">
        <w:tc>
          <w:tcPr>
            <w:tcW w:w="9926" w:type="dxa"/>
          </w:tcPr>
          <w:p w14:paraId="5E6D85BC" w14:textId="66C4FAD2" w:rsidR="00B564D0" w:rsidRDefault="00B564D0" w:rsidP="006F0BE7">
            <w:pPr>
              <w:rPr>
                <w:lang w:val="en-GB"/>
              </w:rPr>
            </w:pPr>
            <w:r w:rsidRPr="02A190A0">
              <w:rPr>
                <w:lang w:val="en-GB"/>
              </w:rPr>
              <w:t>Proposed conclusion 3-3 from RAN1-110bis-e</w:t>
            </w:r>
            <w:r w:rsidR="007375F3">
              <w:rPr>
                <w:lang w:val="en-GB"/>
              </w:rPr>
              <w:t>: Bullet 2</w:t>
            </w:r>
          </w:p>
          <w:p w14:paraId="62197A2E" w14:textId="4DD7D57B" w:rsidR="00B564D0" w:rsidRDefault="00B564D0" w:rsidP="00B564D0">
            <w:pPr>
              <w:rPr>
                <w:lang w:eastAsia="zh-CN"/>
              </w:rPr>
            </w:pPr>
            <w:r w:rsidRPr="02A190A0">
              <w:rPr>
                <w:lang w:val="en-GB"/>
              </w:rPr>
              <w:t>•</w:t>
            </w:r>
            <w:r>
              <w:tab/>
            </w:r>
            <w:r w:rsidRPr="02A190A0">
              <w:rPr>
                <w:lang w:val="en-GB"/>
              </w:rPr>
              <w:t xml:space="preserve">Type </w:t>
            </w:r>
            <w:r w:rsidR="009B34EA" w:rsidRPr="02A190A0">
              <w:rPr>
                <w:lang w:val="en-GB"/>
              </w:rPr>
              <w:t>1 CA to Type2</w:t>
            </w:r>
            <w:r w:rsidRPr="02A190A0">
              <w:rPr>
                <w:lang w:val="en-GB"/>
              </w:rPr>
              <w:t xml:space="preserve"> or Type 3 CA </w:t>
            </w:r>
            <w:r w:rsidR="009B34EA" w:rsidRPr="02A190A0">
              <w:rPr>
                <w:lang w:val="en-GB"/>
              </w:rPr>
              <w:t>upgrade when back in gNB</w:t>
            </w:r>
            <w:r w:rsidRPr="02A190A0">
              <w:rPr>
                <w:lang w:val="en-GB"/>
              </w:rPr>
              <w:t xml:space="preserve"> COT is not supported in Rel.17</w:t>
            </w:r>
          </w:p>
        </w:tc>
      </w:tr>
    </w:tbl>
    <w:p w14:paraId="6B090924" w14:textId="2617ED1C" w:rsidR="4BB67B45" w:rsidRDefault="4BB67B45" w:rsidP="4BB67B45">
      <w:pPr>
        <w:rPr>
          <w:lang w:eastAsia="zh-CN"/>
        </w:rPr>
      </w:pPr>
    </w:p>
    <w:p w14:paraId="3E89B3A4" w14:textId="6E37BD0F" w:rsidR="007F26ED" w:rsidRDefault="007F26ED" w:rsidP="30C3B0AB">
      <w:pPr>
        <w:rPr>
          <w:lang w:eastAsia="zh-CN"/>
        </w:rPr>
      </w:pPr>
      <w:r>
        <w:rPr>
          <w:lang w:eastAsia="zh-CN"/>
        </w:rPr>
        <w:t xml:space="preserve"> Summary of Company Positions</w:t>
      </w:r>
    </w:p>
    <w:p w14:paraId="64458DB8" w14:textId="6B596156" w:rsidR="00FA3E85" w:rsidRDefault="00FA3E85" w:rsidP="00FA3E85">
      <w:pPr>
        <w:pStyle w:val="ListParagraph"/>
        <w:numPr>
          <w:ilvl w:val="0"/>
          <w:numId w:val="36"/>
        </w:numPr>
        <w:snapToGrid w:val="0"/>
        <w:spacing w:after="60" w:line="288" w:lineRule="auto"/>
        <w:jc w:val="both"/>
      </w:pPr>
      <w:r>
        <w:t>Support the proposed conclusion: vivo [2], Intel [9], Oppo [10],[11],Samsung [17],</w:t>
      </w:r>
      <w:r w:rsidRPr="007E40D0">
        <w:t xml:space="preserve"> Qualcomm [18][19],</w:t>
      </w:r>
    </w:p>
    <w:p w14:paraId="5B5AC78D" w14:textId="77777777" w:rsidR="00FA3E85" w:rsidRDefault="00FA3E85" w:rsidP="00FA3E85">
      <w:pPr>
        <w:pStyle w:val="ListParagraph"/>
        <w:numPr>
          <w:ilvl w:val="0"/>
          <w:numId w:val="36"/>
        </w:numPr>
        <w:spacing w:after="60" w:line="288" w:lineRule="auto"/>
        <w:jc w:val="both"/>
      </w:pPr>
      <w:r>
        <w:t>Do not support the proposed conclusion:</w:t>
      </w:r>
    </w:p>
    <w:p w14:paraId="575B3E5B" w14:textId="77777777" w:rsidR="00FA3E85" w:rsidRDefault="00FA3E85" w:rsidP="00FA3E85">
      <w:pPr>
        <w:pStyle w:val="ListParagraph"/>
        <w:numPr>
          <w:ilvl w:val="1"/>
          <w:numId w:val="36"/>
        </w:numPr>
        <w:snapToGrid w:val="0"/>
        <w:spacing w:after="60" w:line="288" w:lineRule="auto"/>
        <w:jc w:val="both"/>
      </w:pPr>
      <w:r>
        <w:t xml:space="preserve">Channel Access Type upgrade and Type 2 Channel Access on resuming a COT </w:t>
      </w:r>
    </w:p>
    <w:p w14:paraId="6273FDBA" w14:textId="77777777" w:rsidR="00FA3E85" w:rsidRDefault="00FA3E85" w:rsidP="00FA3E85">
      <w:pPr>
        <w:pStyle w:val="ListParagraph"/>
        <w:numPr>
          <w:ilvl w:val="2"/>
          <w:numId w:val="36"/>
        </w:numPr>
        <w:snapToGrid w:val="0"/>
        <w:spacing w:after="60" w:line="288" w:lineRule="auto"/>
        <w:jc w:val="both"/>
      </w:pPr>
      <w:r>
        <w:lastRenderedPageBreak/>
        <w:t>CATT, Huawei (No-RRC Change) [34]</w:t>
      </w:r>
    </w:p>
    <w:p w14:paraId="5D37C2F6" w14:textId="0318D95F" w:rsidR="0080068A" w:rsidRPr="0080068A" w:rsidRDefault="0080068A" w:rsidP="0080068A">
      <w:pPr>
        <w:snapToGrid w:val="0"/>
        <w:spacing w:after="60" w:line="288" w:lineRule="auto"/>
        <w:jc w:val="both"/>
        <w:outlineLvl w:val="3"/>
        <w:rPr>
          <w:lang w:val="en-GB"/>
        </w:rPr>
      </w:pPr>
      <w:r w:rsidRPr="0080068A">
        <w:rPr>
          <w:lang w:val="en-GB"/>
        </w:rPr>
        <w:t xml:space="preserve">FL </w:t>
      </w:r>
      <w:r w:rsidR="003B1B43">
        <w:rPr>
          <w:lang w:val="en-GB"/>
        </w:rPr>
        <w:t>recommendation</w:t>
      </w:r>
      <w:r w:rsidRPr="0080068A">
        <w:rPr>
          <w:lang w:val="en-GB"/>
        </w:rPr>
        <w:t xml:space="preserve"> CA-</w:t>
      </w:r>
      <w:r w:rsidR="0006331C">
        <w:rPr>
          <w:lang w:val="en-GB"/>
        </w:rPr>
        <w:t>2</w:t>
      </w:r>
      <w:r w:rsidRPr="0080068A">
        <w:rPr>
          <w:lang w:val="en-GB"/>
        </w:rPr>
        <w:t xml:space="preserve">-1: </w:t>
      </w:r>
    </w:p>
    <w:p w14:paraId="14AD2E35" w14:textId="3D51CE02" w:rsidR="67F92EE5" w:rsidRDefault="0080068A" w:rsidP="0006331C">
      <w:pPr>
        <w:rPr>
          <w:lang w:val="en-GB"/>
        </w:rPr>
      </w:pPr>
      <w:r w:rsidRPr="0006331C">
        <w:rPr>
          <w:lang w:val="en-GB"/>
        </w:rPr>
        <w:t>Consider this topic has been</w:t>
      </w:r>
      <w:r w:rsidR="0006331C">
        <w:rPr>
          <w:lang w:val="en-GB"/>
        </w:rPr>
        <w:t xml:space="preserve"> discussed multiple rounds, FL recommends to accept we cannot agree on the feature and agree on the conclusion</w:t>
      </w:r>
    </w:p>
    <w:p w14:paraId="1D5A09CF" w14:textId="77777777" w:rsidR="0006331C" w:rsidRDefault="0006331C" w:rsidP="0006331C">
      <w:pPr>
        <w:rPr>
          <w:lang w:eastAsia="zh-CN"/>
        </w:rPr>
      </w:pPr>
    </w:p>
    <w:p w14:paraId="44BF0765" w14:textId="390D5F36" w:rsidR="00F46E89" w:rsidRDefault="00F46E89" w:rsidP="00F46E89">
      <w:pPr>
        <w:pStyle w:val="Heading2"/>
      </w:pPr>
      <w:r>
        <w:t>CA-3</w:t>
      </w:r>
      <w:r w:rsidR="00155453">
        <w:t xml:space="preserve">. </w:t>
      </w:r>
      <w:r w:rsidR="00155453" w:rsidRPr="00155453">
        <w:t>Channel Access Type for resuming UE COT after a gap</w:t>
      </w:r>
    </w:p>
    <w:tbl>
      <w:tblPr>
        <w:tblStyle w:val="TableGrid"/>
        <w:tblW w:w="0" w:type="auto"/>
        <w:tblLook w:val="04A0" w:firstRow="1" w:lastRow="0" w:firstColumn="1" w:lastColumn="0" w:noHBand="0" w:noVBand="1"/>
      </w:tblPr>
      <w:tblGrid>
        <w:gridCol w:w="9926"/>
      </w:tblGrid>
      <w:tr w:rsidR="004E0B4B" w14:paraId="3DED2282" w14:textId="77777777" w:rsidTr="004E0B4B">
        <w:tc>
          <w:tcPr>
            <w:tcW w:w="9926" w:type="dxa"/>
          </w:tcPr>
          <w:p w14:paraId="23B8B8C8" w14:textId="07958C81" w:rsidR="004E0B4B" w:rsidRDefault="004E0B4B" w:rsidP="004E0B4B">
            <w:pPr>
              <w:ind w:left="360"/>
              <w:rPr>
                <w:lang w:val="en-GB"/>
              </w:rPr>
            </w:pPr>
            <w:r w:rsidRPr="02A190A0">
              <w:rPr>
                <w:lang w:val="en-GB"/>
              </w:rPr>
              <w:t>Proposed conclusion 3-3 from RAN1-110bis-e</w:t>
            </w:r>
            <w:r>
              <w:rPr>
                <w:lang w:val="en-GB"/>
              </w:rPr>
              <w:t>: Bullet 3</w:t>
            </w:r>
            <w:r>
              <w:tab/>
            </w:r>
          </w:p>
          <w:p w14:paraId="53033AA1" w14:textId="66ACEE4A" w:rsidR="004E0B4B" w:rsidRDefault="004E0B4B" w:rsidP="004E0B4B">
            <w:pPr>
              <w:rPr>
                <w:lang w:eastAsia="zh-CN"/>
              </w:rPr>
            </w:pPr>
            <w:r w:rsidRPr="02A190A0">
              <w:rPr>
                <w:lang w:val="en-GB"/>
              </w:rPr>
              <w:t>•</w:t>
            </w:r>
            <w:r>
              <w:tab/>
            </w:r>
            <w:r w:rsidRPr="02A190A0">
              <w:rPr>
                <w:lang w:val="en-GB"/>
              </w:rPr>
              <w:t>UE uses Type 2 or Type 3 CA to resume COT within its own COT is not supported in Rel.17</w:t>
            </w:r>
          </w:p>
        </w:tc>
      </w:tr>
    </w:tbl>
    <w:p w14:paraId="1706581A" w14:textId="77777777" w:rsidR="004E0B4B" w:rsidRDefault="004E0B4B" w:rsidP="004E0B4B">
      <w:pPr>
        <w:rPr>
          <w:lang w:eastAsia="zh-CN"/>
        </w:rPr>
      </w:pPr>
    </w:p>
    <w:p w14:paraId="5139253A" w14:textId="77777777" w:rsidR="004E0B4B" w:rsidRPr="004E0B4B" w:rsidRDefault="004E0B4B" w:rsidP="004E0B4B">
      <w:pPr>
        <w:rPr>
          <w:lang w:eastAsia="zh-CN"/>
        </w:rPr>
      </w:pPr>
    </w:p>
    <w:p w14:paraId="7968D0B5" w14:textId="77777777" w:rsidR="007F26ED" w:rsidRDefault="007F26ED" w:rsidP="007F26ED">
      <w:pPr>
        <w:rPr>
          <w:lang w:eastAsia="zh-CN"/>
        </w:rPr>
      </w:pPr>
      <w:r>
        <w:rPr>
          <w:lang w:eastAsia="zh-CN"/>
        </w:rPr>
        <w:t>Summary of Company Positions</w:t>
      </w:r>
    </w:p>
    <w:p w14:paraId="451BA5EA" w14:textId="77777777" w:rsidR="007F26ED" w:rsidRDefault="007F26ED" w:rsidP="007F26ED">
      <w:pPr>
        <w:pStyle w:val="ListParagraph"/>
        <w:numPr>
          <w:ilvl w:val="0"/>
          <w:numId w:val="36"/>
        </w:numPr>
        <w:snapToGrid w:val="0"/>
        <w:spacing w:after="60" w:line="288" w:lineRule="auto"/>
        <w:jc w:val="both"/>
      </w:pPr>
      <w:r>
        <w:t>Support the proposed conclusion: vivo [2], Intel [9], Oppo [10],[11],Samsung [17],</w:t>
      </w:r>
      <w:r w:rsidRPr="007E40D0">
        <w:t xml:space="preserve"> Qualcomm [18][19],</w:t>
      </w:r>
    </w:p>
    <w:p w14:paraId="50B8ED14" w14:textId="77777777" w:rsidR="007F26ED" w:rsidRDefault="007F26ED" w:rsidP="007F26ED">
      <w:pPr>
        <w:pStyle w:val="ListParagraph"/>
        <w:numPr>
          <w:ilvl w:val="0"/>
          <w:numId w:val="36"/>
        </w:numPr>
        <w:spacing w:after="60" w:line="288" w:lineRule="auto"/>
        <w:jc w:val="both"/>
      </w:pPr>
      <w:r>
        <w:t>Do not support the proposed conclusion:</w:t>
      </w:r>
    </w:p>
    <w:p w14:paraId="616C07C2" w14:textId="77777777" w:rsidR="007F26ED" w:rsidRDefault="007F26ED" w:rsidP="007F26ED">
      <w:pPr>
        <w:pStyle w:val="ListParagraph"/>
        <w:numPr>
          <w:ilvl w:val="1"/>
          <w:numId w:val="36"/>
        </w:numPr>
        <w:snapToGrid w:val="0"/>
        <w:spacing w:after="60" w:line="288" w:lineRule="auto"/>
        <w:jc w:val="both"/>
      </w:pPr>
      <w:r>
        <w:t xml:space="preserve">Channel Access Type upgrade and Type 2 Channel Access on resuming a COT </w:t>
      </w:r>
    </w:p>
    <w:p w14:paraId="0872821C" w14:textId="77777777" w:rsidR="007F26ED" w:rsidRDefault="007F26ED" w:rsidP="007F26ED">
      <w:pPr>
        <w:pStyle w:val="ListParagraph"/>
        <w:numPr>
          <w:ilvl w:val="2"/>
          <w:numId w:val="36"/>
        </w:numPr>
        <w:snapToGrid w:val="0"/>
        <w:spacing w:after="60" w:line="288" w:lineRule="auto"/>
        <w:jc w:val="both"/>
      </w:pPr>
      <w:r>
        <w:t>CATT, Huawei (No-RRC Change) [34]</w:t>
      </w:r>
    </w:p>
    <w:p w14:paraId="64D8FADF" w14:textId="4993E2C4" w:rsidR="0006331C" w:rsidRPr="0006331C" w:rsidRDefault="0006331C" w:rsidP="0006331C">
      <w:pPr>
        <w:snapToGrid w:val="0"/>
        <w:spacing w:after="60" w:line="288" w:lineRule="auto"/>
        <w:jc w:val="both"/>
        <w:outlineLvl w:val="3"/>
        <w:rPr>
          <w:lang w:val="en-GB"/>
        </w:rPr>
      </w:pPr>
      <w:r w:rsidRPr="0006331C">
        <w:rPr>
          <w:lang w:val="en-GB"/>
        </w:rPr>
        <w:t xml:space="preserve">FL </w:t>
      </w:r>
      <w:r w:rsidR="003B1B43">
        <w:rPr>
          <w:lang w:val="en-GB"/>
        </w:rPr>
        <w:t>recommendation</w:t>
      </w:r>
      <w:r w:rsidRPr="0006331C">
        <w:rPr>
          <w:lang w:val="en-GB"/>
        </w:rPr>
        <w:t xml:space="preserve"> CA-</w:t>
      </w:r>
      <w:r>
        <w:rPr>
          <w:lang w:val="en-GB"/>
        </w:rPr>
        <w:t>3</w:t>
      </w:r>
      <w:r w:rsidRPr="0006331C">
        <w:rPr>
          <w:lang w:val="en-GB"/>
        </w:rPr>
        <w:t xml:space="preserve">-1: </w:t>
      </w:r>
    </w:p>
    <w:p w14:paraId="731D2D8D" w14:textId="77777777" w:rsidR="0006331C" w:rsidRPr="0006331C" w:rsidRDefault="0006331C" w:rsidP="0006331C">
      <w:pPr>
        <w:rPr>
          <w:lang w:val="en-GB"/>
        </w:rPr>
      </w:pPr>
      <w:r w:rsidRPr="0006331C">
        <w:rPr>
          <w:lang w:val="en-GB"/>
        </w:rPr>
        <w:t>Consider this topic has been discussed multiple rounds, FL recommends to accept we cannot agree on the feature and agree on the conclusion</w:t>
      </w:r>
    </w:p>
    <w:p w14:paraId="0A083F15" w14:textId="77777777" w:rsidR="007F26ED" w:rsidRPr="004E0B4B" w:rsidRDefault="007F26ED" w:rsidP="004E0B4B">
      <w:pPr>
        <w:rPr>
          <w:lang w:eastAsia="zh-CN"/>
        </w:rPr>
      </w:pPr>
    </w:p>
    <w:p w14:paraId="291EFD5D" w14:textId="50142993" w:rsidR="006166E9" w:rsidRDefault="00F46E89" w:rsidP="00F46E89">
      <w:pPr>
        <w:pStyle w:val="Heading2"/>
      </w:pPr>
      <w:r>
        <w:t>CA-4</w:t>
      </w:r>
      <w:r w:rsidR="00155453">
        <w:t xml:space="preserve">. </w:t>
      </w:r>
      <w:r w:rsidR="00155453" w:rsidRPr="00155453">
        <w:t>Independent Per Beam LBT procedure  in a multi-Beam COT</w:t>
      </w:r>
    </w:p>
    <w:p w14:paraId="73D4A5BE" w14:textId="2B1C4FD2" w:rsidR="00CF2A12" w:rsidRDefault="00CF2A12" w:rsidP="00CF2A12">
      <w:pPr>
        <w:rPr>
          <w:rFonts w:eastAsiaTheme="minorHAnsi"/>
          <w:sz w:val="22"/>
          <w:szCs w:val="22"/>
          <w:lang w:eastAsia="en-US"/>
        </w:rPr>
      </w:pPr>
      <w:r>
        <w:t>During RAN1-110bis-e, the following conclusion was reached:</w:t>
      </w:r>
    </w:p>
    <w:tbl>
      <w:tblPr>
        <w:tblStyle w:val="TableGrid"/>
        <w:tblW w:w="0" w:type="auto"/>
        <w:tblLook w:val="04A0" w:firstRow="1" w:lastRow="0" w:firstColumn="1" w:lastColumn="0" w:noHBand="0" w:noVBand="1"/>
      </w:tblPr>
      <w:tblGrid>
        <w:gridCol w:w="9512"/>
      </w:tblGrid>
      <w:tr w:rsidR="00CF2A12" w14:paraId="375A7684" w14:textId="77777777" w:rsidTr="00CF2A12">
        <w:tc>
          <w:tcPr>
            <w:tcW w:w="9512" w:type="dxa"/>
            <w:tcBorders>
              <w:top w:val="single" w:sz="4" w:space="0" w:color="auto"/>
              <w:left w:val="single" w:sz="4" w:space="0" w:color="auto"/>
              <w:bottom w:val="single" w:sz="4" w:space="0" w:color="auto"/>
              <w:right w:val="single" w:sz="4" w:space="0" w:color="auto"/>
            </w:tcBorders>
            <w:hideMark/>
          </w:tcPr>
          <w:p w14:paraId="3FE759F7" w14:textId="77777777" w:rsidR="00CF2A12" w:rsidRDefault="00CF2A12">
            <w:pPr>
              <w:rPr>
                <w:b/>
                <w:u w:val="single"/>
                <w:lang w:eastAsia="x-none"/>
              </w:rPr>
            </w:pPr>
            <w:r>
              <w:rPr>
                <w:b/>
                <w:u w:val="single"/>
                <w:lang w:eastAsia="x-none"/>
              </w:rPr>
              <w:t>Conclusion</w:t>
            </w:r>
          </w:p>
          <w:p w14:paraId="297340F5" w14:textId="77777777" w:rsidR="00CF2A12" w:rsidRDefault="00CF2A12">
            <w:pPr>
              <w:rPr>
                <w:lang w:eastAsia="x-none"/>
              </w:rPr>
            </w:pPr>
            <w:r>
              <w:rPr>
                <w:lang w:eastAsia="x-none"/>
              </w:rPr>
              <w:t>When independent per-beam LBT sensing is performed at UE, whether a transmission is allowed to occur on a subset of beams, where all of the corresponding LBT procedures for the subset of beams have been successful, is left for UE implementation.</w:t>
            </w:r>
          </w:p>
          <w:p w14:paraId="458FC3E1" w14:textId="77777777" w:rsidR="00CF2A12" w:rsidRDefault="00CF2A12" w:rsidP="00CF2A12">
            <w:pPr>
              <w:pStyle w:val="ListParagraph"/>
              <w:numPr>
                <w:ilvl w:val="0"/>
                <w:numId w:val="45"/>
              </w:numPr>
              <w:kinsoku w:val="0"/>
              <w:overflowPunct w:val="0"/>
              <w:adjustRightInd w:val="0"/>
              <w:spacing w:before="120" w:after="60" w:line="256" w:lineRule="auto"/>
              <w:ind w:left="960" w:hanging="480"/>
              <w:contextualSpacing w:val="0"/>
              <w:jc w:val="both"/>
              <w:textAlignment w:val="baseline"/>
              <w:rPr>
                <w:lang w:eastAsia="zh-CN"/>
              </w:rPr>
            </w:pPr>
            <w:r>
              <w:rPr>
                <w:rFonts w:ascii="Times New Roman" w:hAnsi="Times New Roman"/>
                <w:lang w:eastAsia="zh-CN"/>
              </w:rPr>
              <w:t>FFS spec impact, if any</w:t>
            </w:r>
          </w:p>
        </w:tc>
      </w:tr>
    </w:tbl>
    <w:p w14:paraId="21DF0F4C" w14:textId="77777777" w:rsidR="003D220F" w:rsidRPr="003D220F" w:rsidRDefault="003D220F" w:rsidP="003D220F">
      <w:pPr>
        <w:rPr>
          <w:lang w:eastAsia="zh-CN"/>
        </w:rPr>
      </w:pPr>
    </w:p>
    <w:p w14:paraId="5CD4D0FA" w14:textId="6E2321BC" w:rsidR="006202A9" w:rsidRDefault="00B94F4A" w:rsidP="003D220F">
      <w:pPr>
        <w:rPr>
          <w:lang w:eastAsia="zh-CN"/>
        </w:rPr>
      </w:pPr>
      <w:r>
        <w:rPr>
          <w:lang w:eastAsia="zh-CN"/>
        </w:rPr>
        <w:t xml:space="preserve">The two companies </w:t>
      </w:r>
      <w:r w:rsidR="00B831DB">
        <w:rPr>
          <w:lang w:eastAsia="zh-CN"/>
        </w:rPr>
        <w:t>commenting on this aspect</w:t>
      </w:r>
      <w:r w:rsidR="002B1AFB">
        <w:rPr>
          <w:lang w:eastAsia="zh-CN"/>
        </w:rPr>
        <w:t>.</w:t>
      </w:r>
    </w:p>
    <w:p w14:paraId="00BA72B9" w14:textId="77777777" w:rsidR="002B1AFB" w:rsidRDefault="002B1AFB" w:rsidP="003D220F">
      <w:pPr>
        <w:rPr>
          <w:lang w:eastAsia="zh-CN"/>
        </w:rPr>
      </w:pPr>
    </w:p>
    <w:p w14:paraId="3EE1CF75" w14:textId="3F9BAC91" w:rsidR="002B1AFB" w:rsidRDefault="002B1AFB" w:rsidP="003D220F">
      <w:pPr>
        <w:rPr>
          <w:lang w:eastAsia="zh-CN"/>
        </w:rPr>
      </w:pPr>
      <w:r w:rsidRPr="00B35208">
        <w:rPr>
          <w:b/>
          <w:bCs/>
          <w:lang w:eastAsia="zh-CN"/>
        </w:rPr>
        <w:t>Proposal from Intel [9]:</w:t>
      </w:r>
      <w:r>
        <w:rPr>
          <w:lang w:eastAsia="zh-CN"/>
        </w:rPr>
        <w:t xml:space="preserve"> </w:t>
      </w:r>
      <w:r w:rsidR="00B35208" w:rsidRPr="00B35208">
        <w:rPr>
          <w:lang w:eastAsia="zh-CN"/>
        </w:rPr>
        <w:t>For the independent per-beam LBT, no specification change is needed to explicitly indicate that a transmission may be allowed on a beam either if LBT succeeds individually on that beam or if LBTs has succeeded across all beams over which the transmission is intended.</w:t>
      </w:r>
    </w:p>
    <w:p w14:paraId="7FF0CD1B" w14:textId="77777777" w:rsidR="00B35208" w:rsidRDefault="00B35208" w:rsidP="003D220F">
      <w:pPr>
        <w:rPr>
          <w:lang w:eastAsia="zh-CN"/>
        </w:rPr>
      </w:pPr>
    </w:p>
    <w:p w14:paraId="27CC661D" w14:textId="1B43A5E6" w:rsidR="00B35208" w:rsidRDefault="00B35208" w:rsidP="003D220F">
      <w:pPr>
        <w:rPr>
          <w:lang w:eastAsia="zh-CN"/>
        </w:rPr>
      </w:pPr>
      <w:r>
        <w:rPr>
          <w:lang w:eastAsia="zh-CN"/>
        </w:rPr>
        <w:t>On the other hand, Huawei</w:t>
      </w:r>
      <w:r w:rsidR="005422D5">
        <w:rPr>
          <w:lang w:eastAsia="zh-CN"/>
        </w:rPr>
        <w:t>’s draft CR [</w:t>
      </w:r>
      <w:r w:rsidR="00B15DB6">
        <w:rPr>
          <w:lang w:eastAsia="zh-CN"/>
        </w:rPr>
        <w:t>32] argues the following:</w:t>
      </w:r>
    </w:p>
    <w:p w14:paraId="6EC2791C" w14:textId="366D2611" w:rsidR="00B15DB6" w:rsidRPr="003D0C73" w:rsidRDefault="00B15DB6" w:rsidP="003D220F">
      <w:pPr>
        <w:rPr>
          <w:b/>
          <w:lang w:eastAsia="zh-CN"/>
        </w:rPr>
      </w:pPr>
      <w:r w:rsidRPr="003D0C73">
        <w:rPr>
          <w:b/>
          <w:lang w:eastAsia="zh-CN"/>
        </w:rPr>
        <w:t xml:space="preserve">Reason for change from Huawei [32]: </w:t>
      </w:r>
    </w:p>
    <w:p w14:paraId="6031B5AA" w14:textId="48081748" w:rsidR="00B15DB6" w:rsidRDefault="003D0C73" w:rsidP="003D220F">
      <w:pPr>
        <w:rPr>
          <w:lang w:eastAsia="zh-CN"/>
        </w:rPr>
      </w:pPr>
      <w:r w:rsidRPr="003D0C73">
        <w:rPr>
          <w:lang w:eastAsia="zh-CN"/>
        </w:rPr>
        <w:t>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w:t>
      </w:r>
      <w:r w:rsidRPr="003D0C73">
        <w:rPr>
          <w:lang w:eastAsia="zh-CN"/>
        </w:rPr>
        <w:lastRenderedPageBreak/>
        <w:t>beam Type 1 channel access procedures early enough before the aligned start time, a min</w:t>
      </w:r>
      <w:r w:rsidR="0003546E">
        <w:rPr>
          <w:lang w:eastAsia="zh-CN"/>
        </w:rPr>
        <w:t>i</w:t>
      </w:r>
      <w:r w:rsidRPr="003D0C73">
        <w:rPr>
          <w:lang w:eastAsia="zh-CN"/>
        </w:rPr>
        <w:t>mum gap constraint on the aligned starting time is needed to ensure efficiency of the multi-beam channel access procedures.</w:t>
      </w:r>
    </w:p>
    <w:p w14:paraId="24EEC554" w14:textId="77777777" w:rsidR="006202A9" w:rsidRDefault="006202A9" w:rsidP="003D220F">
      <w:pPr>
        <w:rPr>
          <w:lang w:eastAsia="zh-CN"/>
        </w:rPr>
      </w:pPr>
    </w:p>
    <w:p w14:paraId="1F4F0167" w14:textId="042A4AA8" w:rsidR="003B1B43" w:rsidRPr="0080068A" w:rsidRDefault="003B1B43" w:rsidP="003B1B43">
      <w:pPr>
        <w:snapToGrid w:val="0"/>
        <w:spacing w:after="60" w:line="288" w:lineRule="auto"/>
        <w:jc w:val="both"/>
        <w:outlineLvl w:val="3"/>
        <w:rPr>
          <w:lang w:val="en-GB"/>
        </w:rPr>
      </w:pPr>
      <w:r w:rsidRPr="0080068A">
        <w:rPr>
          <w:lang w:val="en-GB"/>
        </w:rPr>
        <w:t xml:space="preserve">FL </w:t>
      </w:r>
      <w:r w:rsidR="00283910">
        <w:rPr>
          <w:lang w:val="en-GB"/>
        </w:rPr>
        <w:t>recommendation</w:t>
      </w:r>
      <w:r w:rsidRPr="0080068A">
        <w:rPr>
          <w:lang w:val="en-GB"/>
        </w:rPr>
        <w:t xml:space="preserve"> CA-</w:t>
      </w:r>
      <w:r>
        <w:rPr>
          <w:lang w:val="en-GB"/>
        </w:rPr>
        <w:t>4</w:t>
      </w:r>
      <w:r w:rsidRPr="0080068A">
        <w:rPr>
          <w:lang w:val="en-GB"/>
        </w:rPr>
        <w:t xml:space="preserve">-1: </w:t>
      </w:r>
    </w:p>
    <w:p w14:paraId="34F597CC" w14:textId="444F8CD1" w:rsidR="003B1B43" w:rsidRDefault="00CC2151" w:rsidP="00CC2151">
      <w:pPr>
        <w:pStyle w:val="ListParagraph"/>
        <w:numPr>
          <w:ilvl w:val="0"/>
          <w:numId w:val="45"/>
        </w:numPr>
        <w:rPr>
          <w:lang w:val="en-GB"/>
        </w:rPr>
      </w:pPr>
      <w:r>
        <w:rPr>
          <w:lang w:val="en-GB"/>
        </w:rPr>
        <w:t>For the earlier conclusion, unless some companies believe there is spec impact, we don’t need to further discuss</w:t>
      </w:r>
    </w:p>
    <w:p w14:paraId="579FB070" w14:textId="7D58E1AA" w:rsidR="00CC2151" w:rsidRPr="00CC2151" w:rsidRDefault="00CC2151" w:rsidP="00CC2151">
      <w:pPr>
        <w:pStyle w:val="ListParagraph"/>
        <w:numPr>
          <w:ilvl w:val="0"/>
          <w:numId w:val="45"/>
        </w:numPr>
        <w:rPr>
          <w:lang w:val="en-GB"/>
        </w:rPr>
      </w:pPr>
      <w:r>
        <w:rPr>
          <w:lang w:val="en-GB"/>
        </w:rPr>
        <w:t xml:space="preserve">For </w:t>
      </w:r>
      <w:r w:rsidR="00253440">
        <w:rPr>
          <w:lang w:val="en-GB"/>
        </w:rPr>
        <w:t>HW proposal on introducing minimum gap, companies are recommended to provide view.</w:t>
      </w:r>
    </w:p>
    <w:p w14:paraId="774D067E" w14:textId="77777777" w:rsidR="006202A9" w:rsidRPr="003D220F" w:rsidRDefault="006202A9" w:rsidP="003D220F">
      <w:pPr>
        <w:rPr>
          <w:lang w:eastAsia="zh-CN"/>
        </w:rPr>
      </w:pPr>
    </w:p>
    <w:p w14:paraId="70FD9D85" w14:textId="3AB6C06D" w:rsidR="00A878E5" w:rsidRDefault="006166E9" w:rsidP="00F46E89">
      <w:pPr>
        <w:pStyle w:val="Heading2"/>
      </w:pPr>
      <w:r>
        <w:t>CA-5</w:t>
      </w:r>
      <w:r w:rsidR="00155453">
        <w:t xml:space="preserve">. </w:t>
      </w:r>
      <w:r w:rsidR="00155453" w:rsidRPr="00155453">
        <w:t>DCI Format 0_2, 1_2</w:t>
      </w:r>
    </w:p>
    <w:p w14:paraId="7B7B8576" w14:textId="099B7E33" w:rsidR="00027D16" w:rsidRDefault="00027D16" w:rsidP="00027D16">
      <w:r w:rsidRPr="00F57B2A">
        <w:rPr>
          <w:b/>
          <w:bCs/>
          <w:lang w:eastAsia="zh-CN"/>
        </w:rPr>
        <w:t xml:space="preserve">Description/Reason for Change from </w:t>
      </w:r>
      <w:r>
        <w:rPr>
          <w:b/>
          <w:bCs/>
          <w:lang w:eastAsia="zh-CN"/>
        </w:rPr>
        <w:t xml:space="preserve">LGE </w:t>
      </w:r>
      <w:r w:rsidRPr="00F57B2A">
        <w:rPr>
          <w:b/>
          <w:bCs/>
          <w:lang w:eastAsia="zh-CN"/>
        </w:rPr>
        <w:t xml:space="preserve"> [</w:t>
      </w:r>
      <w:r>
        <w:rPr>
          <w:b/>
          <w:bCs/>
          <w:lang w:eastAsia="zh-CN"/>
        </w:rPr>
        <w:t>21</w:t>
      </w:r>
      <w:r w:rsidRPr="00F57B2A">
        <w:rPr>
          <w:b/>
          <w:bCs/>
          <w:lang w:eastAsia="zh-CN"/>
        </w:rPr>
        <w:t>]:</w:t>
      </w:r>
      <w:r>
        <w:rPr>
          <w:b/>
          <w:bCs/>
          <w:lang w:eastAsia="zh-CN"/>
        </w:rPr>
        <w:t xml:space="preserve"> </w:t>
      </w:r>
      <w:r w:rsidR="000C64AA">
        <w:t>In RAN1#110b-e, it was agreed to reflect that ChannelAccess-CPext field is not configured in DCI format x_1 in FR2-2 when ChannelAccessMode2-r17 is not configured. However, DCI format x_2 has not yet been reflected.</w:t>
      </w:r>
    </w:p>
    <w:p w14:paraId="4818B13A" w14:textId="77777777" w:rsidR="00B4585A" w:rsidRDefault="00B4585A" w:rsidP="00027D16"/>
    <w:p w14:paraId="710EF039" w14:textId="441FD614" w:rsidR="00B4585A" w:rsidRPr="0080068A" w:rsidRDefault="00B4585A" w:rsidP="00B4585A">
      <w:pPr>
        <w:snapToGrid w:val="0"/>
        <w:spacing w:after="60" w:line="288" w:lineRule="auto"/>
        <w:jc w:val="both"/>
        <w:outlineLvl w:val="3"/>
        <w:rPr>
          <w:lang w:val="en-GB"/>
        </w:rPr>
      </w:pPr>
      <w:r w:rsidRPr="0080068A">
        <w:rPr>
          <w:lang w:val="en-GB"/>
        </w:rPr>
        <w:t xml:space="preserve">FL </w:t>
      </w:r>
      <w:r w:rsidR="00283910">
        <w:rPr>
          <w:lang w:val="en-GB"/>
        </w:rPr>
        <w:t>recommendation</w:t>
      </w:r>
      <w:r w:rsidRPr="0080068A">
        <w:rPr>
          <w:lang w:val="en-GB"/>
        </w:rPr>
        <w:t xml:space="preserve"> CA-</w:t>
      </w:r>
      <w:r>
        <w:rPr>
          <w:lang w:val="en-GB"/>
        </w:rPr>
        <w:t>5</w:t>
      </w:r>
      <w:r w:rsidRPr="0080068A">
        <w:rPr>
          <w:lang w:val="en-GB"/>
        </w:rPr>
        <w:t xml:space="preserve">-1: </w:t>
      </w:r>
    </w:p>
    <w:p w14:paraId="6522B0A4" w14:textId="4957B7E7" w:rsidR="00B4585A" w:rsidRDefault="00D93F9E" w:rsidP="00B4585A">
      <w:pPr>
        <w:rPr>
          <w:lang w:val="en-GB"/>
        </w:rPr>
      </w:pPr>
      <w:r>
        <w:rPr>
          <w:lang w:val="en-GB"/>
        </w:rPr>
        <w:t xml:space="preserve">Porting the agreement for DCI x_1 to DCI x_2 seems reasonable. </w:t>
      </w:r>
      <w:r w:rsidR="00756FDD">
        <w:rPr>
          <w:lang w:val="en-GB"/>
        </w:rPr>
        <w:t>FL r</w:t>
      </w:r>
      <w:r>
        <w:rPr>
          <w:lang w:val="en-GB"/>
        </w:rPr>
        <w:t>ecommend</w:t>
      </w:r>
      <w:r w:rsidR="00756FDD">
        <w:rPr>
          <w:lang w:val="en-GB"/>
        </w:rPr>
        <w:t>s</w:t>
      </w:r>
      <w:r>
        <w:rPr>
          <w:lang w:val="en-GB"/>
        </w:rPr>
        <w:t xml:space="preserve"> to discuss</w:t>
      </w:r>
      <w:r w:rsidR="00756FDD">
        <w:rPr>
          <w:lang w:val="en-GB"/>
        </w:rPr>
        <w:t>.</w:t>
      </w:r>
    </w:p>
    <w:p w14:paraId="0ABF899D" w14:textId="77777777" w:rsidR="00B4585A" w:rsidRPr="00027D16" w:rsidRDefault="00B4585A" w:rsidP="00027D16">
      <w:pPr>
        <w:rPr>
          <w:lang w:eastAsia="zh-CN"/>
        </w:rPr>
      </w:pPr>
    </w:p>
    <w:p w14:paraId="5575739D" w14:textId="729E99D0" w:rsidR="006166E9" w:rsidRDefault="006166E9" w:rsidP="006166E9">
      <w:pPr>
        <w:pStyle w:val="Heading2"/>
      </w:pPr>
      <w:r>
        <w:t>CA-6</w:t>
      </w:r>
      <w:r w:rsidR="00A03D86">
        <w:t xml:space="preserve">. </w:t>
      </w:r>
      <w:r w:rsidR="00A03D86" w:rsidRPr="00A03D86">
        <w:t>Exclude CSI-RS validation when in discovery burst</w:t>
      </w:r>
    </w:p>
    <w:p w14:paraId="2DF3441B" w14:textId="51061EBE" w:rsidR="00727ADB" w:rsidRDefault="00727ADB" w:rsidP="00727ADB">
      <w:pPr>
        <w:rPr>
          <w:noProof/>
          <w:lang w:eastAsia="zh-TW"/>
        </w:rPr>
      </w:pPr>
      <w:r w:rsidRPr="00F57B2A">
        <w:rPr>
          <w:b/>
          <w:bCs/>
          <w:lang w:eastAsia="zh-CN"/>
        </w:rPr>
        <w:t xml:space="preserve">Description/Reason for Change from </w:t>
      </w:r>
      <w:r>
        <w:rPr>
          <w:b/>
          <w:bCs/>
          <w:lang w:eastAsia="zh-CN"/>
        </w:rPr>
        <w:t>AsusTek [20</w:t>
      </w:r>
      <w:r w:rsidR="00A12038">
        <w:rPr>
          <w:b/>
          <w:bCs/>
          <w:lang w:eastAsia="zh-CN"/>
        </w:rPr>
        <w:t>]</w:t>
      </w:r>
      <w:r w:rsidRPr="00F57B2A">
        <w:rPr>
          <w:b/>
          <w:bCs/>
          <w:lang w:eastAsia="zh-CN"/>
        </w:rPr>
        <w:t>:</w:t>
      </w:r>
      <w:r w:rsidR="004747A3">
        <w:rPr>
          <w:b/>
          <w:bCs/>
          <w:lang w:eastAsia="zh-CN"/>
        </w:rPr>
        <w:t xml:space="preserve"> </w:t>
      </w:r>
      <w:r w:rsidR="004747A3">
        <w:rPr>
          <w:noProof/>
          <w:lang w:eastAsia="zh-TW"/>
        </w:rPr>
        <w:t>Currently, CSI-RS validation under FR2-2 only concerns the case that the UE is under LBT mode and CSI-RS verification is not performed for UE under No-LBT mode. However, CSI-RS could be part of discivery bust which could be exempted from LBT as short control signalling according to TS 37.213. When CSI-RS is exempted from LBT, gNB could transmit the CSI-RS without channel occupancy and perform CSI-RS validation for this situation would lead to errorneuos dropping of CSI-RS.</w:t>
      </w:r>
    </w:p>
    <w:p w14:paraId="67EB7537" w14:textId="77777777" w:rsidR="00283910" w:rsidRDefault="00283910" w:rsidP="00727ADB">
      <w:pPr>
        <w:rPr>
          <w:noProof/>
          <w:lang w:eastAsia="zh-TW"/>
        </w:rPr>
      </w:pPr>
    </w:p>
    <w:p w14:paraId="35C33A0B" w14:textId="0B78E30D" w:rsidR="00283910" w:rsidRPr="0080068A" w:rsidRDefault="00283910" w:rsidP="00283910">
      <w:pPr>
        <w:snapToGrid w:val="0"/>
        <w:spacing w:after="60" w:line="288" w:lineRule="auto"/>
        <w:jc w:val="both"/>
        <w:outlineLvl w:val="3"/>
        <w:rPr>
          <w:lang w:val="en-GB"/>
        </w:rPr>
      </w:pPr>
      <w:r w:rsidRPr="0080068A">
        <w:rPr>
          <w:lang w:val="en-GB"/>
        </w:rPr>
        <w:t xml:space="preserve">FL </w:t>
      </w:r>
      <w:r>
        <w:rPr>
          <w:lang w:val="en-GB"/>
        </w:rPr>
        <w:t>recommendation</w:t>
      </w:r>
      <w:r w:rsidRPr="0080068A">
        <w:rPr>
          <w:lang w:val="en-GB"/>
        </w:rPr>
        <w:t xml:space="preserve"> CA-</w:t>
      </w:r>
      <w:r>
        <w:rPr>
          <w:lang w:val="en-GB"/>
        </w:rPr>
        <w:t>6</w:t>
      </w:r>
      <w:r w:rsidRPr="0080068A">
        <w:rPr>
          <w:lang w:val="en-GB"/>
        </w:rPr>
        <w:t xml:space="preserve">-1: </w:t>
      </w:r>
    </w:p>
    <w:p w14:paraId="1D96779D" w14:textId="4854F293" w:rsidR="00283910" w:rsidRDefault="00AD658D" w:rsidP="00283910">
      <w:pPr>
        <w:rPr>
          <w:lang w:val="en-GB"/>
        </w:rPr>
      </w:pPr>
      <w:r>
        <w:rPr>
          <w:lang w:val="en-GB"/>
        </w:rPr>
        <w:t>Companies please provide view.</w:t>
      </w:r>
    </w:p>
    <w:p w14:paraId="50CF24CA" w14:textId="77777777" w:rsidR="00283910" w:rsidRPr="00727ADB" w:rsidRDefault="00283910" w:rsidP="00727ADB">
      <w:pPr>
        <w:rPr>
          <w:lang w:eastAsia="zh-CN"/>
        </w:rPr>
      </w:pPr>
    </w:p>
    <w:p w14:paraId="692BE920" w14:textId="0323D6BE" w:rsidR="006166E9" w:rsidRDefault="006166E9" w:rsidP="006166E9">
      <w:pPr>
        <w:pStyle w:val="Heading2"/>
      </w:pPr>
      <w:r>
        <w:t>CA-7</w:t>
      </w:r>
      <w:r w:rsidR="006B2445">
        <w:t xml:space="preserve">. </w:t>
      </w:r>
      <w:r w:rsidR="006B2445" w:rsidRPr="006B2445">
        <w:t>PDCCH ordered PRACH</w:t>
      </w:r>
    </w:p>
    <w:p w14:paraId="3C484E1F" w14:textId="75FE64FD" w:rsidR="000268CC" w:rsidRDefault="000661DF" w:rsidP="000268CC">
      <w:pPr>
        <w:rPr>
          <w:noProof/>
          <w:lang w:eastAsia="ja-JP"/>
        </w:rPr>
      </w:pPr>
      <w:r w:rsidRPr="00F57B2A">
        <w:rPr>
          <w:b/>
          <w:lang w:eastAsia="zh-CN"/>
        </w:rPr>
        <w:t>Description</w:t>
      </w:r>
      <w:r w:rsidR="000268CC" w:rsidRPr="00F57B2A">
        <w:rPr>
          <w:b/>
          <w:lang w:eastAsia="zh-CN"/>
        </w:rPr>
        <w:t xml:space="preserve">/Reason for Change </w:t>
      </w:r>
      <w:r w:rsidR="007351EB" w:rsidRPr="00F57B2A">
        <w:rPr>
          <w:b/>
          <w:lang w:eastAsia="zh-CN"/>
        </w:rPr>
        <w:t>from</w:t>
      </w:r>
      <w:r w:rsidR="000268CC" w:rsidRPr="00F57B2A">
        <w:rPr>
          <w:b/>
          <w:lang w:eastAsia="zh-CN"/>
        </w:rPr>
        <w:t xml:space="preserve"> </w:t>
      </w:r>
      <w:r w:rsidR="00474849" w:rsidRPr="00F57B2A">
        <w:rPr>
          <w:b/>
          <w:lang w:eastAsia="zh-CN"/>
        </w:rPr>
        <w:t>Docomo [16]</w:t>
      </w:r>
      <w:r w:rsidR="00B15381" w:rsidRPr="00F57B2A">
        <w:rPr>
          <w:b/>
          <w:lang w:eastAsia="zh-CN"/>
        </w:rPr>
        <w:t>:</w:t>
      </w:r>
      <w:r w:rsidR="00B15381">
        <w:rPr>
          <w:lang w:eastAsia="zh-CN"/>
        </w:rPr>
        <w:t xml:space="preserve"> </w:t>
      </w:r>
      <w:r w:rsidR="000268CC">
        <w:rPr>
          <w:noProof/>
          <w:lang w:eastAsia="ja-JP"/>
        </w:rPr>
        <w:t xml:space="preserve">In FR2-2, channel access type for PRACH transmission can be different in different regions. In Japan, sensing (i.e., type 1 or type 2) is necessary. In EU, if the condition of SCSe is met, no sensing is needed; otherwise sensing is required. In the other regions, as per the current regulation, sensing is not necessary. </w:t>
      </w:r>
    </w:p>
    <w:p w14:paraId="3CE9D002" w14:textId="77777777" w:rsidR="000268CC" w:rsidRDefault="000268CC" w:rsidP="000268CC">
      <w:pPr>
        <w:rPr>
          <w:noProof/>
          <w:lang w:eastAsia="ja-JP"/>
        </w:rPr>
      </w:pPr>
    </w:p>
    <w:p w14:paraId="70DDA0E9" w14:textId="77777777" w:rsidR="000268CC" w:rsidRDefault="000268CC" w:rsidP="000268CC">
      <w:pPr>
        <w:rPr>
          <w:noProof/>
          <w:lang w:eastAsia="ja-JP"/>
        </w:rPr>
      </w:pPr>
      <w:r>
        <w:rPr>
          <w:noProof/>
          <w:lang w:eastAsia="ja-JP"/>
        </w:rPr>
        <w:t xml:space="preserve">Meanwhile, additional control from NW to UE to configure/indicate the applicability of SCSe transmission is likely to be not supported in Rel-17. To understand its applicability, as per the current specification, a UE needs to identify its location based on the exsiting configuration (e.g., PLMN ID), which is not possible in some cases. In such cases, unnecessary sensing may need to be performed for any PRACH transmission. </w:t>
      </w:r>
    </w:p>
    <w:p w14:paraId="0172EFBA" w14:textId="77777777" w:rsidR="000268CC" w:rsidRDefault="000268CC" w:rsidP="000268CC">
      <w:pPr>
        <w:rPr>
          <w:noProof/>
          <w:lang w:eastAsia="ja-JP"/>
        </w:rPr>
      </w:pPr>
    </w:p>
    <w:p w14:paraId="5B370CC4" w14:textId="31636765" w:rsidR="009348B7" w:rsidRDefault="002B5C3C" w:rsidP="009348B7">
      <w:pPr>
        <w:rPr>
          <w:noProof/>
          <w:lang w:eastAsia="ja-JP"/>
        </w:rPr>
      </w:pPr>
      <w:r>
        <w:rPr>
          <w:noProof/>
          <w:lang w:eastAsia="ja-JP"/>
        </w:rPr>
        <w:t>Since PDCCH ordered PRACH is generally under NW’s control per the indication, channel access type should be indicated per the triggering DCI</w:t>
      </w:r>
      <w:r w:rsidR="00221461">
        <w:rPr>
          <w:noProof/>
          <w:lang w:eastAsia="ja-JP"/>
        </w:rPr>
        <w:t>.</w:t>
      </w:r>
    </w:p>
    <w:p w14:paraId="463DD005" w14:textId="77777777" w:rsidR="00D01BE8" w:rsidRDefault="00D01BE8" w:rsidP="009348B7">
      <w:pPr>
        <w:rPr>
          <w:noProof/>
          <w:lang w:eastAsia="ja-JP"/>
        </w:rPr>
      </w:pPr>
    </w:p>
    <w:p w14:paraId="3FD7E5BE" w14:textId="6FC19FE5" w:rsidR="00D01BE8" w:rsidRPr="0080068A" w:rsidRDefault="00D01BE8" w:rsidP="00D01BE8">
      <w:pPr>
        <w:snapToGrid w:val="0"/>
        <w:spacing w:after="60" w:line="288" w:lineRule="auto"/>
        <w:jc w:val="both"/>
        <w:outlineLvl w:val="3"/>
        <w:rPr>
          <w:lang w:val="en-GB"/>
        </w:rPr>
      </w:pPr>
      <w:r w:rsidRPr="0080068A">
        <w:rPr>
          <w:lang w:val="en-GB"/>
        </w:rPr>
        <w:t xml:space="preserve">FL </w:t>
      </w:r>
      <w:r>
        <w:rPr>
          <w:lang w:val="en-GB"/>
        </w:rPr>
        <w:t>recommendation</w:t>
      </w:r>
      <w:r w:rsidRPr="0080068A">
        <w:rPr>
          <w:lang w:val="en-GB"/>
        </w:rPr>
        <w:t xml:space="preserve"> CA-</w:t>
      </w:r>
      <w:r w:rsidR="00281F88">
        <w:rPr>
          <w:lang w:val="en-GB"/>
        </w:rPr>
        <w:t>7</w:t>
      </w:r>
      <w:r w:rsidRPr="0080068A">
        <w:rPr>
          <w:lang w:val="en-GB"/>
        </w:rPr>
        <w:t xml:space="preserve">-1: </w:t>
      </w:r>
    </w:p>
    <w:p w14:paraId="3586B026" w14:textId="74ED5B44" w:rsidR="00427595" w:rsidRDefault="00343A44" w:rsidP="00D01BE8">
      <w:pPr>
        <w:rPr>
          <w:lang w:val="en-GB"/>
        </w:rPr>
      </w:pPr>
      <w:r>
        <w:rPr>
          <w:lang w:val="en-GB"/>
        </w:rPr>
        <w:t xml:space="preserve">The proposal seems to be, allow </w:t>
      </w:r>
      <w:r w:rsidR="00281F88">
        <w:rPr>
          <w:lang w:val="en-GB"/>
        </w:rPr>
        <w:t>PDCCH order DCI to indication no LBT even if the triggered PRACH is not in gNB COT</w:t>
      </w:r>
      <w:r w:rsidR="00427595">
        <w:rPr>
          <w:lang w:val="en-GB"/>
        </w:rPr>
        <w:t>. Of course, gNB should only use this when regulation allows.</w:t>
      </w:r>
    </w:p>
    <w:p w14:paraId="58958E5A" w14:textId="7FC14BD2" w:rsidR="00D01BE8" w:rsidRDefault="00D01BE8" w:rsidP="00D01BE8">
      <w:pPr>
        <w:rPr>
          <w:lang w:val="en-GB"/>
        </w:rPr>
      </w:pPr>
      <w:r>
        <w:rPr>
          <w:lang w:val="en-GB"/>
        </w:rPr>
        <w:t xml:space="preserve">Companies please provide view. </w:t>
      </w:r>
    </w:p>
    <w:p w14:paraId="6B413695" w14:textId="77777777" w:rsidR="00D01BE8" w:rsidRDefault="00D01BE8" w:rsidP="009348B7">
      <w:pPr>
        <w:rPr>
          <w:lang w:eastAsia="ja-JP"/>
        </w:rPr>
      </w:pPr>
    </w:p>
    <w:p w14:paraId="490401E1" w14:textId="77777777" w:rsidR="00BB6FE8" w:rsidRPr="009348B7" w:rsidRDefault="00BB6FE8" w:rsidP="000268CC">
      <w:pPr>
        <w:rPr>
          <w:lang w:eastAsia="zh-CN"/>
        </w:rPr>
      </w:pPr>
    </w:p>
    <w:p w14:paraId="284A76E9" w14:textId="3AD2E27E" w:rsidR="006166E9" w:rsidRDefault="006166E9" w:rsidP="006166E9">
      <w:pPr>
        <w:pStyle w:val="Heading2"/>
      </w:pPr>
      <w:r>
        <w:t>CA-</w:t>
      </w:r>
      <w:r w:rsidR="0020041B">
        <w:t>8</w:t>
      </w:r>
      <w:r w:rsidR="006B2445">
        <w:t xml:space="preserve">. </w:t>
      </w:r>
      <w:r w:rsidR="006B2445" w:rsidRPr="006B2445">
        <w:t>TCI State for L3-RSSI measurement</w:t>
      </w:r>
    </w:p>
    <w:p w14:paraId="2D192045" w14:textId="0184378E" w:rsidR="00CD058C" w:rsidRPr="00D717A9" w:rsidRDefault="003870E0" w:rsidP="00CD058C">
      <w:pPr>
        <w:rPr>
          <w:b/>
          <w:lang w:eastAsia="zh-CN"/>
        </w:rPr>
      </w:pPr>
      <w:r w:rsidRPr="00D717A9">
        <w:rPr>
          <w:b/>
          <w:lang w:eastAsia="zh-CN"/>
        </w:rPr>
        <w:t>Description from Ericsson Contribution</w:t>
      </w:r>
      <w:r w:rsidR="00B0302E" w:rsidRPr="00D717A9">
        <w:rPr>
          <w:b/>
          <w:lang w:eastAsia="zh-CN"/>
        </w:rPr>
        <w:t xml:space="preserve"> [14]</w:t>
      </w:r>
      <w:r w:rsidRPr="00D717A9">
        <w:rPr>
          <w:b/>
          <w:lang w:eastAsia="zh-CN"/>
        </w:rPr>
        <w:t xml:space="preserve">: </w:t>
      </w:r>
    </w:p>
    <w:p w14:paraId="48595C28" w14:textId="77777777" w:rsidR="003870E0" w:rsidRDefault="003870E0" w:rsidP="003870E0">
      <w:pPr>
        <w:rPr>
          <w:rFonts w:eastAsia="Times New Roman"/>
          <w:sz w:val="20"/>
          <w:szCs w:val="20"/>
          <w:lang w:eastAsia="zh-CN"/>
        </w:rPr>
      </w:pPr>
      <w:r>
        <w:rPr>
          <w:lang w:eastAsia="zh-CN"/>
        </w:rPr>
        <w:t xml:space="preserve">In RAN1 #110, RAN4 sent an LS response with clarification of the following: </w:t>
      </w:r>
    </w:p>
    <w:p w14:paraId="273141E6" w14:textId="77777777" w:rsidR="003870E0" w:rsidRDefault="003870E0" w:rsidP="003870E0">
      <w:pPr>
        <w:rPr>
          <w:color w:val="000000" w:themeColor="text1"/>
          <w:lang w:eastAsia="ja-JP"/>
        </w:rPr>
      </w:pPr>
      <w:r>
        <w:rPr>
          <w:color w:val="000000" w:themeColor="text1"/>
        </w:rPr>
        <w:t>“</w:t>
      </w:r>
      <w:r>
        <w:rPr>
          <w:i/>
          <w:iCs/>
          <w:color w:val="000000" w:themeColor="text1"/>
        </w:rPr>
        <w:t xml:space="preserve">When </w:t>
      </w:r>
      <w:r>
        <w:rPr>
          <w:i/>
          <w:iCs/>
          <w:color w:val="000000"/>
        </w:rPr>
        <w:t>a UE has no serving cell in FR2-2, it is not clear if the explicit TCI state should be configured to the UE for FR2-2 RSSI measurement. If explicit TCI state should be configured, how does the UE use such explicit TCI?”</w:t>
      </w:r>
    </w:p>
    <w:p w14:paraId="27B9E674" w14:textId="77777777" w:rsidR="003870E0" w:rsidRDefault="003870E0" w:rsidP="003870E0">
      <w:pPr>
        <w:pStyle w:val="BodyText"/>
      </w:pPr>
      <w:r>
        <w:t>In RAN1 #110b-e, RAN1 responded to the above question as follows</w:t>
      </w:r>
      <w:r>
        <w:fldChar w:fldCharType="begin"/>
      </w:r>
      <w:r>
        <w:instrText xml:space="preserve"> REF _Ref111196292 \r \h  \* MERGEFORMAT </w:instrText>
      </w:r>
      <w:r>
        <w:fldChar w:fldCharType="separate"/>
      </w:r>
      <w:r>
        <w:t>[1]</w:t>
      </w:r>
      <w:r>
        <w:fldChar w:fldCharType="end"/>
      </w:r>
      <w:r>
        <w:t xml:space="preserve"> – </w:t>
      </w:r>
    </w:p>
    <w:p w14:paraId="21CAB813" w14:textId="77777777" w:rsidR="003870E0" w:rsidRDefault="003870E0" w:rsidP="003870E0">
      <w:pPr>
        <w:pStyle w:val="BodyText"/>
        <w:numPr>
          <w:ilvl w:val="0"/>
          <w:numId w:val="43"/>
        </w:numPr>
        <w:overflowPunct w:val="0"/>
        <w:autoSpaceDE w:val="0"/>
        <w:autoSpaceDN w:val="0"/>
        <w:adjustRightInd w:val="0"/>
        <w:jc w:val="both"/>
      </w:pPr>
      <w:r>
        <w:t>When a UE has no serving cell in FR2-2, the UE does not expect that a TCI-state is provided in RMTC-Config for inter-frequency RSSI measurement on FR2-2. </w:t>
      </w:r>
    </w:p>
    <w:p w14:paraId="790472C3" w14:textId="77777777" w:rsidR="003870E0" w:rsidRDefault="003870E0" w:rsidP="003870E0">
      <w:pPr>
        <w:pStyle w:val="BodyText"/>
        <w:numPr>
          <w:ilvl w:val="0"/>
          <w:numId w:val="43"/>
        </w:numPr>
        <w:overflowPunct w:val="0"/>
        <w:autoSpaceDE w:val="0"/>
        <w:autoSpaceDN w:val="0"/>
        <w:adjustRightInd w:val="0"/>
        <w:jc w:val="both"/>
      </w:pPr>
      <w:r>
        <w:t>For a UE that has no serving cell in FR2-2 and configured with inter-frequency RSSI measurement in FR2-2, it is up to UE implementation how to determine the spatial domain filter for the inter-frequency RSSI measurement in FR2-2.</w:t>
      </w:r>
    </w:p>
    <w:p w14:paraId="16916532" w14:textId="5103DBD5" w:rsidR="003870E0" w:rsidRDefault="00454C16" w:rsidP="003870E0">
      <w:pPr>
        <w:pStyle w:val="BodyText"/>
      </w:pPr>
      <w:r>
        <w:t xml:space="preserve">… The </w:t>
      </w:r>
      <w:r w:rsidR="003870E0">
        <w:t xml:space="preserve">LS response above disallows configuring FR1/FR2-1 serving cell as reference serving cell index for TCI state provided in RMTC-Config when UE has no serving cell in FR2-2. In our view, the same principle should be applied even for the case where UE does have a serving cell in FR2-2. </w:t>
      </w:r>
    </w:p>
    <w:p w14:paraId="62E3E02A" w14:textId="77777777" w:rsidR="003870E0" w:rsidRDefault="003870E0" w:rsidP="003870E0">
      <w:pPr>
        <w:pStyle w:val="Proposal"/>
        <w:numPr>
          <w:ilvl w:val="0"/>
          <w:numId w:val="38"/>
        </w:numPr>
        <w:tabs>
          <w:tab w:val="clear" w:pos="1394"/>
          <w:tab w:val="num" w:pos="1304"/>
        </w:tabs>
        <w:ind w:left="1304"/>
        <w:textAlignment w:val="auto"/>
      </w:pPr>
      <w:bookmarkStart w:id="7" w:name="_Toc118551466"/>
      <w:r>
        <w:t>For intra-frequency and inter-frequency RSSI measurements for FR2-2, when a UE has a serving cell in FR2-2, the UE does not expect to be configured with an explicit TCI-state in RMTC-Config with a reference serving cell in FR1 or FR2-1.</w:t>
      </w:r>
      <w:bookmarkEnd w:id="7"/>
    </w:p>
    <w:p w14:paraId="17FC1EA2" w14:textId="758B8546" w:rsidR="003870E0" w:rsidRPr="00CD058C" w:rsidRDefault="003870E0" w:rsidP="00CD058C">
      <w:pPr>
        <w:pStyle w:val="Proposal"/>
        <w:numPr>
          <w:ilvl w:val="0"/>
          <w:numId w:val="38"/>
        </w:numPr>
        <w:tabs>
          <w:tab w:val="clear" w:pos="1394"/>
          <w:tab w:val="num" w:pos="1304"/>
        </w:tabs>
        <w:ind w:left="1304"/>
        <w:textAlignment w:val="auto"/>
      </w:pPr>
      <w:bookmarkStart w:id="8" w:name="_Toc118551467"/>
      <w:r>
        <w:t>Send an LS to RAN4 regarding the understanding above in RAN1.</w:t>
      </w:r>
      <w:bookmarkEnd w:id="8"/>
      <w:r>
        <w:t xml:space="preserve"> </w:t>
      </w:r>
    </w:p>
    <w:p w14:paraId="0D11A74F" w14:textId="77777777" w:rsidR="00B21CB1" w:rsidRDefault="00B21CB1" w:rsidP="00B21CB1">
      <w:pPr>
        <w:rPr>
          <w:lang w:eastAsia="zh-CN"/>
        </w:rPr>
      </w:pPr>
    </w:p>
    <w:p w14:paraId="31BE7CCC" w14:textId="28E080DD" w:rsidR="006205DB" w:rsidRPr="0080068A" w:rsidRDefault="006205DB" w:rsidP="006205DB">
      <w:pPr>
        <w:snapToGrid w:val="0"/>
        <w:spacing w:after="60" w:line="288" w:lineRule="auto"/>
        <w:jc w:val="both"/>
        <w:outlineLvl w:val="3"/>
        <w:rPr>
          <w:lang w:val="en-GB"/>
        </w:rPr>
      </w:pPr>
      <w:r w:rsidRPr="0080068A">
        <w:rPr>
          <w:lang w:val="en-GB"/>
        </w:rPr>
        <w:t xml:space="preserve">FL </w:t>
      </w:r>
      <w:r>
        <w:rPr>
          <w:lang w:val="en-GB"/>
        </w:rPr>
        <w:t>recommendation</w:t>
      </w:r>
      <w:r w:rsidRPr="0080068A">
        <w:rPr>
          <w:lang w:val="en-GB"/>
        </w:rPr>
        <w:t xml:space="preserve"> CA-</w:t>
      </w:r>
      <w:r>
        <w:rPr>
          <w:lang w:val="en-GB"/>
        </w:rPr>
        <w:t>8</w:t>
      </w:r>
      <w:r w:rsidRPr="0080068A">
        <w:rPr>
          <w:lang w:val="en-GB"/>
        </w:rPr>
        <w:t xml:space="preserve">-1: </w:t>
      </w:r>
    </w:p>
    <w:p w14:paraId="73C66969" w14:textId="6A67C635" w:rsidR="006205DB" w:rsidRDefault="006205DB" w:rsidP="006205DB">
      <w:pPr>
        <w:rPr>
          <w:lang w:val="en-GB"/>
        </w:rPr>
      </w:pPr>
      <w:r>
        <w:rPr>
          <w:lang w:val="en-GB"/>
        </w:rPr>
        <w:t>FL recommends to discuss.</w:t>
      </w:r>
    </w:p>
    <w:p w14:paraId="1DC6D00A" w14:textId="77777777" w:rsidR="006205DB" w:rsidRPr="00027D16" w:rsidRDefault="006205DB" w:rsidP="006205DB">
      <w:pPr>
        <w:rPr>
          <w:lang w:eastAsia="zh-CN"/>
        </w:rPr>
      </w:pPr>
    </w:p>
    <w:p w14:paraId="0D167621" w14:textId="77777777" w:rsidR="006205DB" w:rsidRPr="00B21CB1" w:rsidRDefault="006205DB" w:rsidP="00B21CB1">
      <w:pPr>
        <w:rPr>
          <w:lang w:eastAsia="zh-CN"/>
        </w:rPr>
      </w:pPr>
    </w:p>
    <w:p w14:paraId="75347764" w14:textId="3D6D02D3" w:rsidR="002737F5" w:rsidRDefault="006166E9" w:rsidP="00D717A9">
      <w:pPr>
        <w:pStyle w:val="Heading2"/>
      </w:pPr>
      <w:r>
        <w:t>CA-</w:t>
      </w:r>
      <w:r w:rsidR="0020041B">
        <w:t>9</w:t>
      </w:r>
      <w:r w:rsidR="006B2445">
        <w:t xml:space="preserve">. </w:t>
      </w:r>
      <w:r w:rsidR="006B2445" w:rsidRPr="006B2445">
        <w:t>Channel measurement and Interference Measurement subject to validation</w:t>
      </w:r>
    </w:p>
    <w:p w14:paraId="101468AF" w14:textId="29D9DA0F" w:rsidR="00D717A9" w:rsidRDefault="00D717A9" w:rsidP="00D717A9">
      <w:pPr>
        <w:rPr>
          <w:b/>
          <w:lang w:eastAsia="zh-CN"/>
        </w:rPr>
      </w:pPr>
      <w:r w:rsidRPr="00F57B2A">
        <w:rPr>
          <w:b/>
          <w:bCs/>
          <w:lang w:eastAsia="zh-CN"/>
        </w:rPr>
        <w:t xml:space="preserve">Description/Reason for Change from </w:t>
      </w:r>
      <w:r>
        <w:rPr>
          <w:b/>
          <w:bCs/>
          <w:lang w:eastAsia="zh-CN"/>
        </w:rPr>
        <w:t>ZTE</w:t>
      </w:r>
      <w:r w:rsidR="00F34224">
        <w:rPr>
          <w:b/>
          <w:bCs/>
          <w:lang w:eastAsia="zh-CN"/>
        </w:rPr>
        <w:t xml:space="preserve"> </w:t>
      </w:r>
      <w:r w:rsidR="00396D7C">
        <w:rPr>
          <w:b/>
          <w:bCs/>
          <w:lang w:eastAsia="zh-CN"/>
        </w:rPr>
        <w:t>[8]</w:t>
      </w:r>
      <w:r w:rsidR="00EE6788">
        <w:rPr>
          <w:b/>
          <w:bCs/>
          <w:lang w:eastAsia="zh-CN"/>
        </w:rPr>
        <w:t>:</w:t>
      </w:r>
    </w:p>
    <w:p w14:paraId="3FF59904" w14:textId="77777777" w:rsidR="002917BC" w:rsidRPr="00DF30AF" w:rsidRDefault="002917BC" w:rsidP="002917BC">
      <w:pPr>
        <w:rPr>
          <w:rFonts w:eastAsia="Times New Roman"/>
          <w:lang w:eastAsia="zh-CN"/>
        </w:rPr>
      </w:pPr>
      <w:r w:rsidRPr="00DF30AF">
        <w:rPr>
          <w:rFonts w:eastAsia="Times New Roman"/>
          <w:lang w:eastAsia="zh-CN"/>
        </w:rPr>
        <w:t>In RAN1#108-e meeting, one agreement related to periodic CSI-RS validation is reached. The agreement and the corresponding CR for TS 38.213 are as follows.</w:t>
      </w:r>
    </w:p>
    <w:p w14:paraId="4BFC0452" w14:textId="77777777" w:rsidR="002917BC" w:rsidRDefault="002917BC" w:rsidP="002917BC">
      <w:pPr>
        <w:rPr>
          <w:b/>
          <w:lang w:val="en-GB" w:eastAsia="en-US"/>
        </w:rPr>
      </w:pPr>
      <w:r>
        <w:rPr>
          <w:b/>
          <w:highlight w:val="green"/>
        </w:rPr>
        <w:t>Agreement</w:t>
      </w:r>
    </w:p>
    <w:p w14:paraId="1E3E9DC6" w14:textId="77777777" w:rsidR="002917BC" w:rsidRDefault="002917BC" w:rsidP="002917BC">
      <w:pPr>
        <w:rPr>
          <w:lang w:eastAsia="zh-CN"/>
        </w:rPr>
      </w:pPr>
      <w:r>
        <w:t>For unlicensed operation (or shared spectrum channel access), if gNB indicates to the UE this gNB-UE connection is operating in LBT mode, the periodic CSI-RS should be validated by COT duration or dynamically granted PDSCH or aperiodic CSI-RS over the same set of symbols</w:t>
      </w:r>
      <w:r>
        <w:rPr>
          <w:lang w:eastAsia="zh-CN"/>
        </w:rPr>
        <w:t>.</w:t>
      </w:r>
    </w:p>
    <w:p w14:paraId="6337828E" w14:textId="4ADF308E" w:rsidR="002917BC" w:rsidRDefault="002917BC" w:rsidP="002917BC">
      <w:pPr>
        <w:rPr>
          <w:lang w:eastAsia="zh-CN"/>
        </w:rPr>
      </w:pPr>
      <w:r>
        <w:rPr>
          <w:noProof/>
        </w:rPr>
        <w:lastRenderedPageBreak/>
        <w:drawing>
          <wp:inline distT="0" distB="0" distL="0" distR="0" wp14:anchorId="0E828359" wp14:editId="1D7FCCC4">
            <wp:extent cx="4744720" cy="2268855"/>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4720" cy="2268855"/>
                    </a:xfrm>
                    <a:prstGeom prst="rect">
                      <a:avLst/>
                    </a:prstGeom>
                    <a:noFill/>
                    <a:ln>
                      <a:noFill/>
                    </a:ln>
                  </pic:spPr>
                </pic:pic>
              </a:graphicData>
            </a:graphic>
          </wp:inline>
        </w:drawing>
      </w:r>
    </w:p>
    <w:p w14:paraId="087F9D02" w14:textId="63986251" w:rsidR="002917BC" w:rsidRDefault="002917BC" w:rsidP="002917BC">
      <w:pPr>
        <w:rPr>
          <w:rFonts w:eastAsia="Times New Roman"/>
          <w:lang w:eastAsia="zh-CN"/>
        </w:rPr>
      </w:pPr>
      <w:r w:rsidRPr="00DF30AF">
        <w:rPr>
          <w:rFonts w:eastAsia="Times New Roman"/>
          <w:lang w:eastAsia="zh-CN"/>
        </w:rPr>
        <w:t>Similar to periodic CSI-RS validation, channel measurement and interference measurement in FR2-2 also needs to introduce the same restrictions. For a UE operation with shared spectrum channel access, only when the UE is provided ChannelAccessMode2-r17 = 'enabled', the UE shall not average measurements across different transmission bursts.</w:t>
      </w:r>
    </w:p>
    <w:p w14:paraId="4931F664" w14:textId="77777777" w:rsidR="00740806" w:rsidRDefault="00740806" w:rsidP="002917BC">
      <w:pPr>
        <w:rPr>
          <w:rFonts w:eastAsia="Times New Roman"/>
          <w:lang w:eastAsia="zh-CN"/>
        </w:rPr>
      </w:pPr>
    </w:p>
    <w:p w14:paraId="1844158F" w14:textId="7D617ED7" w:rsidR="00740806" w:rsidRPr="0080068A" w:rsidRDefault="00740806" w:rsidP="00740806">
      <w:pPr>
        <w:snapToGrid w:val="0"/>
        <w:spacing w:after="60" w:line="288" w:lineRule="auto"/>
        <w:jc w:val="both"/>
        <w:outlineLvl w:val="3"/>
        <w:rPr>
          <w:lang w:val="en-GB"/>
        </w:rPr>
      </w:pPr>
      <w:r w:rsidRPr="0080068A">
        <w:rPr>
          <w:lang w:val="en-GB"/>
        </w:rPr>
        <w:t xml:space="preserve">FL </w:t>
      </w:r>
      <w:r>
        <w:rPr>
          <w:lang w:val="en-GB"/>
        </w:rPr>
        <w:t>recommendation</w:t>
      </w:r>
      <w:r w:rsidRPr="0080068A">
        <w:rPr>
          <w:lang w:val="en-GB"/>
        </w:rPr>
        <w:t xml:space="preserve"> CA-</w:t>
      </w:r>
      <w:r>
        <w:rPr>
          <w:lang w:val="en-GB"/>
        </w:rPr>
        <w:t>9</w:t>
      </w:r>
      <w:r w:rsidRPr="0080068A">
        <w:rPr>
          <w:lang w:val="en-GB"/>
        </w:rPr>
        <w:t xml:space="preserve">-1: </w:t>
      </w:r>
    </w:p>
    <w:p w14:paraId="06FBD769" w14:textId="0314CEA6" w:rsidR="00740806" w:rsidRDefault="001F6542" w:rsidP="00740806">
      <w:pPr>
        <w:rPr>
          <w:lang w:val="en-GB"/>
        </w:rPr>
      </w:pPr>
      <w:r>
        <w:rPr>
          <w:lang w:val="en-GB"/>
        </w:rPr>
        <w:t>Companies please provide view</w:t>
      </w:r>
      <w:r w:rsidR="00740806">
        <w:rPr>
          <w:lang w:val="en-GB"/>
        </w:rPr>
        <w:t>.</w:t>
      </w:r>
    </w:p>
    <w:p w14:paraId="7DA75A67" w14:textId="77777777" w:rsidR="00740806" w:rsidRPr="00DF30AF" w:rsidRDefault="00740806" w:rsidP="002917BC">
      <w:pPr>
        <w:rPr>
          <w:rFonts w:eastAsia="Times New Roman"/>
          <w:lang w:eastAsia="zh-CN"/>
        </w:rPr>
      </w:pPr>
    </w:p>
    <w:p w14:paraId="6A4CBB4B" w14:textId="43A705CC" w:rsidR="006166E9" w:rsidRDefault="006166E9" w:rsidP="006166E9">
      <w:pPr>
        <w:pStyle w:val="Heading2"/>
      </w:pPr>
      <w:r>
        <w:t>CA-1</w:t>
      </w:r>
      <w:r w:rsidR="0020041B">
        <w:t>0</w:t>
      </w:r>
      <w:r w:rsidR="006B2445">
        <w:t xml:space="preserve">. </w:t>
      </w:r>
      <w:r w:rsidR="006B2445" w:rsidRPr="006B2445">
        <w:t>Cg-minDFI-Delay in FR2-2</w:t>
      </w:r>
    </w:p>
    <w:p w14:paraId="6546EAF3" w14:textId="242BB5F8" w:rsidR="00572211" w:rsidRDefault="00572211" w:rsidP="00572211">
      <w:pPr>
        <w:rPr>
          <w:b/>
          <w:bCs/>
          <w:lang w:eastAsia="zh-CN"/>
        </w:rPr>
      </w:pPr>
      <w:r w:rsidRPr="00F57B2A">
        <w:rPr>
          <w:b/>
          <w:bCs/>
          <w:lang w:eastAsia="zh-CN"/>
        </w:rPr>
        <w:t xml:space="preserve">Description/Reason for Change from </w:t>
      </w:r>
      <w:r>
        <w:rPr>
          <w:b/>
          <w:bCs/>
          <w:lang w:eastAsia="zh-CN"/>
        </w:rPr>
        <w:t>ZTE [7]:</w:t>
      </w:r>
    </w:p>
    <w:p w14:paraId="04FDE1A8" w14:textId="77777777" w:rsidR="0087454E" w:rsidRDefault="0087454E" w:rsidP="0087454E">
      <w:pPr>
        <w:pStyle w:val="BodyText"/>
        <w:spacing w:before="100" w:after="0"/>
        <w:rPr>
          <w:rFonts w:eastAsia="SimSun" w:cs="Arial"/>
          <w:sz w:val="20"/>
          <w:szCs w:val="22"/>
        </w:rPr>
      </w:pPr>
      <w:r>
        <w:rPr>
          <w:i/>
          <w:iCs/>
        </w:rPr>
        <w:t>cg-minDFI-Delay</w:t>
      </w:r>
      <w:r>
        <w:t xml:space="preserve"> is used to indicate </w:t>
      </w:r>
      <w:r>
        <w:rPr>
          <w:rFonts w:cs="Arial"/>
          <w:szCs w:val="22"/>
          <w:lang w:eastAsia="sv-SE"/>
        </w:rPr>
        <w:t xml:space="preserve">the minimum duration (in unit of symbols) from the ending symbol of the PUSCH to the starting symbol of the </w:t>
      </w:r>
      <w:r>
        <w:rPr>
          <w:rFonts w:cs="Arial"/>
          <w:szCs w:val="22"/>
        </w:rPr>
        <w:t xml:space="preserve">PDCCH containing the </w:t>
      </w:r>
      <w:r>
        <w:rPr>
          <w:rFonts w:cs="Arial"/>
          <w:szCs w:val="22"/>
          <w:lang w:eastAsia="sv-SE"/>
        </w:rPr>
        <w:t>DFI carrying HARQ-ACK for this PUSCH.</w:t>
      </w:r>
      <w:r>
        <w:rPr>
          <w:rFonts w:cs="Arial"/>
          <w:szCs w:val="22"/>
        </w:rPr>
        <w:t xml:space="preserve"> </w:t>
      </w:r>
    </w:p>
    <w:p w14:paraId="1AC68A1A" w14:textId="77777777" w:rsidR="0087454E" w:rsidRDefault="0087454E" w:rsidP="0087454E">
      <w:pPr>
        <w:pStyle w:val="BodyText"/>
        <w:spacing w:before="100" w:after="0"/>
        <w:rPr>
          <w:i/>
          <w:iCs/>
          <w:szCs w:val="20"/>
        </w:rPr>
      </w:pPr>
      <w:r>
        <w:rPr>
          <w:rFonts w:cs="Arial"/>
          <w:szCs w:val="22"/>
        </w:rPr>
        <w:t xml:space="preserve">In Rel-16 NR-U, above minimum duration is indicated by the parameter </w:t>
      </w:r>
      <w:r>
        <w:rPr>
          <w:i/>
          <w:iCs/>
        </w:rPr>
        <w:t>cg-minDFI-Delay-r16</w:t>
      </w:r>
      <w:r>
        <w:t xml:space="preserve">. In Rel-17 FR2-2 NR-U, as new SCSs 120/480/960kHz are introduced for operation with shared spectrum access, thus the values of </w:t>
      </w:r>
      <w:r>
        <w:rPr>
          <w:i/>
          <w:iCs/>
        </w:rPr>
        <w:t xml:space="preserve">cg-minDFI-Delay-r16 </w:t>
      </w:r>
      <w:r>
        <w:t xml:space="preserve">were extended, and a new parameter </w:t>
      </w:r>
      <w:r>
        <w:rPr>
          <w:i/>
          <w:iCs/>
        </w:rPr>
        <w:t>cg-minDFI-Delay-v1710</w:t>
      </w:r>
      <w:r>
        <w:t xml:space="preserve"> is defined for indicating the extended values. Considering the operation with shared spectrum access in different bands, the parameter </w:t>
      </w:r>
      <w:r>
        <w:rPr>
          <w:i/>
          <w:iCs/>
        </w:rPr>
        <w:t xml:space="preserve">cg-minDFI-Delay-r16 </w:t>
      </w:r>
      <w:r>
        <w:t xml:space="preserve">in TS 38.213 should be replaced by </w:t>
      </w:r>
      <w:r>
        <w:rPr>
          <w:i/>
          <w:iCs/>
        </w:rPr>
        <w:t>cg-minDFI-Delay.</w:t>
      </w:r>
    </w:p>
    <w:p w14:paraId="4DACD765" w14:textId="77777777" w:rsidR="0087454E" w:rsidRDefault="0087454E" w:rsidP="0087454E">
      <w:pPr>
        <w:pStyle w:val="BodyText"/>
        <w:spacing w:before="100" w:after="0"/>
        <w:rPr>
          <w:i/>
          <w:iCs/>
        </w:rPr>
      </w:pPr>
    </w:p>
    <w:p w14:paraId="7AD01042" w14:textId="77777777" w:rsidR="0087454E" w:rsidRDefault="0087454E" w:rsidP="0087454E">
      <w:pPr>
        <w:pStyle w:val="BodyText"/>
        <w:spacing w:before="100" w:after="0"/>
        <w:rPr>
          <w:u w:val="single"/>
        </w:rPr>
      </w:pPr>
      <w:r>
        <w:rPr>
          <w:u w:val="single"/>
        </w:rPr>
        <w:t>TS 38.331-h20</w:t>
      </w:r>
    </w:p>
    <w:p w14:paraId="1B0CBAA0" w14:textId="77777777" w:rsidR="0087454E" w:rsidRDefault="0087454E" w:rsidP="0087454E">
      <w:pPr>
        <w:pStyle w:val="BodyText"/>
        <w:spacing w:before="100" w:after="0"/>
      </w:pPr>
      <w:r>
        <w:t xml:space="preserve">–   </w:t>
      </w:r>
      <w:r>
        <w:rPr>
          <w:i/>
          <w:iCs/>
        </w:rPr>
        <w:t>ConfiguredGrantConfig</w:t>
      </w:r>
    </w:p>
    <w:p w14:paraId="52604F56" w14:textId="77777777" w:rsidR="0087454E" w:rsidRDefault="0087454E" w:rsidP="0087454E">
      <w:pPr>
        <w:pStyle w:val="BodyText"/>
        <w:spacing w:before="100" w:after="0"/>
        <w:rPr>
          <w:lang w:eastAsia="en-GB"/>
        </w:rPr>
      </w:pPr>
    </w:p>
    <w:p w14:paraId="53D06D75" w14:textId="77777777" w:rsidR="0087454E" w:rsidRDefault="0087454E" w:rsidP="0087454E">
      <w:pPr>
        <w:pStyle w:val="PL"/>
      </w:pPr>
      <w:r>
        <w:t xml:space="preserve">    </w:t>
      </w:r>
      <w:r>
        <w:rPr>
          <w:highlight w:val="yellow"/>
        </w:rPr>
        <w:t>cg-minDFI-Delay-r16</w:t>
      </w:r>
      <w:r>
        <w:t xml:space="preserve">                     </w:t>
      </w:r>
      <w:r>
        <w:rPr>
          <w:color w:val="993366"/>
        </w:rPr>
        <w:t>ENUMERATED</w:t>
      </w:r>
    </w:p>
    <w:p w14:paraId="7E040BD3" w14:textId="77777777" w:rsidR="0087454E" w:rsidRDefault="0087454E" w:rsidP="0087454E">
      <w:pPr>
        <w:pStyle w:val="PL"/>
        <w:rPr>
          <w:lang w:val="en-US"/>
        </w:rPr>
      </w:pPr>
      <w:r>
        <w:t xml:space="preserve">                                      {sym7, sym1x14, sym2x14, sym3x14, sym4x14, sym5x14, sym6x14, sym7x14, sym8x14, sym9x14, sym10x14, sym11x14, sym12x14, sym13x14, sym14x14,sym15x14, sym16x14 }  </w:t>
      </w:r>
    </w:p>
    <w:p w14:paraId="7C469430" w14:textId="77777777" w:rsidR="0087454E" w:rsidRDefault="0087454E" w:rsidP="0087454E">
      <w:pPr>
        <w:pStyle w:val="PL"/>
      </w:pPr>
      <w:r>
        <w:t xml:space="preserve">    </w:t>
      </w:r>
    </w:p>
    <w:p w14:paraId="3AAFDD10" w14:textId="77777777" w:rsidR="0087454E" w:rsidRDefault="0087454E" w:rsidP="0087454E">
      <w:pPr>
        <w:pStyle w:val="PL"/>
        <w:ind w:firstLineChars="200" w:firstLine="320"/>
        <w:rPr>
          <w:color w:val="808080"/>
        </w:rPr>
      </w:pPr>
      <w:r>
        <w:rPr>
          <w:highlight w:val="yellow"/>
        </w:rPr>
        <w:t>cg-minDFI-Delay-v1710</w:t>
      </w:r>
      <w:r>
        <w:t xml:space="preserve">          </w:t>
      </w:r>
      <w:r>
        <w:rPr>
          <w:color w:val="993366"/>
        </w:rPr>
        <w:t>INTEGER</w:t>
      </w:r>
      <w:r>
        <w:t xml:space="preserve"> (238..3584)  </w:t>
      </w:r>
      <w:r>
        <w:rPr>
          <w:color w:val="993366"/>
        </w:rPr>
        <w:t>PTIONAL</w:t>
      </w:r>
      <w:r>
        <w:t xml:space="preserve">    </w:t>
      </w:r>
      <w:r>
        <w:rPr>
          <w:color w:val="808080"/>
        </w:rPr>
        <w:t>-- Need R</w:t>
      </w:r>
    </w:p>
    <w:p w14:paraId="07C090BF" w14:textId="77777777" w:rsidR="0087454E" w:rsidRDefault="0087454E" w:rsidP="0087454E">
      <w:pPr>
        <w:pStyle w:val="BodyText"/>
        <w:spacing w:before="100" w:after="0"/>
      </w:pPr>
    </w:p>
    <w:p w14:paraId="6AA0332B" w14:textId="220956FD" w:rsidR="008E6EBF" w:rsidRPr="0080068A" w:rsidRDefault="008E6EBF" w:rsidP="008E6EBF">
      <w:pPr>
        <w:snapToGrid w:val="0"/>
        <w:spacing w:after="60" w:line="288" w:lineRule="auto"/>
        <w:jc w:val="both"/>
        <w:outlineLvl w:val="3"/>
        <w:rPr>
          <w:lang w:val="en-GB"/>
        </w:rPr>
      </w:pPr>
      <w:r w:rsidRPr="0080068A">
        <w:rPr>
          <w:lang w:val="en-GB"/>
        </w:rPr>
        <w:t xml:space="preserve">FL </w:t>
      </w:r>
      <w:r>
        <w:rPr>
          <w:lang w:val="en-GB"/>
        </w:rPr>
        <w:t>recommendation</w:t>
      </w:r>
      <w:r w:rsidRPr="0080068A">
        <w:rPr>
          <w:lang w:val="en-GB"/>
        </w:rPr>
        <w:t xml:space="preserve"> CA-</w:t>
      </w:r>
      <w:r>
        <w:rPr>
          <w:lang w:val="en-GB"/>
        </w:rPr>
        <w:t>10</w:t>
      </w:r>
      <w:r w:rsidRPr="0080068A">
        <w:rPr>
          <w:lang w:val="en-GB"/>
        </w:rPr>
        <w:t xml:space="preserve">-1: </w:t>
      </w:r>
    </w:p>
    <w:p w14:paraId="1ED7F7A0" w14:textId="45D313C3" w:rsidR="008E6EBF" w:rsidRDefault="008E6EBF" w:rsidP="008E6EBF">
      <w:pPr>
        <w:rPr>
          <w:lang w:val="en-GB"/>
        </w:rPr>
      </w:pPr>
      <w:r>
        <w:rPr>
          <w:lang w:val="en-GB"/>
        </w:rPr>
        <w:t>Seems to be editorial. Companies please provide view.</w:t>
      </w:r>
    </w:p>
    <w:p w14:paraId="01AFEFAF" w14:textId="77777777" w:rsidR="00572211" w:rsidRDefault="00572211" w:rsidP="00572211">
      <w:pPr>
        <w:rPr>
          <w:b/>
          <w:bCs/>
          <w:lang w:eastAsia="zh-CN"/>
        </w:rPr>
      </w:pPr>
    </w:p>
    <w:p w14:paraId="10D14154" w14:textId="77777777" w:rsidR="004F075B" w:rsidRPr="004F075B" w:rsidRDefault="004F075B" w:rsidP="004F075B">
      <w:pPr>
        <w:rPr>
          <w:lang w:eastAsia="zh-CN"/>
        </w:rPr>
      </w:pPr>
    </w:p>
    <w:p w14:paraId="172A4685" w14:textId="10D2E8CD" w:rsidR="006166E9" w:rsidRDefault="006166E9" w:rsidP="006166E9">
      <w:pPr>
        <w:pStyle w:val="Heading2"/>
      </w:pPr>
      <w:r>
        <w:t>CA-1</w:t>
      </w:r>
      <w:r w:rsidR="0020041B">
        <w:t>1</w:t>
      </w:r>
      <w:r>
        <w:t xml:space="preserve">. </w:t>
      </w:r>
      <w:r w:rsidRPr="006166E9">
        <w:t>Channel Occupancy Duration maximum value</w:t>
      </w:r>
    </w:p>
    <w:p w14:paraId="0013066D" w14:textId="7CBA079A" w:rsidR="006166E9" w:rsidRPr="006166E9" w:rsidRDefault="00241368" w:rsidP="006166E9">
      <w:pPr>
        <w:rPr>
          <w:lang w:eastAsia="zh-CN"/>
        </w:rPr>
      </w:pPr>
      <w:r>
        <w:rPr>
          <w:lang w:eastAsia="zh-CN"/>
        </w:rPr>
        <w:t>Proposal From Huawei [</w:t>
      </w:r>
      <w:r w:rsidR="00816737">
        <w:rPr>
          <w:lang w:eastAsia="zh-CN"/>
        </w:rPr>
        <w:t>1]</w:t>
      </w:r>
      <w:r w:rsidR="006E0C88">
        <w:rPr>
          <w:lang w:eastAsia="zh-CN"/>
        </w:rPr>
        <w:t>:</w:t>
      </w:r>
    </w:p>
    <w:p w14:paraId="096E6A6D" w14:textId="77777777" w:rsidR="006E0C88" w:rsidRDefault="006E0C88" w:rsidP="006E0C88">
      <w:pPr>
        <w:rPr>
          <w:sz w:val="22"/>
          <w:szCs w:val="22"/>
          <w:lang w:val="en-GB" w:eastAsia="en-US"/>
        </w:rPr>
      </w:pPr>
    </w:p>
    <w:p w14:paraId="6BF59B1B" w14:textId="77777777" w:rsidR="006E0C88" w:rsidRDefault="006E0C88" w:rsidP="006E0C88">
      <w:pPr>
        <w:rPr>
          <w:b/>
          <w:bCs/>
          <w:i/>
          <w:lang w:eastAsia="zh-CN"/>
        </w:rPr>
      </w:pPr>
      <w:r>
        <w:rPr>
          <w:b/>
          <w:bCs/>
          <w:i/>
        </w:rPr>
        <w:t>Proposal 4</w:t>
      </w:r>
      <w:r>
        <w:rPr>
          <w:b/>
          <w:bCs/>
          <w:i/>
          <w:lang w:eastAsia="zh-CN"/>
        </w:rPr>
        <w:t xml:space="preserve">: RAN1 to clarify that only the values 120/480/960 kHz can be configured as reference subcarrier spacing in CO-DurationsPerCell-r17 and that the values 15/30/60 kHz cannot be configured. </w:t>
      </w:r>
    </w:p>
    <w:p w14:paraId="484C4DE6" w14:textId="77777777" w:rsidR="006E0C88" w:rsidRDefault="006E0C88" w:rsidP="006E0C88">
      <w:pPr>
        <w:pStyle w:val="0Maintext"/>
        <w:numPr>
          <w:ilvl w:val="0"/>
          <w:numId w:val="44"/>
        </w:numPr>
        <w:spacing w:after="0" w:afterAutospacing="0" w:line="240" w:lineRule="auto"/>
        <w:ind w:left="960" w:hanging="480"/>
        <w:rPr>
          <w:b/>
          <w:i/>
          <w:sz w:val="22"/>
          <w:szCs w:val="22"/>
          <w:lang w:val="en-US"/>
        </w:rPr>
      </w:pPr>
      <w:r>
        <w:rPr>
          <w:b/>
          <w:bCs/>
          <w:i/>
        </w:rPr>
        <w:t xml:space="preserve">Send an LS to RAN2 informative of the clarification and advising to include in the field description of co-DurationList the max duration values that can be configured for the FR1 SCS values </w:t>
      </w:r>
      <w:r>
        <w:rPr>
          <w:b/>
          <w:bCs/>
          <w:i/>
          <w:lang w:eastAsia="zh-CN"/>
        </w:rPr>
        <w:t>15/30/60 kHz as 1120/560/280 symbols.</w:t>
      </w:r>
      <w:r>
        <w:rPr>
          <w:b/>
          <w:bCs/>
          <w:i/>
        </w:rPr>
        <w:t xml:space="preserve"> </w:t>
      </w:r>
    </w:p>
    <w:p w14:paraId="4E665D50" w14:textId="77777777" w:rsidR="006E0C88" w:rsidRDefault="006E0C88" w:rsidP="006166E9">
      <w:pPr>
        <w:rPr>
          <w:lang w:eastAsia="zh-CN"/>
        </w:rPr>
      </w:pPr>
    </w:p>
    <w:p w14:paraId="5CA39C3D" w14:textId="3CE74B34" w:rsidR="00B47285" w:rsidRPr="0080068A" w:rsidRDefault="00B47285" w:rsidP="00B47285">
      <w:pPr>
        <w:snapToGrid w:val="0"/>
        <w:spacing w:after="60" w:line="288" w:lineRule="auto"/>
        <w:jc w:val="both"/>
        <w:outlineLvl w:val="3"/>
        <w:rPr>
          <w:lang w:val="en-GB"/>
        </w:rPr>
      </w:pPr>
      <w:r w:rsidRPr="0080068A">
        <w:rPr>
          <w:lang w:val="en-GB"/>
        </w:rPr>
        <w:t xml:space="preserve">FL </w:t>
      </w:r>
      <w:r>
        <w:rPr>
          <w:lang w:val="en-GB"/>
        </w:rPr>
        <w:t>recommendation</w:t>
      </w:r>
      <w:r w:rsidRPr="0080068A">
        <w:rPr>
          <w:lang w:val="en-GB"/>
        </w:rPr>
        <w:t xml:space="preserve"> CA-</w:t>
      </w:r>
      <w:r>
        <w:rPr>
          <w:lang w:val="en-GB"/>
        </w:rPr>
        <w:t>11</w:t>
      </w:r>
      <w:r w:rsidRPr="0080068A">
        <w:rPr>
          <w:lang w:val="en-GB"/>
        </w:rPr>
        <w:t xml:space="preserve">-1: </w:t>
      </w:r>
    </w:p>
    <w:p w14:paraId="0BADB4F1" w14:textId="51C44253" w:rsidR="00B47285" w:rsidRDefault="00B47285" w:rsidP="00B47285">
      <w:pPr>
        <w:rPr>
          <w:lang w:val="en-GB"/>
        </w:rPr>
      </w:pPr>
      <w:r>
        <w:rPr>
          <w:lang w:val="en-GB"/>
        </w:rPr>
        <w:t>Companies please provide view.</w:t>
      </w:r>
    </w:p>
    <w:p w14:paraId="5F8717A9" w14:textId="77777777" w:rsidR="00B47285" w:rsidRDefault="00B47285" w:rsidP="006166E9">
      <w:pPr>
        <w:rPr>
          <w:lang w:eastAsia="zh-CN"/>
        </w:rPr>
      </w:pPr>
    </w:p>
    <w:p w14:paraId="02022B18" w14:textId="77777777" w:rsidR="00816737" w:rsidRPr="006166E9" w:rsidRDefault="00816737" w:rsidP="006166E9">
      <w:pPr>
        <w:rPr>
          <w:lang w:eastAsia="zh-CN"/>
        </w:rPr>
      </w:pPr>
    </w:p>
    <w:p w14:paraId="0AA5C815" w14:textId="704BB0D7" w:rsidR="00F46E89" w:rsidRPr="00F46E89" w:rsidRDefault="4F5AD378" w:rsidP="6AA7476B">
      <w:pPr>
        <w:pStyle w:val="Heading2"/>
        <w:ind w:left="0" w:firstLine="0"/>
      </w:pPr>
      <w:r>
        <w:t>CA-1</w:t>
      </w:r>
      <w:r w:rsidR="0020041B">
        <w:t>2</w:t>
      </w:r>
      <w:r>
        <w:t>. Channel Access Procedure after failure of Type 2 channel access</w:t>
      </w:r>
    </w:p>
    <w:p w14:paraId="57241C14" w14:textId="15D5E929" w:rsidR="003B3A8F" w:rsidRDefault="003B3A8F" w:rsidP="003B3A8F">
      <w:pPr>
        <w:rPr>
          <w:b/>
          <w:bCs/>
          <w:lang w:eastAsia="zh-CN"/>
        </w:rPr>
      </w:pPr>
      <w:r w:rsidRPr="00F57B2A">
        <w:rPr>
          <w:b/>
          <w:bCs/>
          <w:lang w:eastAsia="zh-CN"/>
        </w:rPr>
        <w:t xml:space="preserve">Description/Reason for Change from </w:t>
      </w:r>
      <w:r>
        <w:rPr>
          <w:b/>
          <w:bCs/>
          <w:lang w:eastAsia="zh-CN"/>
        </w:rPr>
        <w:t>WILUS [30</w:t>
      </w:r>
      <w:r w:rsidR="00BE1CA3">
        <w:rPr>
          <w:b/>
          <w:bCs/>
          <w:lang w:eastAsia="zh-CN"/>
        </w:rPr>
        <w:t>]:</w:t>
      </w:r>
    </w:p>
    <w:p w14:paraId="250B020D" w14:textId="73A9517B" w:rsidR="00BE1CA3" w:rsidRPr="00DD55C0" w:rsidRDefault="00DD55C0" w:rsidP="003B3A8F">
      <w:pPr>
        <w:rPr>
          <w:lang w:eastAsia="zh-CN"/>
        </w:rPr>
      </w:pPr>
      <w:r w:rsidRPr="00DD55C0">
        <w:rPr>
          <w:lang w:eastAsia="zh-CN"/>
        </w:rPr>
        <w:t>According to current specification 37.213, it was not specified how to perform channel access for the UL/DL transmission after failure of Type 2 channel access procedure when the gNB/UE may transmit a DL/UL transmission(s) that is followed by a UL/DL transmission(s) within the maximum Channel Occupancy Time described in Clause 4.4.1. For this issue, it is proposed to perform Type 1 channel access procedure after failure of Type 2 channel access (Cat-2 LBT) both for DL/UL transmission followed by a UL/DL transmission(s) within the maximum Channel Occupancy Time in a shared channel occupancy on FR2-2</w:t>
      </w:r>
      <w:r w:rsidR="00D22001">
        <w:rPr>
          <w:lang w:eastAsia="zh-CN"/>
        </w:rPr>
        <w:t>.</w:t>
      </w:r>
    </w:p>
    <w:p w14:paraId="2350ECAC" w14:textId="7D828167" w:rsidR="00F46E89" w:rsidRDefault="00F46E89" w:rsidP="00F46E89">
      <w:pPr>
        <w:rPr>
          <w:lang w:eastAsia="zh-CN"/>
        </w:rPr>
      </w:pPr>
    </w:p>
    <w:p w14:paraId="513E8A5F" w14:textId="77777777" w:rsidR="008D175D" w:rsidRDefault="008D175D" w:rsidP="00F46E89">
      <w:pPr>
        <w:rPr>
          <w:lang w:eastAsia="zh-CN"/>
        </w:rPr>
      </w:pPr>
    </w:p>
    <w:p w14:paraId="44E04239" w14:textId="07EAE72E" w:rsidR="008D175D" w:rsidRPr="0080068A" w:rsidRDefault="008D175D" w:rsidP="008D175D">
      <w:pPr>
        <w:snapToGrid w:val="0"/>
        <w:spacing w:after="60" w:line="288" w:lineRule="auto"/>
        <w:jc w:val="both"/>
        <w:outlineLvl w:val="3"/>
        <w:rPr>
          <w:lang w:val="en-GB"/>
        </w:rPr>
      </w:pPr>
      <w:r w:rsidRPr="0080068A">
        <w:rPr>
          <w:lang w:val="en-GB"/>
        </w:rPr>
        <w:t xml:space="preserve">FL </w:t>
      </w:r>
      <w:r>
        <w:rPr>
          <w:lang w:val="en-GB"/>
        </w:rPr>
        <w:t>recommendation</w:t>
      </w:r>
      <w:r w:rsidRPr="0080068A">
        <w:rPr>
          <w:lang w:val="en-GB"/>
        </w:rPr>
        <w:t xml:space="preserve"> CA-</w:t>
      </w:r>
      <w:r>
        <w:rPr>
          <w:lang w:val="en-GB"/>
        </w:rPr>
        <w:t>12</w:t>
      </w:r>
      <w:r w:rsidRPr="0080068A">
        <w:rPr>
          <w:lang w:val="en-GB"/>
        </w:rPr>
        <w:t xml:space="preserve">-1: </w:t>
      </w:r>
    </w:p>
    <w:p w14:paraId="6A594DD6" w14:textId="77777777" w:rsidR="008D175D" w:rsidRDefault="008D175D" w:rsidP="008D175D">
      <w:pPr>
        <w:rPr>
          <w:lang w:val="en-GB"/>
        </w:rPr>
      </w:pPr>
      <w:r>
        <w:rPr>
          <w:lang w:val="en-GB"/>
        </w:rPr>
        <w:t>Companies please provide view.</w:t>
      </w:r>
    </w:p>
    <w:p w14:paraId="63E4355E" w14:textId="77777777" w:rsidR="008D175D" w:rsidRPr="00F46E89" w:rsidRDefault="008D175D" w:rsidP="00F46E89">
      <w:pPr>
        <w:rPr>
          <w:lang w:eastAsia="zh-CN"/>
        </w:rPr>
      </w:pPr>
    </w:p>
    <w:p w14:paraId="6CD9C4A6" w14:textId="08754215" w:rsidR="00A878E5" w:rsidRDefault="00155453" w:rsidP="00155453">
      <w:pPr>
        <w:pStyle w:val="Heading1"/>
        <w:numPr>
          <w:ilvl w:val="0"/>
          <w:numId w:val="33"/>
        </w:numPr>
      </w:pPr>
      <w:r>
        <w:t>Discussions</w:t>
      </w:r>
    </w:p>
    <w:p w14:paraId="52979B8A" w14:textId="6927E4CB" w:rsidR="007436CD" w:rsidRDefault="004E1385">
      <w:pPr>
        <w:snapToGrid w:val="0"/>
        <w:spacing w:after="60" w:line="288" w:lineRule="auto"/>
        <w:jc w:val="both"/>
      </w:pPr>
      <w:r>
        <w:t xml:space="preserve">Please provide your view on if </w:t>
      </w:r>
      <w:r w:rsidR="00FE5103">
        <w:t xml:space="preserve">you think we should </w:t>
      </w:r>
      <w:r w:rsidR="00542339">
        <w:t>which issue. Please mark a “Y” for the one you believe discussion is necessary.</w:t>
      </w:r>
    </w:p>
    <w:tbl>
      <w:tblPr>
        <w:tblStyle w:val="TableGrid"/>
        <w:tblW w:w="9985" w:type="dxa"/>
        <w:tblLook w:val="04A0" w:firstRow="1" w:lastRow="0" w:firstColumn="1" w:lastColumn="0" w:noHBand="0" w:noVBand="1"/>
      </w:tblPr>
      <w:tblGrid>
        <w:gridCol w:w="1151"/>
        <w:gridCol w:w="736"/>
        <w:gridCol w:w="736"/>
        <w:gridCol w:w="736"/>
        <w:gridCol w:w="736"/>
        <w:gridCol w:w="736"/>
        <w:gridCol w:w="737"/>
        <w:gridCol w:w="736"/>
        <w:gridCol w:w="736"/>
        <w:gridCol w:w="736"/>
        <w:gridCol w:w="736"/>
        <w:gridCol w:w="736"/>
        <w:gridCol w:w="737"/>
      </w:tblGrid>
      <w:tr w:rsidR="00B47285" w14:paraId="63CFDBF6" w14:textId="77777777" w:rsidTr="00B47285">
        <w:trPr>
          <w:trHeight w:val="391"/>
        </w:trPr>
        <w:tc>
          <w:tcPr>
            <w:tcW w:w="1151" w:type="dxa"/>
          </w:tcPr>
          <w:p w14:paraId="0DF285D9" w14:textId="0315E67B" w:rsidR="00B47285" w:rsidRDefault="00B47285">
            <w:pPr>
              <w:snapToGrid w:val="0"/>
              <w:spacing w:after="60" w:line="288" w:lineRule="auto"/>
              <w:jc w:val="both"/>
            </w:pPr>
            <w:r>
              <w:t>Company</w:t>
            </w:r>
          </w:p>
        </w:tc>
        <w:tc>
          <w:tcPr>
            <w:tcW w:w="736" w:type="dxa"/>
          </w:tcPr>
          <w:p w14:paraId="2C0582DE" w14:textId="7A37B819" w:rsidR="00B47285" w:rsidRDefault="00B47285">
            <w:pPr>
              <w:snapToGrid w:val="0"/>
              <w:spacing w:after="60" w:line="288" w:lineRule="auto"/>
              <w:jc w:val="both"/>
            </w:pPr>
            <w:r>
              <w:t>1</w:t>
            </w:r>
          </w:p>
        </w:tc>
        <w:tc>
          <w:tcPr>
            <w:tcW w:w="736" w:type="dxa"/>
          </w:tcPr>
          <w:p w14:paraId="6A7A387E" w14:textId="469E98DC" w:rsidR="00B47285" w:rsidRDefault="00B47285">
            <w:pPr>
              <w:snapToGrid w:val="0"/>
              <w:spacing w:after="60" w:line="288" w:lineRule="auto"/>
              <w:jc w:val="both"/>
            </w:pPr>
            <w:r>
              <w:t>2</w:t>
            </w:r>
          </w:p>
        </w:tc>
        <w:tc>
          <w:tcPr>
            <w:tcW w:w="736" w:type="dxa"/>
          </w:tcPr>
          <w:p w14:paraId="6DD61C4D" w14:textId="4D5B118E" w:rsidR="00B47285" w:rsidRDefault="00B47285">
            <w:pPr>
              <w:snapToGrid w:val="0"/>
              <w:spacing w:after="60" w:line="288" w:lineRule="auto"/>
              <w:jc w:val="both"/>
            </w:pPr>
            <w:r>
              <w:t>3</w:t>
            </w:r>
          </w:p>
        </w:tc>
        <w:tc>
          <w:tcPr>
            <w:tcW w:w="736" w:type="dxa"/>
          </w:tcPr>
          <w:p w14:paraId="4A08B0B4" w14:textId="39BD4210" w:rsidR="00B47285" w:rsidRDefault="00B47285">
            <w:pPr>
              <w:snapToGrid w:val="0"/>
              <w:spacing w:after="60" w:line="288" w:lineRule="auto"/>
              <w:jc w:val="both"/>
            </w:pPr>
            <w:r>
              <w:t>4</w:t>
            </w:r>
          </w:p>
        </w:tc>
        <w:tc>
          <w:tcPr>
            <w:tcW w:w="736" w:type="dxa"/>
          </w:tcPr>
          <w:p w14:paraId="4A6FD79C" w14:textId="2C9C329C" w:rsidR="00B47285" w:rsidRDefault="00B47285">
            <w:pPr>
              <w:snapToGrid w:val="0"/>
              <w:spacing w:after="60" w:line="288" w:lineRule="auto"/>
              <w:jc w:val="both"/>
            </w:pPr>
            <w:r>
              <w:t>5</w:t>
            </w:r>
          </w:p>
        </w:tc>
        <w:tc>
          <w:tcPr>
            <w:tcW w:w="737" w:type="dxa"/>
          </w:tcPr>
          <w:p w14:paraId="3FAF5CEE" w14:textId="7F4E597E" w:rsidR="00B47285" w:rsidRDefault="00B47285">
            <w:pPr>
              <w:snapToGrid w:val="0"/>
              <w:spacing w:after="60" w:line="288" w:lineRule="auto"/>
              <w:jc w:val="both"/>
            </w:pPr>
            <w:r>
              <w:t>6</w:t>
            </w:r>
          </w:p>
        </w:tc>
        <w:tc>
          <w:tcPr>
            <w:tcW w:w="736" w:type="dxa"/>
          </w:tcPr>
          <w:p w14:paraId="458CE775" w14:textId="7BCC3A45" w:rsidR="00B47285" w:rsidRDefault="00B47285">
            <w:pPr>
              <w:snapToGrid w:val="0"/>
              <w:spacing w:after="60" w:line="288" w:lineRule="auto"/>
              <w:jc w:val="both"/>
            </w:pPr>
            <w:r>
              <w:t>7</w:t>
            </w:r>
          </w:p>
        </w:tc>
        <w:tc>
          <w:tcPr>
            <w:tcW w:w="736" w:type="dxa"/>
          </w:tcPr>
          <w:p w14:paraId="49985AE8" w14:textId="64E460E0" w:rsidR="00B47285" w:rsidRDefault="00B47285">
            <w:pPr>
              <w:snapToGrid w:val="0"/>
              <w:spacing w:after="60" w:line="288" w:lineRule="auto"/>
              <w:jc w:val="both"/>
            </w:pPr>
            <w:r>
              <w:t>8</w:t>
            </w:r>
          </w:p>
        </w:tc>
        <w:tc>
          <w:tcPr>
            <w:tcW w:w="736" w:type="dxa"/>
          </w:tcPr>
          <w:p w14:paraId="74E4433B" w14:textId="28655C4D" w:rsidR="00B47285" w:rsidRDefault="00B47285">
            <w:pPr>
              <w:snapToGrid w:val="0"/>
              <w:spacing w:after="60" w:line="288" w:lineRule="auto"/>
              <w:jc w:val="both"/>
            </w:pPr>
            <w:r>
              <w:t>9</w:t>
            </w:r>
          </w:p>
        </w:tc>
        <w:tc>
          <w:tcPr>
            <w:tcW w:w="736" w:type="dxa"/>
          </w:tcPr>
          <w:p w14:paraId="73F41D2D" w14:textId="6DE9A7BB" w:rsidR="00B47285" w:rsidRDefault="00B47285">
            <w:pPr>
              <w:snapToGrid w:val="0"/>
              <w:spacing w:after="60" w:line="288" w:lineRule="auto"/>
              <w:jc w:val="both"/>
            </w:pPr>
            <w:r>
              <w:t>10</w:t>
            </w:r>
          </w:p>
        </w:tc>
        <w:tc>
          <w:tcPr>
            <w:tcW w:w="736" w:type="dxa"/>
          </w:tcPr>
          <w:p w14:paraId="7710332B" w14:textId="70E233FB" w:rsidR="00B47285" w:rsidRDefault="00B47285">
            <w:pPr>
              <w:snapToGrid w:val="0"/>
              <w:spacing w:after="60" w:line="288" w:lineRule="auto"/>
              <w:jc w:val="both"/>
            </w:pPr>
            <w:r>
              <w:t>11</w:t>
            </w:r>
          </w:p>
        </w:tc>
        <w:tc>
          <w:tcPr>
            <w:tcW w:w="737" w:type="dxa"/>
          </w:tcPr>
          <w:p w14:paraId="4387E125" w14:textId="457E3809" w:rsidR="00B47285" w:rsidRDefault="00B47285">
            <w:pPr>
              <w:snapToGrid w:val="0"/>
              <w:spacing w:after="60" w:line="288" w:lineRule="auto"/>
              <w:jc w:val="both"/>
            </w:pPr>
            <w:r>
              <w:t>12</w:t>
            </w:r>
          </w:p>
        </w:tc>
      </w:tr>
      <w:tr w:rsidR="00B47285" w14:paraId="300AB665" w14:textId="77777777" w:rsidTr="00B47285">
        <w:trPr>
          <w:trHeight w:val="391"/>
        </w:trPr>
        <w:tc>
          <w:tcPr>
            <w:tcW w:w="1151" w:type="dxa"/>
          </w:tcPr>
          <w:p w14:paraId="3836598A" w14:textId="77777777" w:rsidR="00B47285" w:rsidRDefault="00B47285">
            <w:pPr>
              <w:snapToGrid w:val="0"/>
              <w:spacing w:after="60" w:line="288" w:lineRule="auto"/>
              <w:jc w:val="both"/>
            </w:pPr>
          </w:p>
        </w:tc>
        <w:tc>
          <w:tcPr>
            <w:tcW w:w="736" w:type="dxa"/>
          </w:tcPr>
          <w:p w14:paraId="1815CF90" w14:textId="77777777" w:rsidR="00B47285" w:rsidRDefault="00B47285">
            <w:pPr>
              <w:snapToGrid w:val="0"/>
              <w:spacing w:after="60" w:line="288" w:lineRule="auto"/>
              <w:jc w:val="both"/>
            </w:pPr>
          </w:p>
        </w:tc>
        <w:tc>
          <w:tcPr>
            <w:tcW w:w="736" w:type="dxa"/>
          </w:tcPr>
          <w:p w14:paraId="17C88548" w14:textId="77777777" w:rsidR="00B47285" w:rsidRDefault="00B47285">
            <w:pPr>
              <w:snapToGrid w:val="0"/>
              <w:spacing w:after="60" w:line="288" w:lineRule="auto"/>
              <w:jc w:val="both"/>
            </w:pPr>
          </w:p>
        </w:tc>
        <w:tc>
          <w:tcPr>
            <w:tcW w:w="736" w:type="dxa"/>
          </w:tcPr>
          <w:p w14:paraId="02ADD6F4" w14:textId="77777777" w:rsidR="00B47285" w:rsidRDefault="00B47285">
            <w:pPr>
              <w:snapToGrid w:val="0"/>
              <w:spacing w:after="60" w:line="288" w:lineRule="auto"/>
              <w:jc w:val="both"/>
            </w:pPr>
          </w:p>
        </w:tc>
        <w:tc>
          <w:tcPr>
            <w:tcW w:w="736" w:type="dxa"/>
          </w:tcPr>
          <w:p w14:paraId="621C002B" w14:textId="77777777" w:rsidR="00B47285" w:rsidRDefault="00B47285">
            <w:pPr>
              <w:snapToGrid w:val="0"/>
              <w:spacing w:after="60" w:line="288" w:lineRule="auto"/>
              <w:jc w:val="both"/>
            </w:pPr>
          </w:p>
        </w:tc>
        <w:tc>
          <w:tcPr>
            <w:tcW w:w="736" w:type="dxa"/>
          </w:tcPr>
          <w:p w14:paraId="673F4DEF" w14:textId="77777777" w:rsidR="00B47285" w:rsidRDefault="00B47285">
            <w:pPr>
              <w:snapToGrid w:val="0"/>
              <w:spacing w:after="60" w:line="288" w:lineRule="auto"/>
              <w:jc w:val="both"/>
            </w:pPr>
          </w:p>
        </w:tc>
        <w:tc>
          <w:tcPr>
            <w:tcW w:w="737" w:type="dxa"/>
          </w:tcPr>
          <w:p w14:paraId="029DB247" w14:textId="77777777" w:rsidR="00B47285" w:rsidRDefault="00B47285">
            <w:pPr>
              <w:snapToGrid w:val="0"/>
              <w:spacing w:after="60" w:line="288" w:lineRule="auto"/>
              <w:jc w:val="both"/>
            </w:pPr>
          </w:p>
        </w:tc>
        <w:tc>
          <w:tcPr>
            <w:tcW w:w="736" w:type="dxa"/>
          </w:tcPr>
          <w:p w14:paraId="76CD0935" w14:textId="77777777" w:rsidR="00B47285" w:rsidRDefault="00B47285">
            <w:pPr>
              <w:snapToGrid w:val="0"/>
              <w:spacing w:after="60" w:line="288" w:lineRule="auto"/>
              <w:jc w:val="both"/>
            </w:pPr>
          </w:p>
        </w:tc>
        <w:tc>
          <w:tcPr>
            <w:tcW w:w="736" w:type="dxa"/>
          </w:tcPr>
          <w:p w14:paraId="32E73808" w14:textId="77777777" w:rsidR="00B47285" w:rsidRDefault="00B47285">
            <w:pPr>
              <w:snapToGrid w:val="0"/>
              <w:spacing w:after="60" w:line="288" w:lineRule="auto"/>
              <w:jc w:val="both"/>
            </w:pPr>
          </w:p>
        </w:tc>
        <w:tc>
          <w:tcPr>
            <w:tcW w:w="736" w:type="dxa"/>
          </w:tcPr>
          <w:p w14:paraId="6B5D6C89" w14:textId="77777777" w:rsidR="00B47285" w:rsidRDefault="00B47285">
            <w:pPr>
              <w:snapToGrid w:val="0"/>
              <w:spacing w:after="60" w:line="288" w:lineRule="auto"/>
              <w:jc w:val="both"/>
            </w:pPr>
          </w:p>
        </w:tc>
        <w:tc>
          <w:tcPr>
            <w:tcW w:w="736" w:type="dxa"/>
          </w:tcPr>
          <w:p w14:paraId="7A19B79B" w14:textId="77777777" w:rsidR="00B47285" w:rsidRDefault="00B47285">
            <w:pPr>
              <w:snapToGrid w:val="0"/>
              <w:spacing w:after="60" w:line="288" w:lineRule="auto"/>
              <w:jc w:val="both"/>
            </w:pPr>
          </w:p>
        </w:tc>
        <w:tc>
          <w:tcPr>
            <w:tcW w:w="736" w:type="dxa"/>
          </w:tcPr>
          <w:p w14:paraId="47A5AE9E" w14:textId="77777777" w:rsidR="00B47285" w:rsidRDefault="00B47285">
            <w:pPr>
              <w:snapToGrid w:val="0"/>
              <w:spacing w:after="60" w:line="288" w:lineRule="auto"/>
              <w:jc w:val="both"/>
            </w:pPr>
          </w:p>
        </w:tc>
        <w:tc>
          <w:tcPr>
            <w:tcW w:w="737" w:type="dxa"/>
          </w:tcPr>
          <w:p w14:paraId="3A28C03C" w14:textId="77777777" w:rsidR="00B47285" w:rsidRDefault="00B47285">
            <w:pPr>
              <w:snapToGrid w:val="0"/>
              <w:spacing w:after="60" w:line="288" w:lineRule="auto"/>
              <w:jc w:val="both"/>
            </w:pPr>
          </w:p>
        </w:tc>
      </w:tr>
    </w:tbl>
    <w:p w14:paraId="0EDD3C0B" w14:textId="1686F5FD" w:rsidR="00A878E5" w:rsidRDefault="00A878E5">
      <w:pPr>
        <w:snapToGrid w:val="0"/>
        <w:spacing w:after="60" w:line="288" w:lineRule="auto"/>
        <w:jc w:val="both"/>
      </w:pPr>
    </w:p>
    <w:p w14:paraId="1A6EA652" w14:textId="77777777" w:rsidR="007436CD" w:rsidRDefault="007436CD">
      <w:pPr>
        <w:snapToGrid w:val="0"/>
        <w:spacing w:after="60" w:line="288" w:lineRule="auto"/>
        <w:jc w:val="both"/>
      </w:pPr>
    </w:p>
    <w:p w14:paraId="749D1C12" w14:textId="688CAE0A" w:rsidR="007436CD" w:rsidRDefault="007436CD">
      <w:pPr>
        <w:snapToGrid w:val="0"/>
        <w:spacing w:after="60" w:line="288" w:lineRule="auto"/>
        <w:jc w:val="both"/>
      </w:pPr>
      <w:r>
        <w:t>Additional comments</w:t>
      </w:r>
    </w:p>
    <w:tbl>
      <w:tblPr>
        <w:tblStyle w:val="TableGrid"/>
        <w:tblW w:w="0" w:type="auto"/>
        <w:tblLook w:val="04A0" w:firstRow="1" w:lastRow="0" w:firstColumn="1" w:lastColumn="0" w:noHBand="0" w:noVBand="1"/>
      </w:tblPr>
      <w:tblGrid>
        <w:gridCol w:w="2605"/>
        <w:gridCol w:w="7321"/>
      </w:tblGrid>
      <w:tr w:rsidR="007436CD" w14:paraId="036A4738" w14:textId="77777777" w:rsidTr="007436CD">
        <w:tc>
          <w:tcPr>
            <w:tcW w:w="2605" w:type="dxa"/>
          </w:tcPr>
          <w:p w14:paraId="3F2AA67A" w14:textId="26D21944" w:rsidR="007436CD" w:rsidRDefault="007436CD">
            <w:pPr>
              <w:snapToGrid w:val="0"/>
              <w:spacing w:after="60" w:line="288" w:lineRule="auto"/>
              <w:jc w:val="both"/>
            </w:pPr>
            <w:r>
              <w:t>Company</w:t>
            </w:r>
          </w:p>
        </w:tc>
        <w:tc>
          <w:tcPr>
            <w:tcW w:w="7321" w:type="dxa"/>
          </w:tcPr>
          <w:p w14:paraId="62416FC8" w14:textId="322A0E9E" w:rsidR="007436CD" w:rsidRDefault="007436CD">
            <w:pPr>
              <w:snapToGrid w:val="0"/>
              <w:spacing w:after="60" w:line="288" w:lineRule="auto"/>
              <w:jc w:val="both"/>
            </w:pPr>
            <w:r>
              <w:t>Comments</w:t>
            </w:r>
          </w:p>
        </w:tc>
      </w:tr>
      <w:tr w:rsidR="007436CD" w14:paraId="7C5D2A52" w14:textId="77777777" w:rsidTr="007436CD">
        <w:tc>
          <w:tcPr>
            <w:tcW w:w="2605" w:type="dxa"/>
          </w:tcPr>
          <w:p w14:paraId="1F3AD09D" w14:textId="77777777" w:rsidR="007436CD" w:rsidRDefault="007436CD">
            <w:pPr>
              <w:snapToGrid w:val="0"/>
              <w:spacing w:after="60" w:line="288" w:lineRule="auto"/>
              <w:jc w:val="both"/>
            </w:pPr>
          </w:p>
        </w:tc>
        <w:tc>
          <w:tcPr>
            <w:tcW w:w="7321" w:type="dxa"/>
          </w:tcPr>
          <w:p w14:paraId="2E61E363" w14:textId="77777777" w:rsidR="007436CD" w:rsidRDefault="007436CD">
            <w:pPr>
              <w:snapToGrid w:val="0"/>
              <w:spacing w:after="60" w:line="288" w:lineRule="auto"/>
              <w:jc w:val="both"/>
            </w:pPr>
          </w:p>
        </w:tc>
      </w:tr>
    </w:tbl>
    <w:p w14:paraId="5AFC2700" w14:textId="77777777" w:rsidR="007436CD" w:rsidRDefault="007436CD">
      <w:pPr>
        <w:snapToGrid w:val="0"/>
        <w:spacing w:after="60" w:line="288" w:lineRule="auto"/>
        <w:jc w:val="both"/>
      </w:pPr>
    </w:p>
    <w:p w14:paraId="3F6A4111" w14:textId="77777777" w:rsidR="00FD3ACC" w:rsidRDefault="00A06353" w:rsidP="00444F2A">
      <w:pPr>
        <w:pStyle w:val="Heading1"/>
        <w:numPr>
          <w:ilvl w:val="0"/>
          <w:numId w:val="33"/>
        </w:numPr>
        <w:rPr>
          <w:lang w:val="en-US"/>
        </w:rPr>
      </w:pPr>
      <w:r w:rsidRPr="00155453">
        <w:t>References</w:t>
      </w:r>
    </w:p>
    <w:p w14:paraId="6A4F09C2" w14:textId="77777777" w:rsidR="00FD3ACC" w:rsidRDefault="00A06353">
      <w:pPr>
        <w:rPr>
          <w:u w:val="single"/>
        </w:rPr>
      </w:pPr>
      <w:r>
        <w:rPr>
          <w:u w:val="single"/>
        </w:rPr>
        <w:t xml:space="preserve">Contributions related to Channel Access </w:t>
      </w:r>
    </w:p>
    <w:p w14:paraId="7536367C" w14:textId="77777777" w:rsidR="00FD3ACC" w:rsidRDefault="00FD3ACC">
      <w:pPr>
        <w:rPr>
          <w:u w:val="single"/>
        </w:rPr>
      </w:pPr>
    </w:p>
    <w:p w14:paraId="1702E856" w14:textId="0F4CC36F" w:rsidR="007D3A01" w:rsidRDefault="007D3A01" w:rsidP="007D3A01">
      <w:pPr>
        <w:pStyle w:val="ListParagraph"/>
        <w:numPr>
          <w:ilvl w:val="0"/>
          <w:numId w:val="34"/>
        </w:numPr>
        <w:kinsoku w:val="0"/>
        <w:overflowPunct w:val="0"/>
        <w:adjustRightInd w:val="0"/>
        <w:spacing w:after="60"/>
        <w:textAlignment w:val="baseline"/>
      </w:pPr>
      <w:r>
        <w:t>R1-2210918, Remaining issues of channel access mechanism for 60 GHz unlicensed operation, Huawei, HiSilicon</w:t>
      </w:r>
    </w:p>
    <w:p w14:paraId="6597EBC1" w14:textId="77777777" w:rsidR="007D3A01" w:rsidRDefault="007D3A01" w:rsidP="007D3A01">
      <w:pPr>
        <w:pStyle w:val="ListParagraph"/>
        <w:numPr>
          <w:ilvl w:val="0"/>
          <w:numId w:val="34"/>
        </w:numPr>
        <w:kinsoku w:val="0"/>
        <w:overflowPunct w:val="0"/>
        <w:adjustRightInd w:val="0"/>
        <w:spacing w:after="60"/>
        <w:textAlignment w:val="baseline"/>
      </w:pPr>
      <w:r>
        <w:t>R1-2210970, Discussions on support of short control signaling in FR2-2, vivo</w:t>
      </w:r>
    </w:p>
    <w:p w14:paraId="103C4B05" w14:textId="77777777" w:rsidR="007D3A01" w:rsidRDefault="007D3A01" w:rsidP="007D3A01">
      <w:pPr>
        <w:pStyle w:val="ListParagraph"/>
        <w:numPr>
          <w:ilvl w:val="0"/>
          <w:numId w:val="34"/>
        </w:numPr>
        <w:kinsoku w:val="0"/>
        <w:overflowPunct w:val="0"/>
        <w:adjustRightInd w:val="0"/>
        <w:spacing w:after="60"/>
        <w:textAlignment w:val="baseline"/>
      </w:pPr>
      <w:r>
        <w:t>R1-2211160, Discussion on channel access procedures upon detection of a common DCI for frequency range 2-2, CATT</w:t>
      </w:r>
    </w:p>
    <w:p w14:paraId="7416B49D" w14:textId="77777777" w:rsidR="007D3A01" w:rsidRDefault="007D3A01" w:rsidP="007D3A01">
      <w:pPr>
        <w:pStyle w:val="ListParagraph"/>
        <w:numPr>
          <w:ilvl w:val="0"/>
          <w:numId w:val="34"/>
        </w:numPr>
        <w:kinsoku w:val="0"/>
        <w:overflowPunct w:val="0"/>
        <w:adjustRightInd w:val="0"/>
        <w:spacing w:after="60"/>
        <w:textAlignment w:val="baseline"/>
      </w:pPr>
      <w:r>
        <w:t>R1-2211161, Correction on channel access procedures upon detection of a common DCI for frequency range 2-2, CATT</w:t>
      </w:r>
    </w:p>
    <w:p w14:paraId="261BD4E9" w14:textId="77777777" w:rsidR="007D3A01" w:rsidRDefault="007D3A01" w:rsidP="007D3A01">
      <w:pPr>
        <w:pStyle w:val="ListParagraph"/>
        <w:numPr>
          <w:ilvl w:val="0"/>
          <w:numId w:val="34"/>
        </w:numPr>
        <w:kinsoku w:val="0"/>
        <w:overflowPunct w:val="0"/>
        <w:adjustRightInd w:val="0"/>
        <w:spacing w:after="60"/>
        <w:textAlignment w:val="baseline"/>
      </w:pPr>
      <w:r>
        <w:t>R1-2211166, Discussion on the remaining issues on channel access, CATT</w:t>
      </w:r>
    </w:p>
    <w:p w14:paraId="14C3BB73" w14:textId="77777777" w:rsidR="007D3A01" w:rsidRDefault="007D3A01" w:rsidP="007D3A01">
      <w:pPr>
        <w:pStyle w:val="ListParagraph"/>
        <w:numPr>
          <w:ilvl w:val="0"/>
          <w:numId w:val="34"/>
        </w:numPr>
        <w:kinsoku w:val="0"/>
        <w:overflowPunct w:val="0"/>
        <w:adjustRightInd w:val="0"/>
        <w:spacing w:after="60"/>
        <w:textAlignment w:val="baseline"/>
      </w:pPr>
      <w:r>
        <w:t>R1-2211273, Clarification on Contention Exempt Short Control Signalling rules for UL in TS 37.213, ZTE, Sanechips</w:t>
      </w:r>
    </w:p>
    <w:p w14:paraId="33FAE539" w14:textId="77777777" w:rsidR="007D3A01" w:rsidRDefault="007D3A01" w:rsidP="007D3A01">
      <w:pPr>
        <w:pStyle w:val="ListParagraph"/>
        <w:numPr>
          <w:ilvl w:val="0"/>
          <w:numId w:val="34"/>
        </w:numPr>
        <w:kinsoku w:val="0"/>
        <w:overflowPunct w:val="0"/>
        <w:adjustRightInd w:val="0"/>
        <w:spacing w:after="60"/>
        <w:textAlignment w:val="baseline"/>
      </w:pPr>
      <w:r>
        <w:t>R1-2211274, Correction on cg-minDFI-Delay in FR2-2 in TS 38.213, ZTE, Sanechips</w:t>
      </w:r>
    </w:p>
    <w:p w14:paraId="3B388942" w14:textId="77777777" w:rsidR="007D3A01" w:rsidRDefault="007D3A01" w:rsidP="007D3A01">
      <w:pPr>
        <w:pStyle w:val="ListParagraph"/>
        <w:numPr>
          <w:ilvl w:val="0"/>
          <w:numId w:val="34"/>
        </w:numPr>
        <w:kinsoku w:val="0"/>
        <w:overflowPunct w:val="0"/>
        <w:adjustRightInd w:val="0"/>
        <w:spacing w:after="60"/>
        <w:textAlignment w:val="baseline"/>
      </w:pPr>
      <w:r>
        <w:t>R1-2211275, Correction on channel measurement and interference measurement in FR2-2 in TS 38.214, ZTE, Sanechips</w:t>
      </w:r>
    </w:p>
    <w:p w14:paraId="02F682BF" w14:textId="77777777" w:rsidR="007D3A01" w:rsidRDefault="007D3A01" w:rsidP="007D3A01">
      <w:pPr>
        <w:pStyle w:val="ListParagraph"/>
        <w:numPr>
          <w:ilvl w:val="0"/>
          <w:numId w:val="34"/>
        </w:numPr>
        <w:kinsoku w:val="0"/>
        <w:overflowPunct w:val="0"/>
        <w:adjustRightInd w:val="0"/>
        <w:spacing w:after="60"/>
        <w:textAlignment w:val="baseline"/>
      </w:pPr>
      <w:r>
        <w:t>R1-2211379, Discussions on remaining issues on Channel Access for NR extension up to 71 GHz, Intel Corporation</w:t>
      </w:r>
    </w:p>
    <w:p w14:paraId="46027DBA" w14:textId="77777777" w:rsidR="007D3A01" w:rsidRDefault="007D3A01" w:rsidP="007D3A01">
      <w:pPr>
        <w:pStyle w:val="ListParagraph"/>
        <w:numPr>
          <w:ilvl w:val="0"/>
          <w:numId w:val="34"/>
        </w:numPr>
        <w:kinsoku w:val="0"/>
        <w:overflowPunct w:val="0"/>
        <w:adjustRightInd w:val="0"/>
        <w:spacing w:after="60"/>
        <w:textAlignment w:val="baseline"/>
      </w:pPr>
      <w:r>
        <w:t>R1-2211454, Discussion on remaining issue for short control signaling, OPPO</w:t>
      </w:r>
    </w:p>
    <w:p w14:paraId="689E2615" w14:textId="77777777" w:rsidR="007D3A01" w:rsidRDefault="007D3A01" w:rsidP="007D3A01">
      <w:pPr>
        <w:pStyle w:val="ListParagraph"/>
        <w:numPr>
          <w:ilvl w:val="0"/>
          <w:numId w:val="34"/>
        </w:numPr>
        <w:kinsoku w:val="0"/>
        <w:overflowPunct w:val="0"/>
        <w:adjustRightInd w:val="0"/>
        <w:spacing w:after="60"/>
        <w:textAlignment w:val="baseline"/>
      </w:pPr>
      <w:r>
        <w:t>R1-2211455, Draft CR on resolving issue for short control signaling, OPPO</w:t>
      </w:r>
    </w:p>
    <w:p w14:paraId="1627D87C" w14:textId="77777777" w:rsidR="007D3A01" w:rsidRDefault="007D3A01" w:rsidP="007D3A01">
      <w:pPr>
        <w:pStyle w:val="ListParagraph"/>
        <w:numPr>
          <w:ilvl w:val="0"/>
          <w:numId w:val="34"/>
        </w:numPr>
        <w:kinsoku w:val="0"/>
        <w:overflowPunct w:val="0"/>
        <w:adjustRightInd w:val="0"/>
        <w:spacing w:after="60"/>
        <w:textAlignment w:val="baseline"/>
      </w:pPr>
      <w:r>
        <w:t>R1-2211944, Draft CR on configuration to enable LBT for msg1 and msgA, Ericsson</w:t>
      </w:r>
    </w:p>
    <w:p w14:paraId="11A8D342" w14:textId="77777777" w:rsidR="007D3A01" w:rsidRDefault="007D3A01" w:rsidP="007D3A01">
      <w:pPr>
        <w:pStyle w:val="ListParagraph"/>
        <w:numPr>
          <w:ilvl w:val="0"/>
          <w:numId w:val="34"/>
        </w:numPr>
        <w:kinsoku w:val="0"/>
        <w:overflowPunct w:val="0"/>
        <w:adjustRightInd w:val="0"/>
        <w:spacing w:after="60"/>
        <w:textAlignment w:val="baseline"/>
      </w:pPr>
      <w:r>
        <w:t>R1-2211945, Discussion on configuration to enable LBT for msg1 and msgA, Ericsson</w:t>
      </w:r>
    </w:p>
    <w:p w14:paraId="14BD4606" w14:textId="77777777" w:rsidR="007D3A01" w:rsidRDefault="007D3A01" w:rsidP="007D3A01">
      <w:pPr>
        <w:pStyle w:val="ListParagraph"/>
        <w:numPr>
          <w:ilvl w:val="0"/>
          <w:numId w:val="34"/>
        </w:numPr>
        <w:kinsoku w:val="0"/>
        <w:overflowPunct w:val="0"/>
        <w:adjustRightInd w:val="0"/>
        <w:spacing w:after="60"/>
        <w:textAlignment w:val="baseline"/>
      </w:pPr>
      <w:r>
        <w:t>R1-2211946, Discussion on L3-RSSI measurements and LS to RAN4, Ericsson</w:t>
      </w:r>
    </w:p>
    <w:p w14:paraId="3C340CC0" w14:textId="77777777" w:rsidR="007D3A01" w:rsidRDefault="007D3A01" w:rsidP="007D3A01">
      <w:pPr>
        <w:pStyle w:val="ListParagraph"/>
        <w:numPr>
          <w:ilvl w:val="0"/>
          <w:numId w:val="34"/>
        </w:numPr>
        <w:kinsoku w:val="0"/>
        <w:overflowPunct w:val="0"/>
        <w:adjustRightInd w:val="0"/>
        <w:spacing w:after="60"/>
        <w:textAlignment w:val="baseline"/>
      </w:pPr>
      <w:r>
        <w:t>R1-2211952, Discussion on remaining issues for NR in FR2-2, NTT DOCOMO, INC.</w:t>
      </w:r>
    </w:p>
    <w:p w14:paraId="33DA00E9" w14:textId="77777777" w:rsidR="007D3A01" w:rsidRDefault="007D3A01" w:rsidP="007D3A01">
      <w:pPr>
        <w:pStyle w:val="ListParagraph"/>
        <w:numPr>
          <w:ilvl w:val="0"/>
          <w:numId w:val="34"/>
        </w:numPr>
        <w:kinsoku w:val="0"/>
        <w:overflowPunct w:val="0"/>
        <w:adjustRightInd w:val="0"/>
        <w:spacing w:after="60"/>
        <w:textAlignment w:val="baseline"/>
      </w:pPr>
      <w:r>
        <w:t>R1-2211953, Draft CR on channel access type for PDCCH ordered PRACH in FR2-2, NTT DOCOMO, INC.</w:t>
      </w:r>
    </w:p>
    <w:p w14:paraId="4D61B858" w14:textId="77777777" w:rsidR="007D3A01" w:rsidRDefault="007D3A01" w:rsidP="007D3A01">
      <w:pPr>
        <w:pStyle w:val="ListParagraph"/>
        <w:numPr>
          <w:ilvl w:val="0"/>
          <w:numId w:val="34"/>
        </w:numPr>
        <w:kinsoku w:val="0"/>
        <w:overflowPunct w:val="0"/>
        <w:adjustRightInd w:val="0"/>
        <w:spacing w:after="60"/>
        <w:textAlignment w:val="baseline"/>
      </w:pPr>
      <w:r>
        <w:t>R1-2212019, Discussion on SCSt based msg1/msgA transmission in FR2-2, Samsung</w:t>
      </w:r>
    </w:p>
    <w:p w14:paraId="38E9EFAC" w14:textId="77777777" w:rsidR="007D3A01" w:rsidRDefault="007D3A01" w:rsidP="007D3A01">
      <w:pPr>
        <w:pStyle w:val="ListParagraph"/>
        <w:numPr>
          <w:ilvl w:val="0"/>
          <w:numId w:val="34"/>
        </w:numPr>
        <w:kinsoku w:val="0"/>
        <w:overflowPunct w:val="0"/>
        <w:adjustRightInd w:val="0"/>
        <w:spacing w:after="60"/>
        <w:textAlignment w:val="baseline"/>
      </w:pPr>
      <w:r>
        <w:t>R1-2212082, Discussion Paper on Maintenance for NR from 52.6GHz to 71 GHz, Qualcomm Incorporated</w:t>
      </w:r>
    </w:p>
    <w:p w14:paraId="019C5BF3" w14:textId="77777777" w:rsidR="007D3A01" w:rsidRDefault="007D3A01" w:rsidP="007D3A01">
      <w:pPr>
        <w:pStyle w:val="ListParagraph"/>
        <w:numPr>
          <w:ilvl w:val="0"/>
          <w:numId w:val="34"/>
        </w:numPr>
        <w:kinsoku w:val="0"/>
        <w:overflowPunct w:val="0"/>
        <w:adjustRightInd w:val="0"/>
        <w:spacing w:after="60"/>
        <w:textAlignment w:val="baseline"/>
      </w:pPr>
      <w:r>
        <w:t>R1-2212083, Draft CR on Short Control Signaling Exemption for UL Transmissions, Qualcomm Incorporated</w:t>
      </w:r>
    </w:p>
    <w:p w14:paraId="6680312C" w14:textId="77777777" w:rsidR="007D3A01" w:rsidRDefault="007D3A01" w:rsidP="007D3A01">
      <w:pPr>
        <w:pStyle w:val="ListParagraph"/>
        <w:numPr>
          <w:ilvl w:val="0"/>
          <w:numId w:val="34"/>
        </w:numPr>
        <w:kinsoku w:val="0"/>
        <w:overflowPunct w:val="0"/>
        <w:adjustRightInd w:val="0"/>
        <w:spacing w:after="60"/>
        <w:textAlignment w:val="baseline"/>
      </w:pPr>
      <w:r>
        <w:t>R1-2212198, Correction on CSI-RS validation, ASUSTeK</w:t>
      </w:r>
    </w:p>
    <w:p w14:paraId="5EEB5228" w14:textId="77777777" w:rsidR="007D3A01" w:rsidRDefault="007D3A01" w:rsidP="007D3A01">
      <w:pPr>
        <w:pStyle w:val="ListParagraph"/>
        <w:numPr>
          <w:ilvl w:val="0"/>
          <w:numId w:val="34"/>
        </w:numPr>
        <w:kinsoku w:val="0"/>
        <w:overflowPunct w:val="0"/>
        <w:adjustRightInd w:val="0"/>
        <w:spacing w:after="60"/>
        <w:textAlignment w:val="baseline"/>
      </w:pPr>
      <w:r>
        <w:t>R1-2212295, Remaining issues of channel access mechanism to support NR above 52.6 GHz, LG Electronics</w:t>
      </w:r>
    </w:p>
    <w:p w14:paraId="04BBA06D" w14:textId="77777777" w:rsidR="007D3A01" w:rsidRDefault="007D3A01" w:rsidP="007D3A01">
      <w:pPr>
        <w:pStyle w:val="ListParagraph"/>
        <w:numPr>
          <w:ilvl w:val="0"/>
          <w:numId w:val="34"/>
        </w:numPr>
        <w:kinsoku w:val="0"/>
        <w:overflowPunct w:val="0"/>
        <w:adjustRightInd w:val="0"/>
        <w:spacing w:after="60"/>
        <w:textAlignment w:val="baseline"/>
      </w:pPr>
      <w:r>
        <w:t>R1-2212296, Draft CR on channel access type indication for DCI format x_2 in FR2-2, LG Electronics</w:t>
      </w:r>
    </w:p>
    <w:p w14:paraId="2D062B8C" w14:textId="77777777" w:rsidR="007D3A01" w:rsidRDefault="007D3A01" w:rsidP="007D3A01">
      <w:pPr>
        <w:pStyle w:val="ListParagraph"/>
        <w:numPr>
          <w:ilvl w:val="0"/>
          <w:numId w:val="34"/>
        </w:numPr>
        <w:kinsoku w:val="0"/>
        <w:overflowPunct w:val="0"/>
        <w:adjustRightInd w:val="0"/>
        <w:spacing w:after="60"/>
        <w:textAlignment w:val="baseline"/>
      </w:pPr>
      <w:r>
        <w:t>R1-2212297, Draft CR on short control signaling exemption and LBT type determination within a COT, LG Electronics</w:t>
      </w:r>
    </w:p>
    <w:p w14:paraId="60C16B4E" w14:textId="77777777" w:rsidR="007D3A01" w:rsidRDefault="007D3A01" w:rsidP="007D3A01">
      <w:pPr>
        <w:pStyle w:val="ListParagraph"/>
        <w:numPr>
          <w:ilvl w:val="0"/>
          <w:numId w:val="34"/>
        </w:numPr>
        <w:kinsoku w:val="0"/>
        <w:overflowPunct w:val="0"/>
        <w:adjustRightInd w:val="0"/>
        <w:spacing w:after="60"/>
        <w:textAlignment w:val="baseline"/>
      </w:pPr>
      <w:r>
        <w:t>R1-2212395, Correction on short control singnling based on msg1 and msg A, CATT</w:t>
      </w:r>
    </w:p>
    <w:p w14:paraId="773E7A2E" w14:textId="77777777" w:rsidR="007D3A01" w:rsidRDefault="007D3A01" w:rsidP="007D3A01">
      <w:pPr>
        <w:pStyle w:val="ListParagraph"/>
        <w:numPr>
          <w:ilvl w:val="0"/>
          <w:numId w:val="34"/>
        </w:numPr>
        <w:kinsoku w:val="0"/>
        <w:overflowPunct w:val="0"/>
        <w:adjustRightInd w:val="0"/>
        <w:spacing w:after="60"/>
        <w:textAlignment w:val="baseline"/>
      </w:pPr>
      <w:r>
        <w:t>R1-2212396, Correction on UE resuming a UE initiated COT, CATT</w:t>
      </w:r>
    </w:p>
    <w:p w14:paraId="32E237AA" w14:textId="77777777" w:rsidR="007D3A01" w:rsidRDefault="007D3A01" w:rsidP="007D3A01">
      <w:pPr>
        <w:pStyle w:val="ListParagraph"/>
        <w:numPr>
          <w:ilvl w:val="0"/>
          <w:numId w:val="34"/>
        </w:numPr>
        <w:kinsoku w:val="0"/>
        <w:overflowPunct w:val="0"/>
        <w:adjustRightInd w:val="0"/>
        <w:spacing w:after="60"/>
        <w:textAlignment w:val="baseline"/>
      </w:pPr>
      <w:r>
        <w:t>R1-2212403, Remaining issues on channel access mechanism, Nokia, Nokia Shanghai Bell</w:t>
      </w:r>
    </w:p>
    <w:p w14:paraId="2B7E3F77" w14:textId="77777777" w:rsidR="007D3A01" w:rsidRDefault="007D3A01" w:rsidP="007D3A01">
      <w:pPr>
        <w:pStyle w:val="ListParagraph"/>
        <w:numPr>
          <w:ilvl w:val="0"/>
          <w:numId w:val="34"/>
        </w:numPr>
        <w:kinsoku w:val="0"/>
        <w:overflowPunct w:val="0"/>
        <w:adjustRightInd w:val="0"/>
        <w:spacing w:after="60"/>
        <w:textAlignment w:val="baseline"/>
      </w:pPr>
      <w:r>
        <w:t>R1-2212404, Correction on Short Control Signaling, Nokia, Nokia Shanghai Bell</w:t>
      </w:r>
    </w:p>
    <w:p w14:paraId="25556F61" w14:textId="77777777" w:rsidR="007D3A01" w:rsidRDefault="007D3A01" w:rsidP="007D3A01">
      <w:pPr>
        <w:pStyle w:val="ListParagraph"/>
        <w:numPr>
          <w:ilvl w:val="0"/>
          <w:numId w:val="34"/>
        </w:numPr>
        <w:kinsoku w:val="0"/>
        <w:overflowPunct w:val="0"/>
        <w:adjustRightInd w:val="0"/>
        <w:spacing w:after="60"/>
        <w:textAlignment w:val="baseline"/>
      </w:pPr>
      <w:r>
        <w:t>R1-2212405, Correction on UE resuming a UE initiated COT, Nokia, Nokia Shanghai Bell</w:t>
      </w:r>
    </w:p>
    <w:p w14:paraId="599EAA16" w14:textId="77777777" w:rsidR="007D3A01" w:rsidRDefault="007D3A01" w:rsidP="007D3A01">
      <w:pPr>
        <w:pStyle w:val="ListParagraph"/>
        <w:numPr>
          <w:ilvl w:val="0"/>
          <w:numId w:val="34"/>
        </w:numPr>
        <w:kinsoku w:val="0"/>
        <w:overflowPunct w:val="0"/>
        <w:adjustRightInd w:val="0"/>
        <w:spacing w:after="60"/>
        <w:textAlignment w:val="baseline"/>
      </w:pPr>
      <w:r>
        <w:t>R1-2212435, Remaining issue on channel access for NR from 52.6GHz to 71GHz, WILUS Inc.</w:t>
      </w:r>
    </w:p>
    <w:p w14:paraId="36F003A1" w14:textId="77777777" w:rsidR="007D3A01" w:rsidRDefault="007D3A01" w:rsidP="007D3A01">
      <w:pPr>
        <w:pStyle w:val="ListParagraph"/>
        <w:numPr>
          <w:ilvl w:val="0"/>
          <w:numId w:val="34"/>
        </w:numPr>
        <w:kinsoku w:val="0"/>
        <w:overflowPunct w:val="0"/>
        <w:adjustRightInd w:val="0"/>
        <w:spacing w:after="60"/>
        <w:textAlignment w:val="baseline"/>
      </w:pPr>
      <w:r>
        <w:t>R1-2212436, Draft CR on channel access after failure of Type 2 channel access for FR2-2, WILUS Inc.</w:t>
      </w:r>
    </w:p>
    <w:p w14:paraId="30C81812" w14:textId="77777777" w:rsidR="007D3A01" w:rsidRDefault="007D3A01" w:rsidP="007D3A01">
      <w:pPr>
        <w:pStyle w:val="ListParagraph"/>
        <w:numPr>
          <w:ilvl w:val="0"/>
          <w:numId w:val="34"/>
        </w:numPr>
        <w:kinsoku w:val="0"/>
        <w:overflowPunct w:val="0"/>
        <w:adjustRightInd w:val="0"/>
        <w:spacing w:after="60"/>
        <w:textAlignment w:val="baseline"/>
      </w:pPr>
      <w:r>
        <w:lastRenderedPageBreak/>
        <w:t>R1-2212437, Draft CR on channel access procedure upon detection of a common DCI for FR2-2, WILUS Inc.</w:t>
      </w:r>
    </w:p>
    <w:p w14:paraId="0750498D" w14:textId="77777777" w:rsidR="007D3A01" w:rsidRDefault="007D3A01" w:rsidP="007D3A01">
      <w:pPr>
        <w:pStyle w:val="ListParagraph"/>
        <w:numPr>
          <w:ilvl w:val="0"/>
          <w:numId w:val="34"/>
        </w:numPr>
        <w:kinsoku w:val="0"/>
        <w:overflowPunct w:val="0"/>
        <w:adjustRightInd w:val="0"/>
        <w:spacing w:after="60"/>
        <w:textAlignment w:val="baseline"/>
      </w:pPr>
      <w:r>
        <w:t>R1-2212469, Corrections to multi beam channel access in TS37.213, Huawei, HiSilicon</w:t>
      </w:r>
    </w:p>
    <w:p w14:paraId="2E2265FD" w14:textId="77777777" w:rsidR="007D3A01" w:rsidRDefault="007D3A01" w:rsidP="007D3A01">
      <w:pPr>
        <w:pStyle w:val="ListParagraph"/>
        <w:numPr>
          <w:ilvl w:val="0"/>
          <w:numId w:val="34"/>
        </w:numPr>
        <w:kinsoku w:val="0"/>
        <w:overflowPunct w:val="0"/>
        <w:adjustRightInd w:val="0"/>
        <w:spacing w:after="60"/>
        <w:textAlignment w:val="baseline"/>
      </w:pPr>
      <w:r>
        <w:t>R1-2212470, Corrections to enable/disable short control signaling transmission in TS37.213, Huawei, HiSilicon</w:t>
      </w:r>
    </w:p>
    <w:p w14:paraId="78AF647D" w14:textId="77777777" w:rsidR="007D3A01" w:rsidRDefault="007D3A01" w:rsidP="007D3A01">
      <w:pPr>
        <w:pStyle w:val="ListParagraph"/>
        <w:numPr>
          <w:ilvl w:val="0"/>
          <w:numId w:val="34"/>
        </w:numPr>
        <w:kinsoku w:val="0"/>
        <w:overflowPunct w:val="0"/>
        <w:adjustRightInd w:val="0"/>
        <w:spacing w:after="60"/>
        <w:textAlignment w:val="baseline"/>
      </w:pPr>
      <w:r>
        <w:t>R1-2212471, Corrections to support LBT upgrade to Type 2/3 within gNB COT in TS37.213, Huawei, HiSilicon</w:t>
      </w:r>
    </w:p>
    <w:p w14:paraId="00413396" w14:textId="77777777" w:rsidR="00CE58C0" w:rsidRDefault="00CE58C0" w:rsidP="00CE58C0">
      <w:pPr>
        <w:pStyle w:val="ListParagraph"/>
        <w:kinsoku w:val="0"/>
        <w:overflowPunct w:val="0"/>
        <w:adjustRightInd w:val="0"/>
        <w:spacing w:after="60"/>
        <w:ind w:left="504"/>
        <w:textAlignment w:val="baseline"/>
      </w:pPr>
    </w:p>
    <w:p w14:paraId="57F33F03" w14:textId="7BAEF77B" w:rsidR="00FD3ACC" w:rsidRDefault="00FD3ACC" w:rsidP="00F4113E">
      <w:pPr>
        <w:pStyle w:val="ListParagraph"/>
        <w:kinsoku w:val="0"/>
        <w:overflowPunct w:val="0"/>
        <w:adjustRightInd w:val="0"/>
        <w:spacing w:after="60" w:line="240" w:lineRule="auto"/>
        <w:ind w:left="504"/>
        <w:contextualSpacing w:val="0"/>
        <w:textAlignment w:val="baseline"/>
        <w:rPr>
          <w:rFonts w:cs="Arial"/>
        </w:rPr>
      </w:pPr>
    </w:p>
    <w:p w14:paraId="29C52FEE" w14:textId="77777777" w:rsidR="00FD3ACC" w:rsidRDefault="00FD3ACC"/>
    <w:p w14:paraId="0CCC8F23" w14:textId="77777777" w:rsidR="00FD3ACC" w:rsidRDefault="00FD3ACC"/>
    <w:sectPr w:rsidR="00FD3AC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9C78" w14:textId="77777777" w:rsidR="000C6290" w:rsidRDefault="000C6290">
      <w:r>
        <w:separator/>
      </w:r>
    </w:p>
  </w:endnote>
  <w:endnote w:type="continuationSeparator" w:id="0">
    <w:p w14:paraId="4554B48B" w14:textId="77777777" w:rsidR="000C6290" w:rsidRDefault="000C6290">
      <w:r>
        <w:continuationSeparator/>
      </w:r>
    </w:p>
  </w:endnote>
  <w:endnote w:type="continuationNotice" w:id="1">
    <w:p w14:paraId="3C9A6761" w14:textId="77777777" w:rsidR="000C6290" w:rsidRDefault="000C6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0155" w14:textId="77777777" w:rsidR="000C6290" w:rsidRDefault="000C6290">
      <w:r>
        <w:separator/>
      </w:r>
    </w:p>
  </w:footnote>
  <w:footnote w:type="continuationSeparator" w:id="0">
    <w:p w14:paraId="3B91576E" w14:textId="77777777" w:rsidR="000C6290" w:rsidRDefault="000C6290">
      <w:r>
        <w:continuationSeparator/>
      </w:r>
    </w:p>
  </w:footnote>
  <w:footnote w:type="continuationNotice" w:id="1">
    <w:p w14:paraId="4B0EB70A" w14:textId="77777777" w:rsidR="000C6290" w:rsidRDefault="000C62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0F7704BA"/>
    <w:multiLevelType w:val="multilevel"/>
    <w:tmpl w:val="D7206AFC"/>
    <w:lvl w:ilvl="0">
      <w:start w:val="1"/>
      <w:numFmt w:val="decimal"/>
      <w:lvlText w:val="%1."/>
      <w:lvlJc w:val="left"/>
      <w:pPr>
        <w:ind w:left="360" w:hanging="360"/>
      </w:pPr>
      <w:rPr>
        <w:rFonts w:hint="default"/>
      </w:rPr>
    </w:lvl>
    <w:lvl w:ilvl="1">
      <w:start w:val="1"/>
      <w:numFmt w:val="decimal"/>
      <w:isLg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D2B2787"/>
    <w:multiLevelType w:val="multilevel"/>
    <w:tmpl w:val="40A66E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23453C3"/>
    <w:multiLevelType w:val="hybridMultilevel"/>
    <w:tmpl w:val="3D2A0702"/>
    <w:lvl w:ilvl="0" w:tplc="CFE05416">
      <w:start w:val="12"/>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F11223"/>
    <w:multiLevelType w:val="hybridMultilevel"/>
    <w:tmpl w:val="57B2BBBA"/>
    <w:lvl w:ilvl="0" w:tplc="9C144DAC">
      <w:start w:val="5"/>
      <w:numFmt w:val="bullet"/>
      <w:lvlText w:val="-"/>
      <w:lvlJc w:val="left"/>
      <w:pPr>
        <w:ind w:left="720" w:hanging="360"/>
      </w:pPr>
      <w:rPr>
        <w:rFonts w:ascii="Times New Roman" w:eastAsiaTheme="minorEastAsia" w:hAnsi="Times New Roman" w:cs="Times New Roman" w:hint="default"/>
        <w:b/>
        <w:i/>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hybridMultilevel"/>
    <w:tmpl w:val="C994E744"/>
    <w:lvl w:ilvl="0" w:tplc="97D44BD4">
      <w:start w:val="1"/>
      <w:numFmt w:val="decimal"/>
      <w:lvlText w:val="Proposal %1"/>
      <w:lvlJc w:val="left"/>
      <w:pPr>
        <w:tabs>
          <w:tab w:val="num" w:pos="1394"/>
        </w:tabs>
        <w:ind w:left="1394" w:hanging="1304"/>
      </w:pPr>
      <w:rPr>
        <w:b/>
        <w:bCs/>
        <w:i w:val="0"/>
        <w:iCs w:val="0"/>
        <w:lang w:val="en-US"/>
      </w:rPr>
    </w:lvl>
    <w:lvl w:ilvl="1" w:tplc="C268B510">
      <w:start w:val="1"/>
      <w:numFmt w:val="decimal"/>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9D51CF3"/>
    <w:multiLevelType w:val="hybridMultilevel"/>
    <w:tmpl w:val="FFFFFFFF"/>
    <w:lvl w:ilvl="0" w:tplc="BD469F1C">
      <w:start w:val="1"/>
      <w:numFmt w:val="bullet"/>
      <w:lvlText w:val=""/>
      <w:lvlJc w:val="left"/>
      <w:pPr>
        <w:ind w:left="720" w:hanging="360"/>
      </w:pPr>
      <w:rPr>
        <w:rFonts w:ascii="Symbol" w:hAnsi="Symbol" w:hint="default"/>
      </w:rPr>
    </w:lvl>
    <w:lvl w:ilvl="1" w:tplc="82649A26">
      <w:start w:val="1"/>
      <w:numFmt w:val="bullet"/>
      <w:lvlText w:val="o"/>
      <w:lvlJc w:val="left"/>
      <w:pPr>
        <w:ind w:left="1440" w:hanging="360"/>
      </w:pPr>
      <w:rPr>
        <w:rFonts w:ascii="Courier New" w:hAnsi="Courier New" w:hint="default"/>
      </w:rPr>
    </w:lvl>
    <w:lvl w:ilvl="2" w:tplc="276E276C">
      <w:start w:val="1"/>
      <w:numFmt w:val="bullet"/>
      <w:lvlText w:val="§"/>
      <w:lvlJc w:val="left"/>
      <w:pPr>
        <w:ind w:left="2160" w:hanging="360"/>
      </w:pPr>
      <w:rPr>
        <w:rFonts w:ascii="Wingdings" w:hAnsi="Wingdings" w:hint="default"/>
      </w:rPr>
    </w:lvl>
    <w:lvl w:ilvl="3" w:tplc="C152DF0C">
      <w:start w:val="1"/>
      <w:numFmt w:val="bullet"/>
      <w:lvlText w:val=""/>
      <w:lvlJc w:val="left"/>
      <w:pPr>
        <w:ind w:left="2880" w:hanging="360"/>
      </w:pPr>
      <w:rPr>
        <w:rFonts w:ascii="Symbol" w:hAnsi="Symbol" w:hint="default"/>
      </w:rPr>
    </w:lvl>
    <w:lvl w:ilvl="4" w:tplc="82CEAA36">
      <w:start w:val="1"/>
      <w:numFmt w:val="bullet"/>
      <w:lvlText w:val="o"/>
      <w:lvlJc w:val="left"/>
      <w:pPr>
        <w:ind w:left="3600" w:hanging="360"/>
      </w:pPr>
      <w:rPr>
        <w:rFonts w:ascii="Courier New" w:hAnsi="Courier New" w:hint="default"/>
      </w:rPr>
    </w:lvl>
    <w:lvl w:ilvl="5" w:tplc="57E8DD28">
      <w:start w:val="1"/>
      <w:numFmt w:val="bullet"/>
      <w:lvlText w:val=""/>
      <w:lvlJc w:val="left"/>
      <w:pPr>
        <w:ind w:left="4320" w:hanging="360"/>
      </w:pPr>
      <w:rPr>
        <w:rFonts w:ascii="Wingdings" w:hAnsi="Wingdings" w:hint="default"/>
      </w:rPr>
    </w:lvl>
    <w:lvl w:ilvl="6" w:tplc="D7E297D0">
      <w:start w:val="1"/>
      <w:numFmt w:val="bullet"/>
      <w:lvlText w:val=""/>
      <w:lvlJc w:val="left"/>
      <w:pPr>
        <w:ind w:left="5040" w:hanging="360"/>
      </w:pPr>
      <w:rPr>
        <w:rFonts w:ascii="Symbol" w:hAnsi="Symbol" w:hint="default"/>
      </w:rPr>
    </w:lvl>
    <w:lvl w:ilvl="7" w:tplc="71625A42">
      <w:start w:val="1"/>
      <w:numFmt w:val="bullet"/>
      <w:lvlText w:val="o"/>
      <w:lvlJc w:val="left"/>
      <w:pPr>
        <w:ind w:left="5760" w:hanging="360"/>
      </w:pPr>
      <w:rPr>
        <w:rFonts w:ascii="Courier New" w:hAnsi="Courier New" w:hint="default"/>
      </w:rPr>
    </w:lvl>
    <w:lvl w:ilvl="8" w:tplc="06EA8FAE">
      <w:start w:val="1"/>
      <w:numFmt w:val="bullet"/>
      <w:lvlText w:val=""/>
      <w:lvlJc w:val="left"/>
      <w:pPr>
        <w:ind w:left="6480" w:hanging="360"/>
      </w:pPr>
      <w:rPr>
        <w:rFonts w:ascii="Wingdings" w:hAnsi="Wingdings" w:hint="default"/>
      </w:rPr>
    </w:lvl>
  </w:abstractNum>
  <w:abstractNum w:abstractNumId="35"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0"/>
  </w:num>
  <w:num w:numId="4">
    <w:abstractNumId w:val="27"/>
  </w:num>
  <w:num w:numId="5">
    <w:abstractNumId w:val="38"/>
  </w:num>
  <w:num w:numId="6">
    <w:abstractNumId w:val="8"/>
  </w:num>
  <w:num w:numId="7">
    <w:abstractNumId w:val="26"/>
  </w:num>
  <w:num w:numId="8">
    <w:abstractNumId w:val="24"/>
  </w:num>
  <w:num w:numId="9">
    <w:abstractNumId w:val="33"/>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1"/>
  </w:num>
  <w:num w:numId="13">
    <w:abstractNumId w:val="7"/>
  </w:num>
  <w:num w:numId="14">
    <w:abstractNumId w:val="6"/>
  </w:num>
  <w:num w:numId="15">
    <w:abstractNumId w:val="4"/>
  </w:num>
  <w:num w:numId="16">
    <w:abstractNumId w:val="31"/>
  </w:num>
  <w:num w:numId="17">
    <w:abstractNumId w:val="30"/>
  </w:num>
  <w:num w:numId="18">
    <w:abstractNumId w:val="37"/>
  </w:num>
  <w:num w:numId="19">
    <w:abstractNumId w:val="17"/>
  </w:num>
  <w:num w:numId="20">
    <w:abstractNumId w:val="29"/>
  </w:num>
  <w:num w:numId="21">
    <w:abstractNumId w:val="39"/>
  </w:num>
  <w:num w:numId="22">
    <w:abstractNumId w:val="25"/>
  </w:num>
  <w:num w:numId="23">
    <w:abstractNumId w:val="19"/>
  </w:num>
  <w:num w:numId="24">
    <w:abstractNumId w:val="21"/>
  </w:num>
  <w:num w:numId="25">
    <w:abstractNumId w:val="20"/>
  </w:num>
  <w:num w:numId="26">
    <w:abstractNumId w:val="16"/>
  </w:num>
  <w:num w:numId="27">
    <w:abstractNumId w:val="5"/>
  </w:num>
  <w:num w:numId="28">
    <w:abstractNumId w:val="40"/>
  </w:num>
  <w:num w:numId="29">
    <w:abstractNumId w:val="36"/>
  </w:num>
  <w:num w:numId="30">
    <w:abstractNumId w:val="15"/>
  </w:num>
  <w:num w:numId="31">
    <w:abstractNumId w:val="32"/>
  </w:num>
  <w:num w:numId="32">
    <w:abstractNumId w:val="23"/>
  </w:num>
  <w:num w:numId="33">
    <w:abstractNumId w:val="35"/>
  </w:num>
  <w:num w:numId="34">
    <w:abstractNumId w:val="14"/>
  </w:num>
  <w:num w:numId="35">
    <w:abstractNumId w:val="9"/>
  </w:num>
  <w:num w:numId="36">
    <w:abstractNumId w:val="12"/>
  </w:num>
  <w:num w:numId="37">
    <w:abstractNumId w:val="34"/>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3"/>
  </w:num>
  <w:num w:numId="41">
    <w:abstractNumId w:val="28"/>
  </w:num>
  <w:num w:numId="42">
    <w:abstractNumId w:val="18"/>
  </w:num>
  <w:num w:numId="43">
    <w:abstractNumId w:val="10"/>
  </w:num>
  <w:num w:numId="44">
    <w:abstractNumId w:val="1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9EC"/>
    <w:rsid w:val="00002251"/>
    <w:rsid w:val="0000310A"/>
    <w:rsid w:val="000038C9"/>
    <w:rsid w:val="000039A0"/>
    <w:rsid w:val="00003CB2"/>
    <w:rsid w:val="000046D2"/>
    <w:rsid w:val="0000470A"/>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108D"/>
    <w:rsid w:val="0002213B"/>
    <w:rsid w:val="00023512"/>
    <w:rsid w:val="00023641"/>
    <w:rsid w:val="00023F3D"/>
    <w:rsid w:val="00024A83"/>
    <w:rsid w:val="00024E45"/>
    <w:rsid w:val="00025019"/>
    <w:rsid w:val="00025DAF"/>
    <w:rsid w:val="00025E58"/>
    <w:rsid w:val="00026545"/>
    <w:rsid w:val="000268CC"/>
    <w:rsid w:val="00027D16"/>
    <w:rsid w:val="00030D2A"/>
    <w:rsid w:val="000310D1"/>
    <w:rsid w:val="000324D1"/>
    <w:rsid w:val="000325D7"/>
    <w:rsid w:val="00033012"/>
    <w:rsid w:val="00033B1F"/>
    <w:rsid w:val="0003506A"/>
    <w:rsid w:val="0003546E"/>
    <w:rsid w:val="00035947"/>
    <w:rsid w:val="000364BE"/>
    <w:rsid w:val="00036AB3"/>
    <w:rsid w:val="00036E85"/>
    <w:rsid w:val="0003778A"/>
    <w:rsid w:val="0004030F"/>
    <w:rsid w:val="00044518"/>
    <w:rsid w:val="0004622E"/>
    <w:rsid w:val="000504EF"/>
    <w:rsid w:val="0005094E"/>
    <w:rsid w:val="000520D2"/>
    <w:rsid w:val="000521E1"/>
    <w:rsid w:val="000536FB"/>
    <w:rsid w:val="00053C89"/>
    <w:rsid w:val="000546B5"/>
    <w:rsid w:val="0005518F"/>
    <w:rsid w:val="00057540"/>
    <w:rsid w:val="00057794"/>
    <w:rsid w:val="000579FF"/>
    <w:rsid w:val="00057E72"/>
    <w:rsid w:val="000601C7"/>
    <w:rsid w:val="000616B2"/>
    <w:rsid w:val="00061C56"/>
    <w:rsid w:val="00061DFD"/>
    <w:rsid w:val="00062573"/>
    <w:rsid w:val="0006331C"/>
    <w:rsid w:val="00063F07"/>
    <w:rsid w:val="0006422D"/>
    <w:rsid w:val="0006607E"/>
    <w:rsid w:val="000661DF"/>
    <w:rsid w:val="00066ABA"/>
    <w:rsid w:val="000675D3"/>
    <w:rsid w:val="00067DC1"/>
    <w:rsid w:val="0007079F"/>
    <w:rsid w:val="00071C78"/>
    <w:rsid w:val="00071CF9"/>
    <w:rsid w:val="00072EDD"/>
    <w:rsid w:val="000734DF"/>
    <w:rsid w:val="00074F5D"/>
    <w:rsid w:val="000763C4"/>
    <w:rsid w:val="00077E64"/>
    <w:rsid w:val="00080FBB"/>
    <w:rsid w:val="0008179D"/>
    <w:rsid w:val="000829E3"/>
    <w:rsid w:val="00082A90"/>
    <w:rsid w:val="00083D1C"/>
    <w:rsid w:val="000842CA"/>
    <w:rsid w:val="00084798"/>
    <w:rsid w:val="00084CFD"/>
    <w:rsid w:val="00086151"/>
    <w:rsid w:val="00087B46"/>
    <w:rsid w:val="0009045E"/>
    <w:rsid w:val="00090C35"/>
    <w:rsid w:val="00093811"/>
    <w:rsid w:val="0009417C"/>
    <w:rsid w:val="000941A8"/>
    <w:rsid w:val="000955B4"/>
    <w:rsid w:val="000968F0"/>
    <w:rsid w:val="00097612"/>
    <w:rsid w:val="000A0674"/>
    <w:rsid w:val="000A081A"/>
    <w:rsid w:val="000A0B64"/>
    <w:rsid w:val="000A179D"/>
    <w:rsid w:val="000A28DF"/>
    <w:rsid w:val="000A2E9E"/>
    <w:rsid w:val="000A5DD9"/>
    <w:rsid w:val="000A6970"/>
    <w:rsid w:val="000A7471"/>
    <w:rsid w:val="000A77E0"/>
    <w:rsid w:val="000B0C82"/>
    <w:rsid w:val="000B11F9"/>
    <w:rsid w:val="000B279C"/>
    <w:rsid w:val="000B33BD"/>
    <w:rsid w:val="000B48CB"/>
    <w:rsid w:val="000B4F17"/>
    <w:rsid w:val="000B6413"/>
    <w:rsid w:val="000B700D"/>
    <w:rsid w:val="000B7908"/>
    <w:rsid w:val="000B7BAC"/>
    <w:rsid w:val="000C038B"/>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1953"/>
    <w:rsid w:val="00102105"/>
    <w:rsid w:val="001024BA"/>
    <w:rsid w:val="0010316C"/>
    <w:rsid w:val="00103718"/>
    <w:rsid w:val="00103D05"/>
    <w:rsid w:val="001045C4"/>
    <w:rsid w:val="001050C6"/>
    <w:rsid w:val="0010529A"/>
    <w:rsid w:val="00105A73"/>
    <w:rsid w:val="00106EF8"/>
    <w:rsid w:val="00107C02"/>
    <w:rsid w:val="00107C9D"/>
    <w:rsid w:val="001107D9"/>
    <w:rsid w:val="00110A15"/>
    <w:rsid w:val="00112798"/>
    <w:rsid w:val="001127A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4496"/>
    <w:rsid w:val="001245FC"/>
    <w:rsid w:val="0012544B"/>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7738"/>
    <w:rsid w:val="001409AE"/>
    <w:rsid w:val="00141910"/>
    <w:rsid w:val="001433BD"/>
    <w:rsid w:val="00143B72"/>
    <w:rsid w:val="00143F2A"/>
    <w:rsid w:val="00145438"/>
    <w:rsid w:val="00145482"/>
    <w:rsid w:val="00146343"/>
    <w:rsid w:val="0014666D"/>
    <w:rsid w:val="0014706A"/>
    <w:rsid w:val="0014723B"/>
    <w:rsid w:val="001477E9"/>
    <w:rsid w:val="00147BBF"/>
    <w:rsid w:val="001516C5"/>
    <w:rsid w:val="001516E0"/>
    <w:rsid w:val="00151C16"/>
    <w:rsid w:val="00152C42"/>
    <w:rsid w:val="00152C9C"/>
    <w:rsid w:val="0015416F"/>
    <w:rsid w:val="00155453"/>
    <w:rsid w:val="001557FB"/>
    <w:rsid w:val="001561BE"/>
    <w:rsid w:val="0015655A"/>
    <w:rsid w:val="00156988"/>
    <w:rsid w:val="00156D5D"/>
    <w:rsid w:val="00157409"/>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5D8C"/>
    <w:rsid w:val="001873BA"/>
    <w:rsid w:val="00187CCE"/>
    <w:rsid w:val="001919FA"/>
    <w:rsid w:val="00193DDB"/>
    <w:rsid w:val="00194E3D"/>
    <w:rsid w:val="001967E5"/>
    <w:rsid w:val="00196D7B"/>
    <w:rsid w:val="00197650"/>
    <w:rsid w:val="001976EE"/>
    <w:rsid w:val="00197C3E"/>
    <w:rsid w:val="001A036B"/>
    <w:rsid w:val="001A0854"/>
    <w:rsid w:val="001A1433"/>
    <w:rsid w:val="001A27E0"/>
    <w:rsid w:val="001A35D7"/>
    <w:rsid w:val="001A39AA"/>
    <w:rsid w:val="001A3CAF"/>
    <w:rsid w:val="001A4911"/>
    <w:rsid w:val="001A5E0C"/>
    <w:rsid w:val="001A5ED9"/>
    <w:rsid w:val="001B13FA"/>
    <w:rsid w:val="001B2F2F"/>
    <w:rsid w:val="001B3020"/>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70C4"/>
    <w:rsid w:val="001E7284"/>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3DB"/>
    <w:rsid w:val="00222461"/>
    <w:rsid w:val="00222BEF"/>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E11"/>
    <w:rsid w:val="0025216F"/>
    <w:rsid w:val="00253440"/>
    <w:rsid w:val="002534FF"/>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A029F"/>
    <w:rsid w:val="002A03FF"/>
    <w:rsid w:val="002B1AFB"/>
    <w:rsid w:val="002B32AB"/>
    <w:rsid w:val="002B3597"/>
    <w:rsid w:val="002B50AA"/>
    <w:rsid w:val="002B5C3C"/>
    <w:rsid w:val="002B7FF1"/>
    <w:rsid w:val="002C0076"/>
    <w:rsid w:val="002C0540"/>
    <w:rsid w:val="002C06F9"/>
    <w:rsid w:val="002C1A73"/>
    <w:rsid w:val="002C28EE"/>
    <w:rsid w:val="002C2F10"/>
    <w:rsid w:val="002C32F3"/>
    <w:rsid w:val="002C49B5"/>
    <w:rsid w:val="002C6C6B"/>
    <w:rsid w:val="002C7EA7"/>
    <w:rsid w:val="002D1D08"/>
    <w:rsid w:val="002D23A0"/>
    <w:rsid w:val="002D385B"/>
    <w:rsid w:val="002D388E"/>
    <w:rsid w:val="002D3B3B"/>
    <w:rsid w:val="002D5625"/>
    <w:rsid w:val="002D6479"/>
    <w:rsid w:val="002D6613"/>
    <w:rsid w:val="002D66B0"/>
    <w:rsid w:val="002D6CA6"/>
    <w:rsid w:val="002D6FBF"/>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79D2"/>
    <w:rsid w:val="002F00EA"/>
    <w:rsid w:val="002F1435"/>
    <w:rsid w:val="002F185C"/>
    <w:rsid w:val="002F1A3D"/>
    <w:rsid w:val="002F1AF2"/>
    <w:rsid w:val="002F2A7C"/>
    <w:rsid w:val="002F3399"/>
    <w:rsid w:val="002F37E3"/>
    <w:rsid w:val="002F48CC"/>
    <w:rsid w:val="002F5773"/>
    <w:rsid w:val="002F5777"/>
    <w:rsid w:val="002F5C32"/>
    <w:rsid w:val="002F6B6E"/>
    <w:rsid w:val="002F790F"/>
    <w:rsid w:val="00302925"/>
    <w:rsid w:val="00302ADB"/>
    <w:rsid w:val="003047F3"/>
    <w:rsid w:val="00305225"/>
    <w:rsid w:val="00305247"/>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4116"/>
    <w:rsid w:val="00334C65"/>
    <w:rsid w:val="0033696E"/>
    <w:rsid w:val="00337B66"/>
    <w:rsid w:val="00337F17"/>
    <w:rsid w:val="00337FA7"/>
    <w:rsid w:val="003403BC"/>
    <w:rsid w:val="00343A44"/>
    <w:rsid w:val="00344DB8"/>
    <w:rsid w:val="00345880"/>
    <w:rsid w:val="00346B3E"/>
    <w:rsid w:val="0035023A"/>
    <w:rsid w:val="0035161A"/>
    <w:rsid w:val="003517EF"/>
    <w:rsid w:val="00351809"/>
    <w:rsid w:val="0035241A"/>
    <w:rsid w:val="003525E2"/>
    <w:rsid w:val="00352C99"/>
    <w:rsid w:val="00355A51"/>
    <w:rsid w:val="00356C98"/>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80096"/>
    <w:rsid w:val="00383198"/>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B8E"/>
    <w:rsid w:val="003B7FB8"/>
    <w:rsid w:val="003C00A7"/>
    <w:rsid w:val="003C066D"/>
    <w:rsid w:val="003C3524"/>
    <w:rsid w:val="003C4561"/>
    <w:rsid w:val="003C4840"/>
    <w:rsid w:val="003C4ADB"/>
    <w:rsid w:val="003C5208"/>
    <w:rsid w:val="003C61C2"/>
    <w:rsid w:val="003C6AC9"/>
    <w:rsid w:val="003D00D3"/>
    <w:rsid w:val="003D0364"/>
    <w:rsid w:val="003D0538"/>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CCD"/>
    <w:rsid w:val="003E7D9C"/>
    <w:rsid w:val="003F00EF"/>
    <w:rsid w:val="003F0DB7"/>
    <w:rsid w:val="003F3761"/>
    <w:rsid w:val="003F3A07"/>
    <w:rsid w:val="003F3FE0"/>
    <w:rsid w:val="003F4986"/>
    <w:rsid w:val="003F4D5F"/>
    <w:rsid w:val="003F57B4"/>
    <w:rsid w:val="003F6493"/>
    <w:rsid w:val="003F71F4"/>
    <w:rsid w:val="003F723A"/>
    <w:rsid w:val="003F72BA"/>
    <w:rsid w:val="003F76C5"/>
    <w:rsid w:val="003F7F87"/>
    <w:rsid w:val="00401BD1"/>
    <w:rsid w:val="00404BB8"/>
    <w:rsid w:val="00405234"/>
    <w:rsid w:val="00405B70"/>
    <w:rsid w:val="00405D94"/>
    <w:rsid w:val="00406906"/>
    <w:rsid w:val="004075C8"/>
    <w:rsid w:val="00410472"/>
    <w:rsid w:val="00412F27"/>
    <w:rsid w:val="00413385"/>
    <w:rsid w:val="00413806"/>
    <w:rsid w:val="004139FA"/>
    <w:rsid w:val="00415E63"/>
    <w:rsid w:val="0041673A"/>
    <w:rsid w:val="00416B7A"/>
    <w:rsid w:val="00420E42"/>
    <w:rsid w:val="0042132E"/>
    <w:rsid w:val="0042207B"/>
    <w:rsid w:val="004221FD"/>
    <w:rsid w:val="0042502A"/>
    <w:rsid w:val="00425D5C"/>
    <w:rsid w:val="00426669"/>
    <w:rsid w:val="00427595"/>
    <w:rsid w:val="004275C3"/>
    <w:rsid w:val="004309F3"/>
    <w:rsid w:val="00431DF4"/>
    <w:rsid w:val="004331A0"/>
    <w:rsid w:val="00433DD0"/>
    <w:rsid w:val="00433F66"/>
    <w:rsid w:val="00435ED5"/>
    <w:rsid w:val="0043626A"/>
    <w:rsid w:val="00436A41"/>
    <w:rsid w:val="00437E8A"/>
    <w:rsid w:val="00440471"/>
    <w:rsid w:val="004407C1"/>
    <w:rsid w:val="00440A50"/>
    <w:rsid w:val="00440DAD"/>
    <w:rsid w:val="00441FCD"/>
    <w:rsid w:val="004422ED"/>
    <w:rsid w:val="0044371D"/>
    <w:rsid w:val="004448C4"/>
    <w:rsid w:val="00444D35"/>
    <w:rsid w:val="00444DEE"/>
    <w:rsid w:val="00444F2A"/>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30D"/>
    <w:rsid w:val="00452A32"/>
    <w:rsid w:val="004532E1"/>
    <w:rsid w:val="00453319"/>
    <w:rsid w:val="00454697"/>
    <w:rsid w:val="00454C16"/>
    <w:rsid w:val="004566DA"/>
    <w:rsid w:val="00460A9B"/>
    <w:rsid w:val="00461002"/>
    <w:rsid w:val="00461B31"/>
    <w:rsid w:val="004656F7"/>
    <w:rsid w:val="004663E3"/>
    <w:rsid w:val="00466B5F"/>
    <w:rsid w:val="00466BCC"/>
    <w:rsid w:val="0046767E"/>
    <w:rsid w:val="00471532"/>
    <w:rsid w:val="004747A3"/>
    <w:rsid w:val="004747AA"/>
    <w:rsid w:val="00474849"/>
    <w:rsid w:val="004752A0"/>
    <w:rsid w:val="00476226"/>
    <w:rsid w:val="00476477"/>
    <w:rsid w:val="004765F0"/>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9BF"/>
    <w:rsid w:val="004C5E40"/>
    <w:rsid w:val="004C6AD2"/>
    <w:rsid w:val="004C6F3B"/>
    <w:rsid w:val="004C7048"/>
    <w:rsid w:val="004C7BFF"/>
    <w:rsid w:val="004D0281"/>
    <w:rsid w:val="004D04DF"/>
    <w:rsid w:val="004D11C4"/>
    <w:rsid w:val="004D161A"/>
    <w:rsid w:val="004D26B2"/>
    <w:rsid w:val="004D3431"/>
    <w:rsid w:val="004D3911"/>
    <w:rsid w:val="004D3E32"/>
    <w:rsid w:val="004D7D46"/>
    <w:rsid w:val="004E0288"/>
    <w:rsid w:val="004E0B4B"/>
    <w:rsid w:val="004E1385"/>
    <w:rsid w:val="004E170B"/>
    <w:rsid w:val="004E20DE"/>
    <w:rsid w:val="004E4165"/>
    <w:rsid w:val="004E66F2"/>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1EB8"/>
    <w:rsid w:val="005523C6"/>
    <w:rsid w:val="00552572"/>
    <w:rsid w:val="005555CA"/>
    <w:rsid w:val="00556344"/>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2211"/>
    <w:rsid w:val="0057259D"/>
    <w:rsid w:val="005744CE"/>
    <w:rsid w:val="005747A5"/>
    <w:rsid w:val="00577D9D"/>
    <w:rsid w:val="005824AC"/>
    <w:rsid w:val="005836FE"/>
    <w:rsid w:val="00583C64"/>
    <w:rsid w:val="0058412C"/>
    <w:rsid w:val="005848D4"/>
    <w:rsid w:val="00584F04"/>
    <w:rsid w:val="00584FEF"/>
    <w:rsid w:val="00590AB3"/>
    <w:rsid w:val="00590D09"/>
    <w:rsid w:val="00590D4A"/>
    <w:rsid w:val="00591519"/>
    <w:rsid w:val="00591B38"/>
    <w:rsid w:val="00591D06"/>
    <w:rsid w:val="00594BD6"/>
    <w:rsid w:val="00594FCD"/>
    <w:rsid w:val="0059585C"/>
    <w:rsid w:val="00595FF9"/>
    <w:rsid w:val="0059634F"/>
    <w:rsid w:val="00596E1C"/>
    <w:rsid w:val="0059714F"/>
    <w:rsid w:val="005974F0"/>
    <w:rsid w:val="0059795A"/>
    <w:rsid w:val="005A0F64"/>
    <w:rsid w:val="005A1074"/>
    <w:rsid w:val="005A3BB3"/>
    <w:rsid w:val="005A515B"/>
    <w:rsid w:val="005A670E"/>
    <w:rsid w:val="005B03DA"/>
    <w:rsid w:val="005B0652"/>
    <w:rsid w:val="005B0A3E"/>
    <w:rsid w:val="005B2D4F"/>
    <w:rsid w:val="005B38E1"/>
    <w:rsid w:val="005B446D"/>
    <w:rsid w:val="005B46D6"/>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D10"/>
    <w:rsid w:val="005F6317"/>
    <w:rsid w:val="005F69D4"/>
    <w:rsid w:val="005F6AF3"/>
    <w:rsid w:val="005F6FE0"/>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9CB"/>
    <w:rsid w:val="00631DD1"/>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3BE"/>
    <w:rsid w:val="00647404"/>
    <w:rsid w:val="00647EE8"/>
    <w:rsid w:val="00651FA6"/>
    <w:rsid w:val="00652927"/>
    <w:rsid w:val="00652DCE"/>
    <w:rsid w:val="00652E01"/>
    <w:rsid w:val="006546B4"/>
    <w:rsid w:val="006551DF"/>
    <w:rsid w:val="0065548F"/>
    <w:rsid w:val="00656B14"/>
    <w:rsid w:val="00657E71"/>
    <w:rsid w:val="006617EB"/>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6B70"/>
    <w:rsid w:val="00677D3A"/>
    <w:rsid w:val="00680062"/>
    <w:rsid w:val="00680887"/>
    <w:rsid w:val="00680CC6"/>
    <w:rsid w:val="00681254"/>
    <w:rsid w:val="00681304"/>
    <w:rsid w:val="00681DDD"/>
    <w:rsid w:val="00684171"/>
    <w:rsid w:val="00684208"/>
    <w:rsid w:val="0068466C"/>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5075"/>
    <w:rsid w:val="006C5BBD"/>
    <w:rsid w:val="006C6B66"/>
    <w:rsid w:val="006D04B6"/>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45BD"/>
    <w:rsid w:val="006E5031"/>
    <w:rsid w:val="006E504D"/>
    <w:rsid w:val="006E5963"/>
    <w:rsid w:val="006E6500"/>
    <w:rsid w:val="006F0340"/>
    <w:rsid w:val="006F04D0"/>
    <w:rsid w:val="006F09CB"/>
    <w:rsid w:val="006F0BE7"/>
    <w:rsid w:val="006F22D2"/>
    <w:rsid w:val="006F37B6"/>
    <w:rsid w:val="006F4029"/>
    <w:rsid w:val="006F4C40"/>
    <w:rsid w:val="006F5505"/>
    <w:rsid w:val="006F6DB6"/>
    <w:rsid w:val="006F756D"/>
    <w:rsid w:val="006F77FC"/>
    <w:rsid w:val="00701055"/>
    <w:rsid w:val="00702007"/>
    <w:rsid w:val="007026AC"/>
    <w:rsid w:val="00703652"/>
    <w:rsid w:val="00703FF4"/>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2476"/>
    <w:rsid w:val="00722BDA"/>
    <w:rsid w:val="00723040"/>
    <w:rsid w:val="00723482"/>
    <w:rsid w:val="00723CF1"/>
    <w:rsid w:val="007243AE"/>
    <w:rsid w:val="007245FB"/>
    <w:rsid w:val="007247AD"/>
    <w:rsid w:val="00725115"/>
    <w:rsid w:val="00725D7C"/>
    <w:rsid w:val="00726327"/>
    <w:rsid w:val="00726851"/>
    <w:rsid w:val="00726EBC"/>
    <w:rsid w:val="00727ADB"/>
    <w:rsid w:val="00727FAE"/>
    <w:rsid w:val="0073052A"/>
    <w:rsid w:val="00730815"/>
    <w:rsid w:val="00730A46"/>
    <w:rsid w:val="00731DD1"/>
    <w:rsid w:val="00732F26"/>
    <w:rsid w:val="007347F9"/>
    <w:rsid w:val="00735112"/>
    <w:rsid w:val="007351EB"/>
    <w:rsid w:val="00735E26"/>
    <w:rsid w:val="00736999"/>
    <w:rsid w:val="00736B41"/>
    <w:rsid w:val="007370A0"/>
    <w:rsid w:val="007375F3"/>
    <w:rsid w:val="0073761A"/>
    <w:rsid w:val="00740806"/>
    <w:rsid w:val="00740D4C"/>
    <w:rsid w:val="00741614"/>
    <w:rsid w:val="00741DE0"/>
    <w:rsid w:val="00743514"/>
    <w:rsid w:val="007436CD"/>
    <w:rsid w:val="007517C3"/>
    <w:rsid w:val="007523EF"/>
    <w:rsid w:val="00752636"/>
    <w:rsid w:val="00752BF0"/>
    <w:rsid w:val="00752ECA"/>
    <w:rsid w:val="00753333"/>
    <w:rsid w:val="00753E26"/>
    <w:rsid w:val="00754412"/>
    <w:rsid w:val="00754AD5"/>
    <w:rsid w:val="007563B6"/>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700AF"/>
    <w:rsid w:val="007724D5"/>
    <w:rsid w:val="00772C73"/>
    <w:rsid w:val="0077312E"/>
    <w:rsid w:val="0077397B"/>
    <w:rsid w:val="007739E4"/>
    <w:rsid w:val="00774D74"/>
    <w:rsid w:val="00774E35"/>
    <w:rsid w:val="00774FEA"/>
    <w:rsid w:val="00775253"/>
    <w:rsid w:val="00777799"/>
    <w:rsid w:val="00777BE5"/>
    <w:rsid w:val="00780E1F"/>
    <w:rsid w:val="00781160"/>
    <w:rsid w:val="00781363"/>
    <w:rsid w:val="0078349E"/>
    <w:rsid w:val="0078541A"/>
    <w:rsid w:val="00785BA5"/>
    <w:rsid w:val="00787627"/>
    <w:rsid w:val="00787AE9"/>
    <w:rsid w:val="00790CE0"/>
    <w:rsid w:val="00791513"/>
    <w:rsid w:val="007925F2"/>
    <w:rsid w:val="007929EB"/>
    <w:rsid w:val="00792BEC"/>
    <w:rsid w:val="00794328"/>
    <w:rsid w:val="007949F1"/>
    <w:rsid w:val="00795BAC"/>
    <w:rsid w:val="00797055"/>
    <w:rsid w:val="00797238"/>
    <w:rsid w:val="00797B6D"/>
    <w:rsid w:val="007A00D8"/>
    <w:rsid w:val="007A46C7"/>
    <w:rsid w:val="007A4B6D"/>
    <w:rsid w:val="007A588C"/>
    <w:rsid w:val="007A5BE6"/>
    <w:rsid w:val="007A6495"/>
    <w:rsid w:val="007A6CCE"/>
    <w:rsid w:val="007A7BA1"/>
    <w:rsid w:val="007B0826"/>
    <w:rsid w:val="007B0F92"/>
    <w:rsid w:val="007B1968"/>
    <w:rsid w:val="007B28D1"/>
    <w:rsid w:val="007B2DC2"/>
    <w:rsid w:val="007B35E5"/>
    <w:rsid w:val="007B3C15"/>
    <w:rsid w:val="007B3D59"/>
    <w:rsid w:val="007B64DF"/>
    <w:rsid w:val="007B65EE"/>
    <w:rsid w:val="007B69F7"/>
    <w:rsid w:val="007B744B"/>
    <w:rsid w:val="007B7E1C"/>
    <w:rsid w:val="007C1845"/>
    <w:rsid w:val="007C1889"/>
    <w:rsid w:val="007C1A0F"/>
    <w:rsid w:val="007C218A"/>
    <w:rsid w:val="007C218F"/>
    <w:rsid w:val="007C38CC"/>
    <w:rsid w:val="007C42EF"/>
    <w:rsid w:val="007C60A7"/>
    <w:rsid w:val="007C77BD"/>
    <w:rsid w:val="007C7BF5"/>
    <w:rsid w:val="007D093B"/>
    <w:rsid w:val="007D3A01"/>
    <w:rsid w:val="007D3ABE"/>
    <w:rsid w:val="007D625F"/>
    <w:rsid w:val="007D6EC7"/>
    <w:rsid w:val="007D7DB5"/>
    <w:rsid w:val="007E00D8"/>
    <w:rsid w:val="007E03B4"/>
    <w:rsid w:val="007E068D"/>
    <w:rsid w:val="007E19FD"/>
    <w:rsid w:val="007E1E4C"/>
    <w:rsid w:val="007E3B97"/>
    <w:rsid w:val="007E40D0"/>
    <w:rsid w:val="007E450E"/>
    <w:rsid w:val="007E499A"/>
    <w:rsid w:val="007E6486"/>
    <w:rsid w:val="007E7F5A"/>
    <w:rsid w:val="007F0306"/>
    <w:rsid w:val="007F0DA8"/>
    <w:rsid w:val="007F23B4"/>
    <w:rsid w:val="007F2411"/>
    <w:rsid w:val="007F26ED"/>
    <w:rsid w:val="007F330B"/>
    <w:rsid w:val="007F667E"/>
    <w:rsid w:val="007F6AC3"/>
    <w:rsid w:val="007F71ED"/>
    <w:rsid w:val="007F7773"/>
    <w:rsid w:val="0080049F"/>
    <w:rsid w:val="0080068A"/>
    <w:rsid w:val="00803997"/>
    <w:rsid w:val="0080408C"/>
    <w:rsid w:val="008046A4"/>
    <w:rsid w:val="00804881"/>
    <w:rsid w:val="00804EA3"/>
    <w:rsid w:val="00804FCF"/>
    <w:rsid w:val="00805941"/>
    <w:rsid w:val="00805CC9"/>
    <w:rsid w:val="00806129"/>
    <w:rsid w:val="00811C36"/>
    <w:rsid w:val="0081235A"/>
    <w:rsid w:val="00812AF1"/>
    <w:rsid w:val="00814DFA"/>
    <w:rsid w:val="00815137"/>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5170"/>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209E"/>
    <w:rsid w:val="00842733"/>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903E4"/>
    <w:rsid w:val="00890671"/>
    <w:rsid w:val="00891131"/>
    <w:rsid w:val="00891CFD"/>
    <w:rsid w:val="008920FF"/>
    <w:rsid w:val="00893320"/>
    <w:rsid w:val="00893508"/>
    <w:rsid w:val="00893F57"/>
    <w:rsid w:val="008942C0"/>
    <w:rsid w:val="00895D84"/>
    <w:rsid w:val="008960A3"/>
    <w:rsid w:val="008A01A0"/>
    <w:rsid w:val="008A07DA"/>
    <w:rsid w:val="008A0E33"/>
    <w:rsid w:val="008A250E"/>
    <w:rsid w:val="008A2630"/>
    <w:rsid w:val="008A2642"/>
    <w:rsid w:val="008A3081"/>
    <w:rsid w:val="008A5F7A"/>
    <w:rsid w:val="008A6209"/>
    <w:rsid w:val="008A6B3D"/>
    <w:rsid w:val="008A772F"/>
    <w:rsid w:val="008B07CD"/>
    <w:rsid w:val="008B0A17"/>
    <w:rsid w:val="008B0B1A"/>
    <w:rsid w:val="008B240D"/>
    <w:rsid w:val="008B2948"/>
    <w:rsid w:val="008B2E44"/>
    <w:rsid w:val="008B375A"/>
    <w:rsid w:val="008B3B0E"/>
    <w:rsid w:val="008B4639"/>
    <w:rsid w:val="008B48E6"/>
    <w:rsid w:val="008B6CDD"/>
    <w:rsid w:val="008C02BF"/>
    <w:rsid w:val="008C1420"/>
    <w:rsid w:val="008C2257"/>
    <w:rsid w:val="008C2343"/>
    <w:rsid w:val="008C27A0"/>
    <w:rsid w:val="008C2881"/>
    <w:rsid w:val="008C30D6"/>
    <w:rsid w:val="008C38B5"/>
    <w:rsid w:val="008C3CA8"/>
    <w:rsid w:val="008C42E4"/>
    <w:rsid w:val="008C45A3"/>
    <w:rsid w:val="008C4E8C"/>
    <w:rsid w:val="008C5C2A"/>
    <w:rsid w:val="008C71A1"/>
    <w:rsid w:val="008D095E"/>
    <w:rsid w:val="008D175D"/>
    <w:rsid w:val="008D4BF4"/>
    <w:rsid w:val="008D5395"/>
    <w:rsid w:val="008D5AED"/>
    <w:rsid w:val="008D77E8"/>
    <w:rsid w:val="008E1ED8"/>
    <w:rsid w:val="008E205D"/>
    <w:rsid w:val="008E2A97"/>
    <w:rsid w:val="008E3801"/>
    <w:rsid w:val="008E6837"/>
    <w:rsid w:val="008E6BA7"/>
    <w:rsid w:val="008E6EBF"/>
    <w:rsid w:val="008F0614"/>
    <w:rsid w:val="008F0647"/>
    <w:rsid w:val="008F086A"/>
    <w:rsid w:val="008F1AA4"/>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517E"/>
    <w:rsid w:val="00915BAB"/>
    <w:rsid w:val="00915C25"/>
    <w:rsid w:val="00915D01"/>
    <w:rsid w:val="00915D8F"/>
    <w:rsid w:val="00915F0C"/>
    <w:rsid w:val="009171E9"/>
    <w:rsid w:val="00920A78"/>
    <w:rsid w:val="0092182B"/>
    <w:rsid w:val="00921D1D"/>
    <w:rsid w:val="009238F0"/>
    <w:rsid w:val="009246F6"/>
    <w:rsid w:val="009261D6"/>
    <w:rsid w:val="00927E5B"/>
    <w:rsid w:val="009330D9"/>
    <w:rsid w:val="009348B7"/>
    <w:rsid w:val="00936916"/>
    <w:rsid w:val="00936AE0"/>
    <w:rsid w:val="00936DDA"/>
    <w:rsid w:val="00937A2A"/>
    <w:rsid w:val="0094032A"/>
    <w:rsid w:val="00940E0E"/>
    <w:rsid w:val="009413C1"/>
    <w:rsid w:val="00941A7F"/>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5D3"/>
    <w:rsid w:val="00957BEE"/>
    <w:rsid w:val="00961B06"/>
    <w:rsid w:val="00962621"/>
    <w:rsid w:val="00962DEC"/>
    <w:rsid w:val="0096395C"/>
    <w:rsid w:val="00970170"/>
    <w:rsid w:val="009705F3"/>
    <w:rsid w:val="009706EA"/>
    <w:rsid w:val="00970ABD"/>
    <w:rsid w:val="00970D31"/>
    <w:rsid w:val="00970F79"/>
    <w:rsid w:val="009721B7"/>
    <w:rsid w:val="009742DA"/>
    <w:rsid w:val="00974BD2"/>
    <w:rsid w:val="0097518F"/>
    <w:rsid w:val="00975670"/>
    <w:rsid w:val="00976512"/>
    <w:rsid w:val="009766A4"/>
    <w:rsid w:val="009766C5"/>
    <w:rsid w:val="00977111"/>
    <w:rsid w:val="009772BB"/>
    <w:rsid w:val="009773E6"/>
    <w:rsid w:val="009776BE"/>
    <w:rsid w:val="0097794B"/>
    <w:rsid w:val="00980467"/>
    <w:rsid w:val="00980B6C"/>
    <w:rsid w:val="00982180"/>
    <w:rsid w:val="009824FA"/>
    <w:rsid w:val="00982CEC"/>
    <w:rsid w:val="00983DE6"/>
    <w:rsid w:val="00984718"/>
    <w:rsid w:val="00985064"/>
    <w:rsid w:val="0098509F"/>
    <w:rsid w:val="00985889"/>
    <w:rsid w:val="0098621D"/>
    <w:rsid w:val="009877AD"/>
    <w:rsid w:val="00987DC9"/>
    <w:rsid w:val="00987F1B"/>
    <w:rsid w:val="00990C31"/>
    <w:rsid w:val="009910A5"/>
    <w:rsid w:val="009923DE"/>
    <w:rsid w:val="009931FB"/>
    <w:rsid w:val="009940FA"/>
    <w:rsid w:val="00994B80"/>
    <w:rsid w:val="00994D3D"/>
    <w:rsid w:val="00995A81"/>
    <w:rsid w:val="00995DAB"/>
    <w:rsid w:val="009962E8"/>
    <w:rsid w:val="009972B5"/>
    <w:rsid w:val="009A0912"/>
    <w:rsid w:val="009A096E"/>
    <w:rsid w:val="009A29B9"/>
    <w:rsid w:val="009A314E"/>
    <w:rsid w:val="009A331C"/>
    <w:rsid w:val="009A37D9"/>
    <w:rsid w:val="009A472A"/>
    <w:rsid w:val="009A4C5E"/>
    <w:rsid w:val="009A558A"/>
    <w:rsid w:val="009A6FF7"/>
    <w:rsid w:val="009A70C4"/>
    <w:rsid w:val="009A7117"/>
    <w:rsid w:val="009B0F3D"/>
    <w:rsid w:val="009B13B3"/>
    <w:rsid w:val="009B1A58"/>
    <w:rsid w:val="009B3149"/>
    <w:rsid w:val="009B34EA"/>
    <w:rsid w:val="009B45AF"/>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332C"/>
    <w:rsid w:val="009D382E"/>
    <w:rsid w:val="009D3B43"/>
    <w:rsid w:val="009D4B6B"/>
    <w:rsid w:val="009D4B82"/>
    <w:rsid w:val="009D4E91"/>
    <w:rsid w:val="009D6C3F"/>
    <w:rsid w:val="009D78A5"/>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E16"/>
    <w:rsid w:val="00A41A7F"/>
    <w:rsid w:val="00A432DE"/>
    <w:rsid w:val="00A43794"/>
    <w:rsid w:val="00A43C67"/>
    <w:rsid w:val="00A43E83"/>
    <w:rsid w:val="00A44CFC"/>
    <w:rsid w:val="00A44E63"/>
    <w:rsid w:val="00A45A7B"/>
    <w:rsid w:val="00A46E19"/>
    <w:rsid w:val="00A47CDF"/>
    <w:rsid w:val="00A51756"/>
    <w:rsid w:val="00A52A8F"/>
    <w:rsid w:val="00A5333F"/>
    <w:rsid w:val="00A54160"/>
    <w:rsid w:val="00A55656"/>
    <w:rsid w:val="00A5617D"/>
    <w:rsid w:val="00A569CF"/>
    <w:rsid w:val="00A57DC3"/>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7E66"/>
    <w:rsid w:val="00AA033F"/>
    <w:rsid w:val="00AA2EB4"/>
    <w:rsid w:val="00AA31ED"/>
    <w:rsid w:val="00AA4F37"/>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FBD"/>
    <w:rsid w:val="00AC0BAE"/>
    <w:rsid w:val="00AC2520"/>
    <w:rsid w:val="00AC37A0"/>
    <w:rsid w:val="00AC5118"/>
    <w:rsid w:val="00AC5BD2"/>
    <w:rsid w:val="00AC5D8B"/>
    <w:rsid w:val="00AC67A8"/>
    <w:rsid w:val="00AD09B1"/>
    <w:rsid w:val="00AD0AF5"/>
    <w:rsid w:val="00AD0F2F"/>
    <w:rsid w:val="00AD21DC"/>
    <w:rsid w:val="00AD236F"/>
    <w:rsid w:val="00AD2838"/>
    <w:rsid w:val="00AD2953"/>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F63"/>
    <w:rsid w:val="00AE3883"/>
    <w:rsid w:val="00AE3A53"/>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2BBB"/>
    <w:rsid w:val="00B02C5D"/>
    <w:rsid w:val="00B0302E"/>
    <w:rsid w:val="00B032F6"/>
    <w:rsid w:val="00B04257"/>
    <w:rsid w:val="00B04CD8"/>
    <w:rsid w:val="00B114E6"/>
    <w:rsid w:val="00B121A3"/>
    <w:rsid w:val="00B12798"/>
    <w:rsid w:val="00B1324E"/>
    <w:rsid w:val="00B14887"/>
    <w:rsid w:val="00B14AE9"/>
    <w:rsid w:val="00B15381"/>
    <w:rsid w:val="00B15466"/>
    <w:rsid w:val="00B15DB6"/>
    <w:rsid w:val="00B16AFA"/>
    <w:rsid w:val="00B17329"/>
    <w:rsid w:val="00B17FF5"/>
    <w:rsid w:val="00B20CCA"/>
    <w:rsid w:val="00B21CB1"/>
    <w:rsid w:val="00B22A5A"/>
    <w:rsid w:val="00B23727"/>
    <w:rsid w:val="00B23B1E"/>
    <w:rsid w:val="00B24B24"/>
    <w:rsid w:val="00B25FC5"/>
    <w:rsid w:val="00B25FE9"/>
    <w:rsid w:val="00B26597"/>
    <w:rsid w:val="00B300DF"/>
    <w:rsid w:val="00B30156"/>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D46"/>
    <w:rsid w:val="00B41D90"/>
    <w:rsid w:val="00B42A28"/>
    <w:rsid w:val="00B42BAA"/>
    <w:rsid w:val="00B4412D"/>
    <w:rsid w:val="00B44EAB"/>
    <w:rsid w:val="00B4585A"/>
    <w:rsid w:val="00B45A37"/>
    <w:rsid w:val="00B45B4E"/>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4813"/>
    <w:rsid w:val="00B7495B"/>
    <w:rsid w:val="00B756E8"/>
    <w:rsid w:val="00B75F12"/>
    <w:rsid w:val="00B75F51"/>
    <w:rsid w:val="00B80B78"/>
    <w:rsid w:val="00B80EFC"/>
    <w:rsid w:val="00B81447"/>
    <w:rsid w:val="00B81A36"/>
    <w:rsid w:val="00B81C74"/>
    <w:rsid w:val="00B82500"/>
    <w:rsid w:val="00B82825"/>
    <w:rsid w:val="00B82B47"/>
    <w:rsid w:val="00B831DB"/>
    <w:rsid w:val="00B8449C"/>
    <w:rsid w:val="00B868F6"/>
    <w:rsid w:val="00B87C06"/>
    <w:rsid w:val="00B90283"/>
    <w:rsid w:val="00B90565"/>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B54"/>
    <w:rsid w:val="00BA4E1E"/>
    <w:rsid w:val="00BA5210"/>
    <w:rsid w:val="00BA5535"/>
    <w:rsid w:val="00BA68D3"/>
    <w:rsid w:val="00BA69AC"/>
    <w:rsid w:val="00BB0C75"/>
    <w:rsid w:val="00BB1269"/>
    <w:rsid w:val="00BB1D39"/>
    <w:rsid w:val="00BB2BC6"/>
    <w:rsid w:val="00BB32A4"/>
    <w:rsid w:val="00BB545B"/>
    <w:rsid w:val="00BB54AC"/>
    <w:rsid w:val="00BB54B2"/>
    <w:rsid w:val="00BB6FE8"/>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7C81"/>
    <w:rsid w:val="00BD7F95"/>
    <w:rsid w:val="00BE05FB"/>
    <w:rsid w:val="00BE0DF9"/>
    <w:rsid w:val="00BE0F8A"/>
    <w:rsid w:val="00BE1CA3"/>
    <w:rsid w:val="00BE2ACB"/>
    <w:rsid w:val="00BE4CDE"/>
    <w:rsid w:val="00BE5527"/>
    <w:rsid w:val="00BE5ECF"/>
    <w:rsid w:val="00BE6255"/>
    <w:rsid w:val="00BE6BD1"/>
    <w:rsid w:val="00BE74CA"/>
    <w:rsid w:val="00BF02F1"/>
    <w:rsid w:val="00BF11AA"/>
    <w:rsid w:val="00BF1204"/>
    <w:rsid w:val="00BF20BC"/>
    <w:rsid w:val="00BF2294"/>
    <w:rsid w:val="00BF34A1"/>
    <w:rsid w:val="00BF34C8"/>
    <w:rsid w:val="00BF38BE"/>
    <w:rsid w:val="00BF3C19"/>
    <w:rsid w:val="00BF3F98"/>
    <w:rsid w:val="00BF4026"/>
    <w:rsid w:val="00BF41EC"/>
    <w:rsid w:val="00BF46A1"/>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16640"/>
    <w:rsid w:val="00C21302"/>
    <w:rsid w:val="00C21745"/>
    <w:rsid w:val="00C22C7A"/>
    <w:rsid w:val="00C22D80"/>
    <w:rsid w:val="00C234B0"/>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7D7B"/>
    <w:rsid w:val="00C529AC"/>
    <w:rsid w:val="00C5349C"/>
    <w:rsid w:val="00C53E45"/>
    <w:rsid w:val="00C54222"/>
    <w:rsid w:val="00C54B70"/>
    <w:rsid w:val="00C54E65"/>
    <w:rsid w:val="00C553F8"/>
    <w:rsid w:val="00C558F7"/>
    <w:rsid w:val="00C55CC2"/>
    <w:rsid w:val="00C55CD4"/>
    <w:rsid w:val="00C56093"/>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5075"/>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3AA"/>
    <w:rsid w:val="00C97622"/>
    <w:rsid w:val="00C9766F"/>
    <w:rsid w:val="00C97ED9"/>
    <w:rsid w:val="00CA02B3"/>
    <w:rsid w:val="00CA1D84"/>
    <w:rsid w:val="00CA2ECC"/>
    <w:rsid w:val="00CA37C4"/>
    <w:rsid w:val="00CA38C5"/>
    <w:rsid w:val="00CA3BFB"/>
    <w:rsid w:val="00CA3EA3"/>
    <w:rsid w:val="00CA4399"/>
    <w:rsid w:val="00CA4597"/>
    <w:rsid w:val="00CA4E1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208B"/>
    <w:rsid w:val="00CC2151"/>
    <w:rsid w:val="00CC24BE"/>
    <w:rsid w:val="00CC2B63"/>
    <w:rsid w:val="00CC329B"/>
    <w:rsid w:val="00CC395F"/>
    <w:rsid w:val="00CC5EE3"/>
    <w:rsid w:val="00CC6894"/>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A7C"/>
    <w:rsid w:val="00CE4913"/>
    <w:rsid w:val="00CE57EA"/>
    <w:rsid w:val="00CE58C0"/>
    <w:rsid w:val="00CE6165"/>
    <w:rsid w:val="00CE66AD"/>
    <w:rsid w:val="00CE7753"/>
    <w:rsid w:val="00CF2A12"/>
    <w:rsid w:val="00CF2EE7"/>
    <w:rsid w:val="00CF3D78"/>
    <w:rsid w:val="00CF560A"/>
    <w:rsid w:val="00CF58F5"/>
    <w:rsid w:val="00CF6000"/>
    <w:rsid w:val="00CF69D4"/>
    <w:rsid w:val="00CF71B1"/>
    <w:rsid w:val="00D007B5"/>
    <w:rsid w:val="00D00FE0"/>
    <w:rsid w:val="00D01353"/>
    <w:rsid w:val="00D01438"/>
    <w:rsid w:val="00D014C1"/>
    <w:rsid w:val="00D01BE8"/>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2001"/>
    <w:rsid w:val="00D22E23"/>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971"/>
    <w:rsid w:val="00D41D29"/>
    <w:rsid w:val="00D42B47"/>
    <w:rsid w:val="00D43A60"/>
    <w:rsid w:val="00D43EF1"/>
    <w:rsid w:val="00D44058"/>
    <w:rsid w:val="00D446DE"/>
    <w:rsid w:val="00D44F52"/>
    <w:rsid w:val="00D45D8B"/>
    <w:rsid w:val="00D466C6"/>
    <w:rsid w:val="00D473C8"/>
    <w:rsid w:val="00D47B5F"/>
    <w:rsid w:val="00D503AA"/>
    <w:rsid w:val="00D51933"/>
    <w:rsid w:val="00D522BC"/>
    <w:rsid w:val="00D543EA"/>
    <w:rsid w:val="00D5494D"/>
    <w:rsid w:val="00D56D0C"/>
    <w:rsid w:val="00D57D71"/>
    <w:rsid w:val="00D57D9E"/>
    <w:rsid w:val="00D60082"/>
    <w:rsid w:val="00D617ED"/>
    <w:rsid w:val="00D61FA2"/>
    <w:rsid w:val="00D65002"/>
    <w:rsid w:val="00D65092"/>
    <w:rsid w:val="00D658D3"/>
    <w:rsid w:val="00D66608"/>
    <w:rsid w:val="00D66AF1"/>
    <w:rsid w:val="00D677F2"/>
    <w:rsid w:val="00D70540"/>
    <w:rsid w:val="00D70565"/>
    <w:rsid w:val="00D70940"/>
    <w:rsid w:val="00D717A9"/>
    <w:rsid w:val="00D71B81"/>
    <w:rsid w:val="00D71FD7"/>
    <w:rsid w:val="00D722B5"/>
    <w:rsid w:val="00D72414"/>
    <w:rsid w:val="00D740E1"/>
    <w:rsid w:val="00D74103"/>
    <w:rsid w:val="00D74409"/>
    <w:rsid w:val="00D75685"/>
    <w:rsid w:val="00D760CF"/>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4EC"/>
    <w:rsid w:val="00D87179"/>
    <w:rsid w:val="00D8776E"/>
    <w:rsid w:val="00D91AFA"/>
    <w:rsid w:val="00D92C3A"/>
    <w:rsid w:val="00D93033"/>
    <w:rsid w:val="00D93F9E"/>
    <w:rsid w:val="00D94BBF"/>
    <w:rsid w:val="00D96BAF"/>
    <w:rsid w:val="00D9731C"/>
    <w:rsid w:val="00DA0505"/>
    <w:rsid w:val="00DA260C"/>
    <w:rsid w:val="00DA2F61"/>
    <w:rsid w:val="00DA3538"/>
    <w:rsid w:val="00DA4167"/>
    <w:rsid w:val="00DA418C"/>
    <w:rsid w:val="00DA46CC"/>
    <w:rsid w:val="00DA4707"/>
    <w:rsid w:val="00DA4B97"/>
    <w:rsid w:val="00DA4E4C"/>
    <w:rsid w:val="00DA5889"/>
    <w:rsid w:val="00DA6FD5"/>
    <w:rsid w:val="00DB0891"/>
    <w:rsid w:val="00DB0EF6"/>
    <w:rsid w:val="00DB1626"/>
    <w:rsid w:val="00DB225C"/>
    <w:rsid w:val="00DB3567"/>
    <w:rsid w:val="00DB3CDA"/>
    <w:rsid w:val="00DB4114"/>
    <w:rsid w:val="00DB56C4"/>
    <w:rsid w:val="00DB5DD5"/>
    <w:rsid w:val="00DB640F"/>
    <w:rsid w:val="00DB714A"/>
    <w:rsid w:val="00DB7D29"/>
    <w:rsid w:val="00DC0CE9"/>
    <w:rsid w:val="00DC102C"/>
    <w:rsid w:val="00DC2180"/>
    <w:rsid w:val="00DC2F64"/>
    <w:rsid w:val="00DC43BF"/>
    <w:rsid w:val="00DC5552"/>
    <w:rsid w:val="00DC60AB"/>
    <w:rsid w:val="00DC74F4"/>
    <w:rsid w:val="00DC7F64"/>
    <w:rsid w:val="00DD25E8"/>
    <w:rsid w:val="00DD319A"/>
    <w:rsid w:val="00DD3E96"/>
    <w:rsid w:val="00DD4830"/>
    <w:rsid w:val="00DD4CCA"/>
    <w:rsid w:val="00DD55C0"/>
    <w:rsid w:val="00DD7C31"/>
    <w:rsid w:val="00DE0F22"/>
    <w:rsid w:val="00DE16C9"/>
    <w:rsid w:val="00DE1903"/>
    <w:rsid w:val="00DE2C0E"/>
    <w:rsid w:val="00DE42FC"/>
    <w:rsid w:val="00DE5197"/>
    <w:rsid w:val="00DE51CC"/>
    <w:rsid w:val="00DE5A2A"/>
    <w:rsid w:val="00DF01FC"/>
    <w:rsid w:val="00DF1003"/>
    <w:rsid w:val="00DF12E5"/>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B1B"/>
    <w:rsid w:val="00E220AC"/>
    <w:rsid w:val="00E24BF7"/>
    <w:rsid w:val="00E25593"/>
    <w:rsid w:val="00E26A56"/>
    <w:rsid w:val="00E273F8"/>
    <w:rsid w:val="00E30157"/>
    <w:rsid w:val="00E31F60"/>
    <w:rsid w:val="00E3694C"/>
    <w:rsid w:val="00E36D09"/>
    <w:rsid w:val="00E37227"/>
    <w:rsid w:val="00E3774F"/>
    <w:rsid w:val="00E416BA"/>
    <w:rsid w:val="00E41701"/>
    <w:rsid w:val="00E4225E"/>
    <w:rsid w:val="00E42E38"/>
    <w:rsid w:val="00E4574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F"/>
    <w:rsid w:val="00E61E9A"/>
    <w:rsid w:val="00E6254D"/>
    <w:rsid w:val="00E627A2"/>
    <w:rsid w:val="00E62A49"/>
    <w:rsid w:val="00E62DE7"/>
    <w:rsid w:val="00E63FD4"/>
    <w:rsid w:val="00E64D68"/>
    <w:rsid w:val="00E65B6B"/>
    <w:rsid w:val="00E66B76"/>
    <w:rsid w:val="00E66F14"/>
    <w:rsid w:val="00E67E6D"/>
    <w:rsid w:val="00E70338"/>
    <w:rsid w:val="00E71FA7"/>
    <w:rsid w:val="00E73761"/>
    <w:rsid w:val="00E75198"/>
    <w:rsid w:val="00E764D5"/>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EE2"/>
    <w:rsid w:val="00EC1D81"/>
    <w:rsid w:val="00EC2532"/>
    <w:rsid w:val="00EC389B"/>
    <w:rsid w:val="00EC3AE7"/>
    <w:rsid w:val="00EC42E2"/>
    <w:rsid w:val="00EC4912"/>
    <w:rsid w:val="00EC4B22"/>
    <w:rsid w:val="00EC6387"/>
    <w:rsid w:val="00EC6DDA"/>
    <w:rsid w:val="00EC74F8"/>
    <w:rsid w:val="00ED10F2"/>
    <w:rsid w:val="00ED46E3"/>
    <w:rsid w:val="00ED54AE"/>
    <w:rsid w:val="00ED5BB4"/>
    <w:rsid w:val="00ED62CD"/>
    <w:rsid w:val="00ED633A"/>
    <w:rsid w:val="00ED660E"/>
    <w:rsid w:val="00ED70B4"/>
    <w:rsid w:val="00ED721E"/>
    <w:rsid w:val="00EE02F9"/>
    <w:rsid w:val="00EE08F7"/>
    <w:rsid w:val="00EE242D"/>
    <w:rsid w:val="00EE24E3"/>
    <w:rsid w:val="00EE42BD"/>
    <w:rsid w:val="00EE4A3F"/>
    <w:rsid w:val="00EE4D5F"/>
    <w:rsid w:val="00EE5844"/>
    <w:rsid w:val="00EE6788"/>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585A"/>
    <w:rsid w:val="00F1645E"/>
    <w:rsid w:val="00F16E94"/>
    <w:rsid w:val="00F21014"/>
    <w:rsid w:val="00F22032"/>
    <w:rsid w:val="00F23E89"/>
    <w:rsid w:val="00F2493D"/>
    <w:rsid w:val="00F24EF3"/>
    <w:rsid w:val="00F25D7F"/>
    <w:rsid w:val="00F27BE0"/>
    <w:rsid w:val="00F27D41"/>
    <w:rsid w:val="00F300E4"/>
    <w:rsid w:val="00F30245"/>
    <w:rsid w:val="00F30714"/>
    <w:rsid w:val="00F31AF3"/>
    <w:rsid w:val="00F32071"/>
    <w:rsid w:val="00F32D93"/>
    <w:rsid w:val="00F335AF"/>
    <w:rsid w:val="00F34224"/>
    <w:rsid w:val="00F34A77"/>
    <w:rsid w:val="00F353C3"/>
    <w:rsid w:val="00F353ED"/>
    <w:rsid w:val="00F36434"/>
    <w:rsid w:val="00F36FCD"/>
    <w:rsid w:val="00F4113E"/>
    <w:rsid w:val="00F416D9"/>
    <w:rsid w:val="00F4296A"/>
    <w:rsid w:val="00F42D10"/>
    <w:rsid w:val="00F43037"/>
    <w:rsid w:val="00F44263"/>
    <w:rsid w:val="00F4477C"/>
    <w:rsid w:val="00F448AB"/>
    <w:rsid w:val="00F45097"/>
    <w:rsid w:val="00F454F9"/>
    <w:rsid w:val="00F456CD"/>
    <w:rsid w:val="00F4625B"/>
    <w:rsid w:val="00F46E89"/>
    <w:rsid w:val="00F474C2"/>
    <w:rsid w:val="00F47974"/>
    <w:rsid w:val="00F50A94"/>
    <w:rsid w:val="00F510EA"/>
    <w:rsid w:val="00F539C0"/>
    <w:rsid w:val="00F53FE4"/>
    <w:rsid w:val="00F5466C"/>
    <w:rsid w:val="00F556AE"/>
    <w:rsid w:val="00F55905"/>
    <w:rsid w:val="00F5597E"/>
    <w:rsid w:val="00F55AE6"/>
    <w:rsid w:val="00F56568"/>
    <w:rsid w:val="00F576FD"/>
    <w:rsid w:val="00F57B2A"/>
    <w:rsid w:val="00F61265"/>
    <w:rsid w:val="00F615A8"/>
    <w:rsid w:val="00F617FE"/>
    <w:rsid w:val="00F6269F"/>
    <w:rsid w:val="00F64CD2"/>
    <w:rsid w:val="00F6687C"/>
    <w:rsid w:val="00F66F56"/>
    <w:rsid w:val="00F670F8"/>
    <w:rsid w:val="00F6771B"/>
    <w:rsid w:val="00F71E96"/>
    <w:rsid w:val="00F72342"/>
    <w:rsid w:val="00F72F75"/>
    <w:rsid w:val="00F7319E"/>
    <w:rsid w:val="00F73EC9"/>
    <w:rsid w:val="00F74021"/>
    <w:rsid w:val="00F74406"/>
    <w:rsid w:val="00F74857"/>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3E85"/>
    <w:rsid w:val="00FA3F34"/>
    <w:rsid w:val="00FA42E7"/>
    <w:rsid w:val="00FA58F7"/>
    <w:rsid w:val="00FA5A6B"/>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A94"/>
    <w:rsid w:val="00FC7FDD"/>
    <w:rsid w:val="00FD0932"/>
    <w:rsid w:val="00FD0D00"/>
    <w:rsid w:val="00FD156D"/>
    <w:rsid w:val="00FD1CD2"/>
    <w:rsid w:val="00FD3ACC"/>
    <w:rsid w:val="00FD4138"/>
    <w:rsid w:val="00FD4572"/>
    <w:rsid w:val="00FD624C"/>
    <w:rsid w:val="00FD6F4E"/>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8496"/>
  <w15:docId w15:val="{1AEA3E74-08FA-4D8C-9F08-3F9DCFAA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aliases w:val="H1,h1,app heading 1,l1,Memo Heading 1,h11,h12,h13,h14,h15,h16"/>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aliases w:val="H2,Head2A,2,h2,UNDERRUBRIK 1-2,DO NOT USE_h2,h21,H2 Char,h2 Char"/>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ListNumber3">
    <w:name w:val="List Number 3"/>
    <w:basedOn w:val="Normal"/>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Pr>
      <w:rFonts w:ascii="Times New Roman" w:eastAsia="Malgun Gothic" w:hAnsi="Times New Roman" w:cs="Batang"/>
      <w:szCs w:val="20"/>
      <w:lang w:val="en-GB"/>
    </w:rPr>
  </w:style>
  <w:style w:type="character" w:customStyle="1" w:styleId="CaptionChar">
    <w:name w:val="Caption Char"/>
    <w:link w:val="Caption"/>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2 Char1,Head2A Char,2 Char,h2 Char1,UNDERRUBRIK 1-2 Char,DO NOT USE_h2 Char,h21 Char,H2 Char Char,h2 Char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pPr>
      <w:numPr>
        <w:numId w:val="7"/>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rPr>
      <w:lang w:eastAsia="ja-JP"/>
    </w:rPr>
  </w:style>
  <w:style w:type="character" w:customStyle="1" w:styleId="3Char1">
    <w:name w:val="본문 들여쓰기 3 Char1"/>
    <w:basedOn w:val="DefaultParagraphFont"/>
    <w:uiPriority w:val="99"/>
    <w:semiHidden/>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1"/>
      </w:numPr>
      <w:tabs>
        <w:tab w:val="clear" w:pos="360"/>
      </w:tabs>
      <w:spacing w:after="120"/>
    </w:pPr>
    <w:rPr>
      <w:rFonts w:eastAsia="MS Mincho"/>
      <w:lang w:val="en-US"/>
    </w:rPr>
  </w:style>
  <w:style w:type="paragraph" w:customStyle="1" w:styleId="normalpuce">
    <w:name w:val="normal puce"/>
    <w:basedOn w:val="Normal"/>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paragraph" w:customStyle="1" w:styleId="tdoc-header">
    <w:name w:val="tdoc-header"/>
    <w:rPr>
      <w:rFonts w:ascii="Arial"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rPr>
      <w:rFonts w:ascii="Times" w:eastAsia="Batang" w:hAnsi="Times" w:cs="Times New Roman"/>
      <w:sz w:val="20"/>
      <w:szCs w:val="24"/>
      <w:lang w:val="zh-CN"/>
    </w:rPr>
  </w:style>
  <w:style w:type="character" w:customStyle="1" w:styleId="bullet3Char">
    <w:name w:val="bullet3 Char"/>
    <w:link w:val="bullet3"/>
    <w:rPr>
      <w:rFonts w:ascii="Times" w:eastAsia="Batang" w:hAnsi="Times" w:cs="Times New Roman"/>
      <w:sz w:val="20"/>
      <w:szCs w:val="24"/>
      <w:lang w:val="zh-CN"/>
    </w:rPr>
  </w:style>
  <w:style w:type="character" w:customStyle="1" w:styleId="bullet4Char">
    <w:name w:val="bullet4 Char"/>
    <w:link w:val="bullet4"/>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Pr>
      <w:rFonts w:ascii="Times New Roman" w:hAnsi="Times New Roman" w:cs="Times New Roman"/>
      <w:b/>
      <w:bCs/>
      <w:sz w:val="20"/>
      <w:szCs w:val="20"/>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pPr>
    <w:rPr>
      <w:rFonts w:ascii="Times New Roman" w:eastAsia="Times New Roman" w:hAnsi="Times New Roman" w:cs="Times New Roman"/>
      <w:sz w:val="20"/>
      <w:szCs w:val="24"/>
    </w:rPr>
  </w:style>
  <w:style w:type="character" w:customStyle="1" w:styleId="bulletChar">
    <w:name w:val="bullet Char"/>
    <w:link w:val="bulle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ind w:firstLine="420"/>
      <w:jc w:val="both"/>
    </w:pPr>
    <w:rPr>
      <w:rFonts w:eastAsia="SimSun"/>
      <w:kern w:val="2"/>
      <w:sz w:val="21"/>
      <w:szCs w:val="20"/>
      <w:lang w:eastAsia="zh-CN"/>
    </w:rPr>
  </w:style>
  <w:style w:type="paragraph" w:customStyle="1" w:styleId="a0">
    <w:name w:val="表格文字居左"/>
    <w:basedOn w:val="Normal"/>
    <w:next w:val="Normal"/>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Pr>
      <w:rFonts w:ascii="Times New Roman" w:hAnsi="Times New Roman" w:cs="Times New Roman"/>
      <w:sz w:val="20"/>
      <w:szCs w:val="20"/>
      <w:lang w:eastAsia="zh-CN"/>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rPr>
      <w:rFonts w:ascii="Times New Roman" w:eastAsia="MS Mincho" w:hAnsi="Times New Roman" w:cs="Times New Roman"/>
      <w:szCs w:val="24"/>
      <w:lang w:eastAsia="zh-CN"/>
    </w:rPr>
  </w:style>
  <w:style w:type="table" w:customStyle="1" w:styleId="11">
    <w:name w:val="网格型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Pr>
      <w:rFonts w:ascii="Calibri Light" w:hAnsi="Calibri Light"/>
      <w:b/>
      <w:i/>
      <w:iCs/>
      <w:color w:val="4472C4"/>
      <w:spacing w:val="15"/>
      <w:szCs w:val="24"/>
      <w:lang w:eastAsia="zh-CN"/>
    </w:rPr>
  </w:style>
  <w:style w:type="table" w:customStyle="1" w:styleId="TableGridLight1">
    <w:name w:val="Table Grid Light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style>
  <w:style w:type="paragraph" w:customStyle="1" w:styleId="berschrift2Head2A2">
    <w:name w:val="Überschrift 2.Head2A.2"/>
    <w:basedOn w:val="Heading1"/>
    <w:next w:val="Normal"/>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pPr>
      <w:widowControl w:val="0"/>
      <w:spacing w:after="0"/>
      <w:jc w:val="both"/>
    </w:pPr>
    <w:rPr>
      <w:rFonts w:eastAsia="SimSun"/>
      <w:color w:val="0000FF"/>
      <w:kern w:val="2"/>
      <w:sz w:val="21"/>
      <w:szCs w:val="20"/>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2">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Pr>
      <w:rFonts w:ascii="Times New Roman" w:hAnsi="Times New Roman" w:cs="SimSun"/>
      <w:kern w:val="2"/>
      <w:sz w:val="21"/>
      <w:szCs w:val="20"/>
      <w:lang w:eastAsia="zh-CN"/>
    </w:rPr>
  </w:style>
  <w:style w:type="paragraph" w:customStyle="1" w:styleId="a2">
    <w:name w:val="公式"/>
    <w:basedOn w:val="Normal"/>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pPr>
      <w:numPr>
        <w:numId w:val="22"/>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pPr>
      <w:spacing w:before="120" w:after="120" w:line="240" w:lineRule="atLeast"/>
      <w:jc w:val="right"/>
    </w:pPr>
    <w:rPr>
      <w:rFonts w:eastAsia="SimSun"/>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sz w:val="20"/>
      <w:szCs w:val="20"/>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sz w:val="20"/>
      <w:szCs w:val="20"/>
      <w:lang w:eastAsia="ko-KR"/>
    </w:rPr>
  </w:style>
  <w:style w:type="paragraph" w:customStyle="1" w:styleId="Bullet0">
    <w:name w:val="Bullet"/>
    <w:basedOn w:val="Normal"/>
    <w:pPr>
      <w:numPr>
        <w:numId w:val="23"/>
      </w:numPr>
    </w:pPr>
    <w:rPr>
      <w:rFonts w:eastAsia="SimSun"/>
      <w:lang w:eastAsia="en-US"/>
    </w:rPr>
  </w:style>
  <w:style w:type="paragraph" w:customStyle="1" w:styleId="FigureCentered">
    <w:name w:val="FigureCentered"/>
    <w:basedOn w:val="Normal"/>
    <w:next w:val="Normal"/>
    <w:pPr>
      <w:keepNext/>
      <w:spacing w:before="60" w:after="60" w:line="240" w:lineRule="atLeast"/>
      <w:jc w:val="center"/>
    </w:pPr>
    <w:rPr>
      <w:rFonts w:eastAsia="SimSun"/>
      <w:szCs w:val="20"/>
      <w:lang w:eastAsia="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4"/>
      </w:numPr>
      <w:jc w:val="both"/>
    </w:pPr>
    <w:rPr>
      <w:rFonts w:eastAsia="MS Mincho"/>
      <w:sz w:val="20"/>
      <w:szCs w:val="20"/>
      <w:lang w:val="en-GB" w:eastAsia="en-US"/>
    </w:rPr>
  </w:style>
  <w:style w:type="paragraph" w:customStyle="1" w:styleId="PaperTableCell">
    <w:name w:val="PaperTableCell"/>
    <w:basedOn w:val="Normal"/>
    <w:pPr>
      <w:jc w:val="both"/>
    </w:pPr>
    <w:rPr>
      <w:rFonts w:eastAsia="SimSun"/>
      <w:sz w:val="16"/>
      <w:lang w:eastAsia="en-US"/>
    </w:rPr>
  </w:style>
  <w:style w:type="paragraph" w:customStyle="1" w:styleId="figure0">
    <w:name w:val="figure"/>
    <w:basedOn w:val="Normal"/>
    <w:pPr>
      <w:keepNext/>
      <w:keepLines/>
      <w:spacing w:before="60" w:after="60" w:line="240" w:lineRule="atLeast"/>
      <w:jc w:val="center"/>
    </w:pPr>
    <w:rPr>
      <w:rFonts w:eastAsia="SimSun"/>
      <w:sz w:val="20"/>
      <w:szCs w:val="20"/>
      <w:lang w:eastAsia="en-US"/>
    </w:rPr>
  </w:style>
  <w:style w:type="character" w:customStyle="1" w:styleId="moz-txt-tag">
    <w:name w:val="moz-txt-tag"/>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pPr>
      <w:spacing w:before="100" w:after="100"/>
      <w:ind w:left="860"/>
    </w:pPr>
    <w:rPr>
      <w:rFonts w:ascii="Times" w:eastAsia="MS Gothic" w:hAnsi="Times"/>
      <w:szCs w:val="20"/>
      <w:lang w:val="en-GB" w:eastAsia="ja-JP"/>
    </w:rPr>
  </w:style>
  <w:style w:type="paragraph" w:customStyle="1" w:styleId="a">
    <w:name w:val="佐藤２"/>
    <w:basedOn w:val="Normal"/>
    <w:pPr>
      <w:numPr>
        <w:numId w:val="25"/>
      </w:numPr>
      <w:spacing w:after="180"/>
    </w:pPr>
    <w:rPr>
      <w:rFonts w:eastAsia="MS Gothic"/>
      <w:szCs w:val="20"/>
      <w:lang w:val="en-GB" w:eastAsia="ja-JP"/>
    </w:rPr>
  </w:style>
  <w:style w:type="paragraph" w:customStyle="1" w:styleId="ListBulletLast">
    <w:name w:val="List Bullet Last"/>
    <w:basedOn w:val="ListBullet"/>
    <w:next w:val="BodyTex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rPr>
      <w:rFonts w:ascii="Times New Roman" w:eastAsia="MS Gothic" w:hAnsi="Times New Roman" w:cs="Times New Roman"/>
      <w:sz w:val="24"/>
      <w:szCs w:val="20"/>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hAnsi="Arial" w:cs="Arial"/>
      <w:sz w:val="2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lang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styleId="Revision">
    <w:name w:val="Revision"/>
    <w:hidden/>
    <w:uiPriority w:val="99"/>
    <w:semiHidden/>
    <w:rsid w:val="00F66F56"/>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875">
      <w:bodyDiv w:val="1"/>
      <w:marLeft w:val="0"/>
      <w:marRight w:val="0"/>
      <w:marTop w:val="0"/>
      <w:marBottom w:val="0"/>
      <w:divBdr>
        <w:top w:val="none" w:sz="0" w:space="0" w:color="auto"/>
        <w:left w:val="none" w:sz="0" w:space="0" w:color="auto"/>
        <w:bottom w:val="none" w:sz="0" w:space="0" w:color="auto"/>
        <w:right w:val="none" w:sz="0" w:space="0" w:color="auto"/>
      </w:divBdr>
    </w:div>
    <w:div w:id="493762389">
      <w:bodyDiv w:val="1"/>
      <w:marLeft w:val="0"/>
      <w:marRight w:val="0"/>
      <w:marTop w:val="0"/>
      <w:marBottom w:val="0"/>
      <w:divBdr>
        <w:top w:val="none" w:sz="0" w:space="0" w:color="auto"/>
        <w:left w:val="none" w:sz="0" w:space="0" w:color="auto"/>
        <w:bottom w:val="none" w:sz="0" w:space="0" w:color="auto"/>
        <w:right w:val="none" w:sz="0" w:space="0" w:color="auto"/>
      </w:divBdr>
    </w:div>
    <w:div w:id="682561041">
      <w:bodyDiv w:val="1"/>
      <w:marLeft w:val="0"/>
      <w:marRight w:val="0"/>
      <w:marTop w:val="0"/>
      <w:marBottom w:val="0"/>
      <w:divBdr>
        <w:top w:val="none" w:sz="0" w:space="0" w:color="auto"/>
        <w:left w:val="none" w:sz="0" w:space="0" w:color="auto"/>
        <w:bottom w:val="none" w:sz="0" w:space="0" w:color="auto"/>
        <w:right w:val="none" w:sz="0" w:space="0" w:color="auto"/>
      </w:divBdr>
    </w:div>
    <w:div w:id="687373942">
      <w:bodyDiv w:val="1"/>
      <w:marLeft w:val="0"/>
      <w:marRight w:val="0"/>
      <w:marTop w:val="0"/>
      <w:marBottom w:val="0"/>
      <w:divBdr>
        <w:top w:val="none" w:sz="0" w:space="0" w:color="auto"/>
        <w:left w:val="none" w:sz="0" w:space="0" w:color="auto"/>
        <w:bottom w:val="none" w:sz="0" w:space="0" w:color="auto"/>
        <w:right w:val="none" w:sz="0" w:space="0" w:color="auto"/>
      </w:divBdr>
    </w:div>
    <w:div w:id="898443046">
      <w:bodyDiv w:val="1"/>
      <w:marLeft w:val="0"/>
      <w:marRight w:val="0"/>
      <w:marTop w:val="0"/>
      <w:marBottom w:val="0"/>
      <w:divBdr>
        <w:top w:val="none" w:sz="0" w:space="0" w:color="auto"/>
        <w:left w:val="none" w:sz="0" w:space="0" w:color="auto"/>
        <w:bottom w:val="none" w:sz="0" w:space="0" w:color="auto"/>
        <w:right w:val="none" w:sz="0" w:space="0" w:color="auto"/>
      </w:divBdr>
    </w:div>
    <w:div w:id="982269135">
      <w:bodyDiv w:val="1"/>
      <w:marLeft w:val="0"/>
      <w:marRight w:val="0"/>
      <w:marTop w:val="0"/>
      <w:marBottom w:val="0"/>
      <w:divBdr>
        <w:top w:val="none" w:sz="0" w:space="0" w:color="auto"/>
        <w:left w:val="none" w:sz="0" w:space="0" w:color="auto"/>
        <w:bottom w:val="none" w:sz="0" w:space="0" w:color="auto"/>
        <w:right w:val="none" w:sz="0" w:space="0" w:color="auto"/>
      </w:divBdr>
    </w:div>
    <w:div w:id="1079399530">
      <w:bodyDiv w:val="1"/>
      <w:marLeft w:val="0"/>
      <w:marRight w:val="0"/>
      <w:marTop w:val="0"/>
      <w:marBottom w:val="0"/>
      <w:divBdr>
        <w:top w:val="none" w:sz="0" w:space="0" w:color="auto"/>
        <w:left w:val="none" w:sz="0" w:space="0" w:color="auto"/>
        <w:bottom w:val="none" w:sz="0" w:space="0" w:color="auto"/>
        <w:right w:val="none" w:sz="0" w:space="0" w:color="auto"/>
      </w:divBdr>
    </w:div>
    <w:div w:id="1222445971">
      <w:bodyDiv w:val="1"/>
      <w:marLeft w:val="0"/>
      <w:marRight w:val="0"/>
      <w:marTop w:val="0"/>
      <w:marBottom w:val="0"/>
      <w:divBdr>
        <w:top w:val="none" w:sz="0" w:space="0" w:color="auto"/>
        <w:left w:val="none" w:sz="0" w:space="0" w:color="auto"/>
        <w:bottom w:val="none" w:sz="0" w:space="0" w:color="auto"/>
        <w:right w:val="none" w:sz="0" w:space="0" w:color="auto"/>
      </w:divBdr>
    </w:div>
    <w:div w:id="1242643473">
      <w:bodyDiv w:val="1"/>
      <w:marLeft w:val="0"/>
      <w:marRight w:val="0"/>
      <w:marTop w:val="0"/>
      <w:marBottom w:val="0"/>
      <w:divBdr>
        <w:top w:val="none" w:sz="0" w:space="0" w:color="auto"/>
        <w:left w:val="none" w:sz="0" w:space="0" w:color="auto"/>
        <w:bottom w:val="none" w:sz="0" w:space="0" w:color="auto"/>
        <w:right w:val="none" w:sz="0" w:space="0" w:color="auto"/>
      </w:divBdr>
    </w:div>
    <w:div w:id="1289313130">
      <w:bodyDiv w:val="1"/>
      <w:marLeft w:val="0"/>
      <w:marRight w:val="0"/>
      <w:marTop w:val="0"/>
      <w:marBottom w:val="0"/>
      <w:divBdr>
        <w:top w:val="none" w:sz="0" w:space="0" w:color="auto"/>
        <w:left w:val="none" w:sz="0" w:space="0" w:color="auto"/>
        <w:bottom w:val="none" w:sz="0" w:space="0" w:color="auto"/>
        <w:right w:val="none" w:sz="0" w:space="0" w:color="auto"/>
      </w:divBdr>
    </w:div>
    <w:div w:id="1455979325">
      <w:bodyDiv w:val="1"/>
      <w:marLeft w:val="0"/>
      <w:marRight w:val="0"/>
      <w:marTop w:val="0"/>
      <w:marBottom w:val="0"/>
      <w:divBdr>
        <w:top w:val="none" w:sz="0" w:space="0" w:color="auto"/>
        <w:left w:val="none" w:sz="0" w:space="0" w:color="auto"/>
        <w:bottom w:val="none" w:sz="0" w:space="0" w:color="auto"/>
        <w:right w:val="none" w:sz="0" w:space="0" w:color="auto"/>
      </w:divBdr>
    </w:div>
    <w:div w:id="1959556735">
      <w:bodyDiv w:val="1"/>
      <w:marLeft w:val="0"/>
      <w:marRight w:val="0"/>
      <w:marTop w:val="0"/>
      <w:marBottom w:val="0"/>
      <w:divBdr>
        <w:top w:val="none" w:sz="0" w:space="0" w:color="auto"/>
        <w:left w:val="none" w:sz="0" w:space="0" w:color="auto"/>
        <w:bottom w:val="none" w:sz="0" w:space="0" w:color="auto"/>
        <w:right w:val="none" w:sz="0" w:space="0" w:color="auto"/>
      </w:divBdr>
    </w:div>
    <w:div w:id="1975407159">
      <w:bodyDiv w:val="1"/>
      <w:marLeft w:val="0"/>
      <w:marRight w:val="0"/>
      <w:marTop w:val="0"/>
      <w:marBottom w:val="0"/>
      <w:divBdr>
        <w:top w:val="none" w:sz="0" w:space="0" w:color="auto"/>
        <w:left w:val="none" w:sz="0" w:space="0" w:color="auto"/>
        <w:bottom w:val="none" w:sz="0" w:space="0" w:color="auto"/>
        <w:right w:val="none" w:sz="0" w:space="0" w:color="auto"/>
      </w:divBdr>
    </w:div>
    <w:div w:id="200022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2.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4CA4B-45E4-4D5A-8A15-BB1B99A5EB2F}">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339F2748-2F6D-48E1-9F2C-4227A792B0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9</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Jing Sun</cp:lastModifiedBy>
  <cp:revision>307</cp:revision>
  <dcterms:created xsi:type="dcterms:W3CDTF">2022-11-10T07:44:00Z</dcterms:created>
  <dcterms:modified xsi:type="dcterms:W3CDTF">2022-11-11T05:10:00Z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16aa8212-9e9d-4f5e-a7be-6e8c5adffb6f</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2052-11.8.2.11019</vt:lpwstr>
  </property>
  <property fmtid="{D5CDD505-2E9C-101B-9397-08002B2CF9AE}" pid="16" name="ICV">
    <vt:lpwstr>0543769BE3DF48C08A1AAED68E414A14</vt:lpwstr>
  </property>
</Properties>
</file>