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B9EA" w14:textId="2056DEA8" w:rsidR="00436A41" w:rsidRPr="00436A41" w:rsidRDefault="00436A41" w:rsidP="00436A41">
      <w:pPr>
        <w:widowControl w:val="0"/>
        <w:tabs>
          <w:tab w:val="center" w:pos="4680"/>
          <w:tab w:val="right" w:pos="13892"/>
        </w:tabs>
        <w:autoSpaceDE w:val="0"/>
        <w:autoSpaceDN w:val="0"/>
        <w:adjustRightInd w:val="0"/>
        <w:snapToGrid w:val="0"/>
        <w:spacing w:after="120" w:line="259" w:lineRule="auto"/>
        <w:rPr>
          <w:rFonts w:ascii="Arial" w:eastAsia="SimSun" w:hAnsi="Arial" w:cs="Arial"/>
          <w:b/>
          <w:bCs/>
          <w:sz w:val="22"/>
          <w:szCs w:val="22"/>
          <w:lang w:val="en-GB" w:eastAsia="en-US"/>
        </w:rPr>
      </w:pPr>
      <w:r w:rsidRPr="00436A41">
        <w:rPr>
          <w:rFonts w:ascii="Arial" w:eastAsia="SimSun" w:hAnsi="Arial" w:cs="Arial"/>
          <w:b/>
          <w:bCs/>
          <w:sz w:val="22"/>
          <w:szCs w:val="22"/>
          <w:lang w:val="en-GB" w:eastAsia="en-US"/>
        </w:rPr>
        <w:t>3GPP TSG RAN WG1#11</w:t>
      </w:r>
      <w:r w:rsidR="00BE1376">
        <w:rPr>
          <w:rFonts w:ascii="Arial" w:eastAsia="SimSun" w:hAnsi="Arial" w:cs="Arial"/>
          <w:b/>
          <w:bCs/>
          <w:sz w:val="22"/>
          <w:szCs w:val="22"/>
          <w:lang w:val="en-GB" w:eastAsia="en-US"/>
        </w:rPr>
        <w:t>1</w:t>
      </w:r>
      <w:r w:rsidRPr="00436A41">
        <w:rPr>
          <w:rFonts w:ascii="Arial" w:eastAsia="SimSun" w:hAnsi="Arial" w:cs="Arial"/>
          <w:b/>
          <w:bCs/>
          <w:sz w:val="22"/>
          <w:szCs w:val="22"/>
          <w:lang w:val="en-GB" w:eastAsia="en-US"/>
        </w:rPr>
        <w:tab/>
      </w:r>
      <w:r w:rsidRPr="00436A41">
        <w:rPr>
          <w:rFonts w:ascii="Arial" w:eastAsia="SimSun" w:hAnsi="Arial" w:cs="Arial"/>
          <w:b/>
          <w:bCs/>
          <w:sz w:val="22"/>
          <w:szCs w:val="22"/>
          <w:lang w:val="en-GB" w:eastAsia="zh-CN"/>
        </w:rPr>
        <w:tab/>
      </w:r>
      <w:r w:rsidRPr="00436A41">
        <w:rPr>
          <w:rFonts w:ascii="Arial" w:eastAsia="SimSun" w:hAnsi="Arial" w:cs="Arial"/>
          <w:b/>
          <w:bCs/>
          <w:sz w:val="22"/>
          <w:szCs w:val="22"/>
          <w:lang w:val="en-GB" w:eastAsia="en-US"/>
        </w:rPr>
        <w:t>R1-22xxxxx</w:t>
      </w:r>
    </w:p>
    <w:p w14:paraId="1E8A0147" w14:textId="6029FBCC" w:rsidR="00436A41" w:rsidRPr="00436A41" w:rsidRDefault="00436A41" w:rsidP="00436A41">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en-GB" w:eastAsia="en-US"/>
        </w:rPr>
      </w:pPr>
      <w:bookmarkStart w:id="0" w:name="_Hlk111652075"/>
      <w:r w:rsidRPr="00436A41">
        <w:rPr>
          <w:rFonts w:ascii="Arial" w:eastAsia="SimSun" w:hAnsi="Arial" w:cs="Arial"/>
          <w:b/>
          <w:bCs/>
          <w:sz w:val="22"/>
          <w:szCs w:val="22"/>
          <w:lang w:val="en-GB" w:eastAsia="en-US"/>
        </w:rPr>
        <w:t xml:space="preserve">Toulouse, France, </w:t>
      </w:r>
      <w:r w:rsidR="00BE1376">
        <w:rPr>
          <w:rFonts w:ascii="Arial" w:eastAsia="SimSun" w:hAnsi="Arial" w:cs="Arial"/>
          <w:b/>
          <w:bCs/>
          <w:sz w:val="22"/>
          <w:szCs w:val="22"/>
          <w:lang w:val="en-GB" w:eastAsia="en-US"/>
        </w:rPr>
        <w:t>November</w:t>
      </w:r>
      <w:r w:rsidRPr="00436A41">
        <w:rPr>
          <w:rFonts w:ascii="Arial" w:eastAsia="SimSun" w:hAnsi="Arial" w:cs="Arial"/>
          <w:b/>
          <w:bCs/>
          <w:sz w:val="22"/>
          <w:szCs w:val="22"/>
          <w:lang w:val="en-GB" w:eastAsia="en-US"/>
        </w:rPr>
        <w:t xml:space="preserve"> </w:t>
      </w:r>
      <w:r w:rsidR="00BE1376">
        <w:rPr>
          <w:rFonts w:ascii="Arial" w:eastAsia="SimSun" w:hAnsi="Arial" w:cs="Arial"/>
          <w:b/>
          <w:bCs/>
          <w:sz w:val="22"/>
          <w:szCs w:val="22"/>
          <w:lang w:val="en-GB" w:eastAsia="en-US"/>
        </w:rPr>
        <w:t>14th</w:t>
      </w:r>
      <w:r w:rsidRPr="00436A41">
        <w:rPr>
          <w:rFonts w:ascii="Arial" w:eastAsia="SimSun" w:hAnsi="Arial" w:cs="Arial"/>
          <w:b/>
          <w:bCs/>
          <w:sz w:val="22"/>
          <w:szCs w:val="22"/>
          <w:lang w:val="en-GB" w:eastAsia="en-US"/>
        </w:rPr>
        <w:t xml:space="preserve"> – </w:t>
      </w:r>
      <w:r w:rsidR="00BE1376">
        <w:rPr>
          <w:rFonts w:ascii="Arial" w:eastAsia="SimSun" w:hAnsi="Arial" w:cs="Arial"/>
          <w:b/>
          <w:bCs/>
          <w:sz w:val="22"/>
          <w:szCs w:val="22"/>
          <w:lang w:val="en-GB" w:eastAsia="en-US"/>
        </w:rPr>
        <w:t>18</w:t>
      </w:r>
      <w:r w:rsidRPr="00436A41">
        <w:rPr>
          <w:rFonts w:ascii="Arial" w:eastAsia="SimSun" w:hAnsi="Arial" w:cs="Arial"/>
          <w:b/>
          <w:bCs/>
          <w:sz w:val="22"/>
          <w:szCs w:val="22"/>
          <w:lang w:val="en-GB" w:eastAsia="en-US"/>
        </w:rPr>
        <w:t>th, 2022</w:t>
      </w:r>
    </w:p>
    <w:bookmarkEnd w:id="0"/>
    <w:p w14:paraId="18D916A8" w14:textId="77777777" w:rsidR="005C3E04" w:rsidRPr="005C3E04" w:rsidRDefault="005C3E04" w:rsidP="005C3E04">
      <w:pPr>
        <w:pBdr>
          <w:top w:val="single" w:sz="4" w:space="2" w:color="auto"/>
        </w:pBdr>
        <w:autoSpaceDE w:val="0"/>
        <w:autoSpaceDN w:val="0"/>
        <w:adjustRightInd w:val="0"/>
        <w:snapToGrid w:val="0"/>
        <w:spacing w:line="259" w:lineRule="auto"/>
        <w:rPr>
          <w:rFonts w:ascii="Arial" w:eastAsia="SimSun" w:hAnsi="Arial" w:cs="Arial"/>
          <w:b/>
          <w:kern w:val="2"/>
          <w:szCs w:val="22"/>
          <w:highlight w:val="yellow"/>
          <w:lang w:val="en-GB" w:eastAsia="zh-CN"/>
        </w:rPr>
      </w:pPr>
    </w:p>
    <w:p w14:paraId="5B46E7CC" w14:textId="34797D5E"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Agenda Item:</w:t>
      </w:r>
      <w:r w:rsidRPr="005C3E04">
        <w:rPr>
          <w:rFonts w:ascii="Arial" w:eastAsia="SimSun" w:hAnsi="Arial" w:cs="Arial"/>
          <w:b/>
          <w:bCs/>
          <w:sz w:val="22"/>
          <w:szCs w:val="20"/>
          <w:lang w:val="en-GB" w:eastAsia="zh-CN"/>
        </w:rPr>
        <w:tab/>
        <w:t>8.2</w:t>
      </w:r>
    </w:p>
    <w:p w14:paraId="4A3762DD" w14:textId="77777777"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Source:</w:t>
      </w:r>
      <w:r w:rsidRPr="005C3E04">
        <w:rPr>
          <w:rFonts w:ascii="Arial" w:eastAsia="SimSun" w:hAnsi="Arial" w:cs="Arial"/>
          <w:b/>
          <w:bCs/>
          <w:sz w:val="22"/>
          <w:szCs w:val="20"/>
          <w:lang w:val="en-GB" w:eastAsia="zh-CN"/>
        </w:rPr>
        <w:tab/>
        <w:t>Moderator (Lenovo)</w:t>
      </w:r>
    </w:p>
    <w:p w14:paraId="49D88563" w14:textId="3DAA7126"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Title:</w:t>
      </w:r>
      <w:r w:rsidRPr="005C3E04">
        <w:rPr>
          <w:rFonts w:ascii="Arial" w:eastAsia="SimSun" w:hAnsi="Arial" w:cs="Arial"/>
          <w:b/>
          <w:bCs/>
          <w:sz w:val="22"/>
          <w:szCs w:val="20"/>
          <w:lang w:val="en-GB" w:eastAsia="zh-CN"/>
        </w:rPr>
        <w:tab/>
      </w:r>
      <w:r w:rsidR="00436A41">
        <w:rPr>
          <w:rFonts w:ascii="Arial" w:eastAsia="SimSun" w:hAnsi="Arial" w:cs="Arial"/>
          <w:b/>
          <w:bCs/>
          <w:sz w:val="22"/>
          <w:szCs w:val="20"/>
          <w:lang w:val="en-GB" w:eastAsia="zh-CN"/>
        </w:rPr>
        <w:t>Draft FL Summary for</w:t>
      </w:r>
      <w:r w:rsidRPr="005C3E04">
        <w:rPr>
          <w:rFonts w:ascii="Arial" w:eastAsia="SimSun" w:hAnsi="Arial" w:cs="Arial"/>
          <w:b/>
          <w:bCs/>
          <w:sz w:val="22"/>
          <w:szCs w:val="20"/>
          <w:lang w:val="en-GB" w:eastAsia="zh-CN"/>
        </w:rPr>
        <w:t xml:space="preserve"> B52.6 GHz PDCCH monitoring enhancements</w:t>
      </w:r>
    </w:p>
    <w:p w14:paraId="1281FD49" w14:textId="77777777" w:rsidR="005C3E04" w:rsidRPr="005C3E04" w:rsidRDefault="005C3E04" w:rsidP="005C3E04">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szCs w:val="20"/>
          <w:lang w:val="en-GB" w:eastAsia="zh-CN"/>
        </w:rPr>
      </w:pPr>
      <w:r w:rsidRPr="005C3E04">
        <w:rPr>
          <w:rFonts w:ascii="Arial" w:eastAsia="SimSun" w:hAnsi="Arial" w:cs="Arial"/>
          <w:b/>
          <w:bCs/>
          <w:sz w:val="22"/>
          <w:szCs w:val="20"/>
          <w:lang w:val="en-GB" w:eastAsia="zh-CN"/>
        </w:rPr>
        <w:t>Document for:</w:t>
      </w:r>
      <w:r w:rsidRPr="005C3E04">
        <w:rPr>
          <w:rFonts w:ascii="Arial" w:eastAsia="SimSun" w:hAnsi="Arial" w:cs="Arial"/>
          <w:b/>
          <w:bCs/>
          <w:sz w:val="22"/>
          <w:szCs w:val="20"/>
          <w:lang w:val="en-GB" w:eastAsia="zh-CN"/>
        </w:rPr>
        <w:tab/>
        <w:t>Discussion, Decision</w:t>
      </w:r>
    </w:p>
    <w:p w14:paraId="1EBD64D3" w14:textId="77777777" w:rsidR="005C3E04" w:rsidRDefault="005C3E04" w:rsidP="003D46FA">
      <w:pPr>
        <w:ind w:left="360" w:hanging="360"/>
      </w:pPr>
    </w:p>
    <w:p w14:paraId="72CAB136" w14:textId="0822527E" w:rsidR="00A01B2F" w:rsidRPr="002369EA" w:rsidRDefault="00A01B2F" w:rsidP="003D46FA">
      <w:pPr>
        <w:pStyle w:val="Heading2"/>
        <w:numPr>
          <w:ilvl w:val="0"/>
          <w:numId w:val="47"/>
        </w:numPr>
        <w:rPr>
          <w:rFonts w:ascii="Arial" w:hAnsi="Arial" w:cs="Arial"/>
        </w:rPr>
      </w:pPr>
      <w:r w:rsidRPr="002369EA">
        <w:rPr>
          <w:rFonts w:ascii="Arial" w:hAnsi="Arial" w:cs="Arial"/>
        </w:rPr>
        <w:t xml:space="preserve">Issues </w:t>
      </w:r>
      <w:r w:rsidR="002369EA">
        <w:rPr>
          <w:rFonts w:ascii="Arial" w:hAnsi="Arial" w:cs="Arial"/>
        </w:rPr>
        <w:t xml:space="preserve">for </w:t>
      </w:r>
      <w:r w:rsidR="003D46FA" w:rsidRPr="002369EA">
        <w:rPr>
          <w:rFonts w:ascii="Arial" w:hAnsi="Arial" w:cs="Arial"/>
        </w:rPr>
        <w:t>PDCCH monitoring enhancements</w:t>
      </w:r>
    </w:p>
    <w:p w14:paraId="45C16A3F" w14:textId="68AAA1F2" w:rsidR="00A01B2F" w:rsidRPr="00436A41" w:rsidRDefault="00A01B2F" w:rsidP="00A01B2F">
      <w:pPr>
        <w:spacing w:after="160" w:line="259" w:lineRule="auto"/>
        <w:jc w:val="center"/>
        <w:rPr>
          <w:b/>
          <w:bCs/>
          <w:kern w:val="2"/>
        </w:rPr>
      </w:pPr>
      <w:r w:rsidRPr="00436A41">
        <w:rPr>
          <w:b/>
        </w:rPr>
        <w:t xml:space="preserve">Table </w:t>
      </w:r>
      <w:r w:rsidR="002369EA" w:rsidRPr="00436A41">
        <w:rPr>
          <w:b/>
        </w:rPr>
        <w:t>1</w:t>
      </w:r>
      <w:r w:rsidRPr="00436A41">
        <w:rPr>
          <w:b/>
        </w:rPr>
        <w:t xml:space="preserve"> </w:t>
      </w:r>
      <w:r w:rsidR="002369EA" w:rsidRPr="00436A41">
        <w:rPr>
          <w:b/>
        </w:rPr>
        <w:t>–</w:t>
      </w:r>
      <w:r w:rsidRPr="00436A41">
        <w:rPr>
          <w:b/>
        </w:rPr>
        <w:t xml:space="preserve"> </w:t>
      </w:r>
      <w:r w:rsidR="002369EA" w:rsidRPr="00436A41">
        <w:rPr>
          <w:b/>
        </w:rPr>
        <w:t xml:space="preserve">Identified issues for </w:t>
      </w:r>
      <w:r w:rsidR="003D46FA" w:rsidRPr="00436A41">
        <w:rPr>
          <w:b/>
        </w:rPr>
        <w:t>PDCCH monitoring enhancements</w:t>
      </w:r>
    </w:p>
    <w:tbl>
      <w:tblPr>
        <w:tblStyle w:val="TableGrid"/>
        <w:tblW w:w="5000" w:type="pct"/>
        <w:tblLook w:val="04A0" w:firstRow="1" w:lastRow="0" w:firstColumn="1" w:lastColumn="0" w:noHBand="0" w:noVBand="1"/>
      </w:tblPr>
      <w:tblGrid>
        <w:gridCol w:w="1347"/>
        <w:gridCol w:w="4028"/>
        <w:gridCol w:w="1910"/>
        <w:gridCol w:w="1596"/>
        <w:gridCol w:w="4645"/>
      </w:tblGrid>
      <w:tr w:rsidR="00A01B2F" w:rsidRPr="00436A41" w14:paraId="52CEFE6A" w14:textId="77777777" w:rsidTr="00E37227">
        <w:trPr>
          <w:trHeight w:val="53"/>
        </w:trPr>
        <w:tc>
          <w:tcPr>
            <w:tcW w:w="498" w:type="pct"/>
            <w:shd w:val="clear" w:color="auto" w:fill="BFBFBF" w:themeFill="background1" w:themeFillShade="BF"/>
            <w:vAlign w:val="center"/>
          </w:tcPr>
          <w:p w14:paraId="2815BEF1" w14:textId="77777777" w:rsidR="00A01B2F" w:rsidRPr="00436A41" w:rsidRDefault="00A01B2F" w:rsidP="00E37227">
            <w:pPr>
              <w:snapToGrid w:val="0"/>
              <w:rPr>
                <w:b/>
              </w:rPr>
            </w:pPr>
            <w:r w:rsidRPr="00436A41">
              <w:rPr>
                <w:b/>
              </w:rPr>
              <w:t>Issue#</w:t>
            </w:r>
          </w:p>
        </w:tc>
        <w:tc>
          <w:tcPr>
            <w:tcW w:w="1489" w:type="pct"/>
            <w:shd w:val="clear" w:color="auto" w:fill="BFBFBF" w:themeFill="background1" w:themeFillShade="BF"/>
            <w:vAlign w:val="center"/>
          </w:tcPr>
          <w:p w14:paraId="654AE509" w14:textId="2D4F519F" w:rsidR="00A01B2F" w:rsidRPr="00436A41" w:rsidRDefault="00AD3603" w:rsidP="00E37227">
            <w:pPr>
              <w:snapToGrid w:val="0"/>
              <w:rPr>
                <w:b/>
              </w:rPr>
            </w:pPr>
            <w:r w:rsidRPr="00436A41">
              <w:rPr>
                <w:b/>
              </w:rPr>
              <w:t>Issue</w:t>
            </w:r>
          </w:p>
        </w:tc>
        <w:tc>
          <w:tcPr>
            <w:tcW w:w="706" w:type="pct"/>
            <w:shd w:val="clear" w:color="auto" w:fill="BFBFBF" w:themeFill="background1" w:themeFillShade="BF"/>
            <w:vAlign w:val="center"/>
          </w:tcPr>
          <w:p w14:paraId="05418109" w14:textId="77777777" w:rsidR="00A01B2F" w:rsidRPr="00436A41" w:rsidRDefault="00A01B2F" w:rsidP="00E37227">
            <w:pPr>
              <w:snapToGrid w:val="0"/>
              <w:rPr>
                <w:b/>
              </w:rPr>
            </w:pPr>
            <w:r w:rsidRPr="00436A41">
              <w:rPr>
                <w:b/>
              </w:rPr>
              <w:t>References</w:t>
            </w:r>
          </w:p>
        </w:tc>
        <w:tc>
          <w:tcPr>
            <w:tcW w:w="590" w:type="pct"/>
            <w:shd w:val="clear" w:color="auto" w:fill="BFBFBF" w:themeFill="background1" w:themeFillShade="BF"/>
            <w:vAlign w:val="center"/>
          </w:tcPr>
          <w:p w14:paraId="3CFFE5ED" w14:textId="77777777" w:rsidR="00A01B2F" w:rsidRPr="00436A41" w:rsidRDefault="00A01B2F" w:rsidP="00E37227">
            <w:pPr>
              <w:snapToGrid w:val="0"/>
              <w:rPr>
                <w:b/>
              </w:rPr>
            </w:pPr>
            <w:r w:rsidRPr="00436A41">
              <w:rPr>
                <w:b/>
              </w:rPr>
              <w:t xml:space="preserve">FL initial assessment </w:t>
            </w:r>
          </w:p>
        </w:tc>
        <w:tc>
          <w:tcPr>
            <w:tcW w:w="1717" w:type="pct"/>
            <w:shd w:val="clear" w:color="auto" w:fill="BFBFBF" w:themeFill="background1" w:themeFillShade="BF"/>
            <w:vAlign w:val="center"/>
          </w:tcPr>
          <w:p w14:paraId="40247CA8" w14:textId="4969F289" w:rsidR="00A01B2F" w:rsidRPr="00436A41" w:rsidRDefault="004B4A93" w:rsidP="00E37227">
            <w:pPr>
              <w:snapToGrid w:val="0"/>
              <w:rPr>
                <w:b/>
              </w:rPr>
            </w:pPr>
            <w:r>
              <w:rPr>
                <w:b/>
              </w:rPr>
              <w:t xml:space="preserve">Comments / </w:t>
            </w:r>
            <w:r w:rsidR="00A01B2F" w:rsidRPr="00436A41">
              <w:rPr>
                <w:b/>
              </w:rPr>
              <w:t>Company inputs (if any)</w:t>
            </w:r>
          </w:p>
        </w:tc>
      </w:tr>
      <w:tr w:rsidR="00A01B2F" w:rsidRPr="00436A41" w14:paraId="4FA7BBDD" w14:textId="77777777" w:rsidTr="002369EA">
        <w:trPr>
          <w:trHeight w:val="66"/>
        </w:trPr>
        <w:tc>
          <w:tcPr>
            <w:tcW w:w="498" w:type="pct"/>
            <w:vAlign w:val="center"/>
          </w:tcPr>
          <w:p w14:paraId="6A0309FD" w14:textId="391AC593" w:rsidR="00A01B2F" w:rsidRPr="00436A41" w:rsidRDefault="008C2257" w:rsidP="002369EA">
            <w:pPr>
              <w:snapToGrid w:val="0"/>
            </w:pPr>
            <w:r w:rsidRPr="00436A41">
              <w:t>8.2.</w:t>
            </w:r>
            <w:r w:rsidR="000F3061" w:rsidRPr="00436A41">
              <w:t>2</w:t>
            </w:r>
            <w:r w:rsidR="009A472A" w:rsidRPr="00436A41">
              <w:t>-</w:t>
            </w:r>
            <w:r w:rsidR="00A01B2F" w:rsidRPr="00436A41">
              <w:t xml:space="preserve">1 </w:t>
            </w:r>
          </w:p>
        </w:tc>
        <w:tc>
          <w:tcPr>
            <w:tcW w:w="1489" w:type="pct"/>
            <w:vAlign w:val="center"/>
          </w:tcPr>
          <w:p w14:paraId="38624A9A" w14:textId="6B7DAFA3" w:rsidR="00A01B2F" w:rsidRPr="00436A41" w:rsidRDefault="004B4A93" w:rsidP="002369EA">
            <w:pPr>
              <w:snapToGrid w:val="0"/>
              <w:rPr>
                <w:rFonts w:eastAsia="DengXian"/>
                <w:color w:val="3333FF"/>
                <w:lang w:eastAsia="zh-CN"/>
              </w:rPr>
            </w:pPr>
            <w:r w:rsidRPr="004B4A93">
              <w:rPr>
                <w:lang w:eastAsia="zh-CN"/>
              </w:rPr>
              <w:t>PDCCH monitoring occasion for DCI format 2_1</w:t>
            </w:r>
          </w:p>
        </w:tc>
        <w:tc>
          <w:tcPr>
            <w:tcW w:w="706" w:type="pct"/>
            <w:vAlign w:val="center"/>
          </w:tcPr>
          <w:p w14:paraId="2DD4C406" w14:textId="7DA9FA41" w:rsidR="00A01B2F" w:rsidRPr="00436A41" w:rsidRDefault="00F24EF3" w:rsidP="002369EA">
            <w:pPr>
              <w:snapToGrid w:val="0"/>
            </w:pPr>
            <w:r w:rsidRPr="00436A41">
              <w:t>[1</w:t>
            </w:r>
            <w:r w:rsidR="00A432DE" w:rsidRPr="00436A41">
              <w:t>]</w:t>
            </w:r>
            <w:r w:rsidR="00B345C0" w:rsidRPr="00436A41">
              <w:t>+[2]</w:t>
            </w:r>
          </w:p>
        </w:tc>
        <w:tc>
          <w:tcPr>
            <w:tcW w:w="590" w:type="pct"/>
            <w:vAlign w:val="center"/>
          </w:tcPr>
          <w:p w14:paraId="5670D7FF" w14:textId="7A6EF313" w:rsidR="00A01B2F" w:rsidRPr="00436A41" w:rsidRDefault="00067DC1" w:rsidP="002369EA">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268822B2" w14:textId="34403FDD" w:rsidR="00A01B2F" w:rsidRPr="00436A41" w:rsidRDefault="004B4A93" w:rsidP="002369EA">
            <w:pPr>
              <w:snapToGrid w:val="0"/>
              <w:rPr>
                <w:rFonts w:eastAsia="DengXian"/>
                <w:lang w:eastAsia="zh-CN"/>
              </w:rPr>
            </w:pPr>
            <w:r>
              <w:rPr>
                <w:rFonts w:eastAsia="DengXian"/>
                <w:lang w:eastAsia="zh-CN"/>
              </w:rPr>
              <w:t>FL: This issue appears to be on the face similar to RAN1#110 and RAN1#110bis_e</w:t>
            </w:r>
            <w:r w:rsidR="0085375E">
              <w:rPr>
                <w:rFonts w:eastAsia="DengXian"/>
                <w:lang w:eastAsia="zh-CN"/>
              </w:rPr>
              <w:t xml:space="preserve"> contributions</w:t>
            </w:r>
            <w:r>
              <w:rPr>
                <w:rFonts w:eastAsia="DengXian"/>
                <w:lang w:eastAsia="zh-CN"/>
              </w:rPr>
              <w:t>, however CATT has provided a</w:t>
            </w:r>
            <w:r w:rsidR="0085375E">
              <w:rPr>
                <w:rFonts w:eastAsia="DengXian"/>
                <w:lang w:eastAsia="zh-CN"/>
              </w:rPr>
              <w:t>n updated motivation, explaining that without the proposed correction the legacy behaviour for URLLC pre-emption is changed for multi-slot monitoring.</w:t>
            </w:r>
          </w:p>
        </w:tc>
      </w:tr>
      <w:tr w:rsidR="0026383F" w:rsidRPr="00436A41" w14:paraId="03448488" w14:textId="77777777" w:rsidTr="002369EA">
        <w:trPr>
          <w:trHeight w:val="66"/>
        </w:trPr>
        <w:tc>
          <w:tcPr>
            <w:tcW w:w="498" w:type="pct"/>
            <w:vAlign w:val="center"/>
          </w:tcPr>
          <w:p w14:paraId="19779D40" w14:textId="6CE7450D" w:rsidR="0026383F" w:rsidRPr="00436A41" w:rsidRDefault="0026383F" w:rsidP="002369EA">
            <w:pPr>
              <w:snapToGrid w:val="0"/>
            </w:pPr>
            <w:r w:rsidRPr="00436A41">
              <w:t>8.2.2-2</w:t>
            </w:r>
          </w:p>
        </w:tc>
        <w:tc>
          <w:tcPr>
            <w:tcW w:w="1489" w:type="pct"/>
            <w:vAlign w:val="center"/>
          </w:tcPr>
          <w:p w14:paraId="1CD86530" w14:textId="0DDD9D51" w:rsidR="0026383F" w:rsidRPr="00436A41" w:rsidRDefault="009074EF" w:rsidP="002369EA">
            <w:pPr>
              <w:snapToGrid w:val="0"/>
              <w:rPr>
                <w:rFonts w:eastAsia="DengXian"/>
                <w:lang w:eastAsia="zh-CN"/>
              </w:rPr>
            </w:pPr>
            <w:r>
              <w:rPr>
                <w:rFonts w:eastAsia="DengXian"/>
                <w:lang w:eastAsia="zh-CN"/>
              </w:rPr>
              <w:t>D</w:t>
            </w:r>
            <w:r w:rsidRPr="009074EF">
              <w:rPr>
                <w:rFonts w:eastAsia="DengXian"/>
                <w:lang w:eastAsia="zh-CN"/>
              </w:rPr>
              <w:t>efinition of configured DL-CCs number for BD/CCE budge</w:t>
            </w:r>
          </w:p>
        </w:tc>
        <w:tc>
          <w:tcPr>
            <w:tcW w:w="706" w:type="pct"/>
            <w:vAlign w:val="center"/>
          </w:tcPr>
          <w:p w14:paraId="34AE9A1C" w14:textId="392B6448" w:rsidR="0026383F" w:rsidRPr="00436A41" w:rsidRDefault="009074EF" w:rsidP="002369EA">
            <w:pPr>
              <w:snapToGrid w:val="0"/>
            </w:pPr>
            <w:r w:rsidRPr="00436A41">
              <w:t>[</w:t>
            </w:r>
            <w:r>
              <w:t>3</w:t>
            </w:r>
            <w:r w:rsidRPr="00436A41">
              <w:t>]+[</w:t>
            </w:r>
            <w:r>
              <w:t>4</w:t>
            </w:r>
            <w:r w:rsidRPr="00436A41">
              <w:t>]</w:t>
            </w:r>
          </w:p>
        </w:tc>
        <w:tc>
          <w:tcPr>
            <w:tcW w:w="590" w:type="pct"/>
            <w:vAlign w:val="center"/>
          </w:tcPr>
          <w:p w14:paraId="295AFC70" w14:textId="3E9022A6" w:rsidR="0026383F" w:rsidRPr="00436A41" w:rsidRDefault="00461672" w:rsidP="002369EA">
            <w:pPr>
              <w:snapToGrid w:val="0"/>
              <w:rPr>
                <w:rFonts w:eastAsia="DengXian"/>
                <w:color w:val="FF0000"/>
                <w:lang w:eastAsia="zh-CN"/>
              </w:rPr>
            </w:pPr>
            <w:r>
              <w:rPr>
                <w:rFonts w:eastAsia="DengXian"/>
                <w:color w:val="FF0000"/>
                <w:lang w:eastAsia="zh-CN"/>
              </w:rPr>
              <w:t>H</w:t>
            </w:r>
          </w:p>
        </w:tc>
        <w:tc>
          <w:tcPr>
            <w:tcW w:w="1717" w:type="pct"/>
            <w:vAlign w:val="center"/>
          </w:tcPr>
          <w:p w14:paraId="22932D7B" w14:textId="3EA381E3" w:rsidR="0026383F" w:rsidRPr="00436A41" w:rsidRDefault="0085375E" w:rsidP="002369EA">
            <w:pPr>
              <w:snapToGrid w:val="0"/>
            </w:pPr>
            <w:r>
              <w:t xml:space="preserve">FL: </w:t>
            </w:r>
            <w:r w:rsidR="00461672">
              <w:t>The suggested change "</w:t>
            </w:r>
            <w:r w:rsidR="00461672" w:rsidRPr="00461672">
              <w:t>with associated PDCCH candidates</w:t>
            </w:r>
            <w:r w:rsidR="00461672">
              <w:t>" may be vague, this could be addressed during the RAN1#111 discussion.</w:t>
            </w:r>
          </w:p>
        </w:tc>
      </w:tr>
      <w:tr w:rsidR="000C0D86" w:rsidRPr="00436A41" w14:paraId="01E5B24E" w14:textId="77777777" w:rsidTr="002369EA">
        <w:trPr>
          <w:trHeight w:val="66"/>
        </w:trPr>
        <w:tc>
          <w:tcPr>
            <w:tcW w:w="498" w:type="pct"/>
            <w:vAlign w:val="center"/>
          </w:tcPr>
          <w:p w14:paraId="5589E74A" w14:textId="1A177BAD" w:rsidR="000C0D86" w:rsidRPr="00436A41" w:rsidRDefault="000C0D86" w:rsidP="000C0D86">
            <w:pPr>
              <w:snapToGrid w:val="0"/>
            </w:pPr>
            <w:r w:rsidRPr="00436A41">
              <w:t>8.2.2-3</w:t>
            </w:r>
          </w:p>
        </w:tc>
        <w:tc>
          <w:tcPr>
            <w:tcW w:w="1489" w:type="pct"/>
            <w:vAlign w:val="center"/>
          </w:tcPr>
          <w:p w14:paraId="267AE11E" w14:textId="266F15D8" w:rsidR="000C0D86" w:rsidRPr="00436A41" w:rsidRDefault="000C0D86" w:rsidP="000C0D86">
            <w:pPr>
              <w:snapToGrid w:val="0"/>
              <w:rPr>
                <w:rFonts w:eastAsia="DengXian"/>
                <w:lang w:eastAsia="zh-CN"/>
              </w:rPr>
            </w:pPr>
            <w:r>
              <w:rPr>
                <w:rFonts w:eastAsia="DengXian"/>
                <w:lang w:eastAsia="zh-CN"/>
              </w:rPr>
              <w:t>Clarification of multi-slot monitoring in groups of slots</w:t>
            </w:r>
          </w:p>
        </w:tc>
        <w:tc>
          <w:tcPr>
            <w:tcW w:w="706" w:type="pct"/>
            <w:vAlign w:val="center"/>
          </w:tcPr>
          <w:p w14:paraId="531B1091" w14:textId="50B2FD3D" w:rsidR="000C0D86" w:rsidRPr="00436A41" w:rsidRDefault="000C0D86" w:rsidP="000C0D86">
            <w:pPr>
              <w:snapToGrid w:val="0"/>
            </w:pPr>
            <w:r w:rsidRPr="00436A41">
              <w:t>[</w:t>
            </w:r>
            <w:r>
              <w:t>5</w:t>
            </w:r>
            <w:r w:rsidRPr="00436A41">
              <w:t>]+[</w:t>
            </w:r>
            <w:r>
              <w:t>6</w:t>
            </w:r>
            <w:r w:rsidRPr="00436A41">
              <w:t>]</w:t>
            </w:r>
          </w:p>
        </w:tc>
        <w:tc>
          <w:tcPr>
            <w:tcW w:w="590" w:type="pct"/>
            <w:vAlign w:val="center"/>
          </w:tcPr>
          <w:p w14:paraId="50576E41" w14:textId="77777777" w:rsidR="000C0D86" w:rsidRPr="00436A41" w:rsidRDefault="000C0D86" w:rsidP="000C0D86">
            <w:pPr>
              <w:snapToGrid w:val="0"/>
              <w:rPr>
                <w:rFonts w:eastAsia="DengXian"/>
                <w:color w:val="FF0000"/>
                <w:lang w:eastAsia="zh-CN"/>
              </w:rPr>
            </w:pPr>
            <w:r w:rsidRPr="00436A41">
              <w:rPr>
                <w:rFonts w:eastAsia="DengXian"/>
                <w:color w:val="FF0000"/>
                <w:lang w:eastAsia="zh-CN"/>
              </w:rPr>
              <w:t>H</w:t>
            </w:r>
          </w:p>
        </w:tc>
        <w:tc>
          <w:tcPr>
            <w:tcW w:w="1717" w:type="pct"/>
            <w:vAlign w:val="center"/>
          </w:tcPr>
          <w:p w14:paraId="452D9CD0" w14:textId="77777777" w:rsidR="000C0D86" w:rsidRPr="00436A41" w:rsidRDefault="000C0D86" w:rsidP="000C0D86">
            <w:pPr>
              <w:snapToGrid w:val="0"/>
            </w:pPr>
          </w:p>
        </w:tc>
      </w:tr>
    </w:tbl>
    <w:p w14:paraId="768ECD0C" w14:textId="77777777" w:rsidR="00413385" w:rsidRPr="00436A41" w:rsidRDefault="00413385" w:rsidP="00C86460">
      <w:pPr>
        <w:snapToGrid w:val="0"/>
        <w:spacing w:after="60" w:line="288" w:lineRule="auto"/>
        <w:jc w:val="both"/>
      </w:pPr>
    </w:p>
    <w:p w14:paraId="7A16310F" w14:textId="77777777" w:rsidR="00824275" w:rsidRPr="00436A41" w:rsidRDefault="00824275" w:rsidP="00824275">
      <w:pPr>
        <w:pStyle w:val="Heading1"/>
        <w:numPr>
          <w:ilvl w:val="0"/>
          <w:numId w:val="0"/>
        </w:numPr>
        <w:spacing w:before="0" w:after="60"/>
        <w:ind w:left="799" w:hanging="799"/>
        <w:jc w:val="both"/>
        <w:rPr>
          <w:sz w:val="24"/>
          <w:szCs w:val="24"/>
          <w:lang w:val="en-US"/>
        </w:rPr>
      </w:pPr>
      <w:r w:rsidRPr="00436A41">
        <w:rPr>
          <w:sz w:val="24"/>
          <w:szCs w:val="24"/>
          <w:lang w:val="en-US"/>
        </w:rPr>
        <w:t>References</w:t>
      </w:r>
    </w:p>
    <w:p w14:paraId="44E8FEE5" w14:textId="46BB4347" w:rsidR="00FF4281" w:rsidRPr="00436A41" w:rsidRDefault="00FF4281" w:rsidP="00A9527A">
      <w:pPr>
        <w:rPr>
          <w:u w:val="single"/>
        </w:rPr>
      </w:pPr>
      <w:r w:rsidRPr="00436A41">
        <w:rPr>
          <w:u w:val="single"/>
        </w:rPr>
        <w:t xml:space="preserve">Contributions </w:t>
      </w:r>
      <w:r w:rsidR="008C2257" w:rsidRPr="00436A41">
        <w:rPr>
          <w:u w:val="single"/>
        </w:rPr>
        <w:t>related</w:t>
      </w:r>
      <w:r w:rsidRPr="00436A41">
        <w:rPr>
          <w:u w:val="single"/>
        </w:rPr>
        <w:t xml:space="preserve"> to </w:t>
      </w:r>
      <w:r w:rsidR="00436A41" w:rsidRPr="00436A41">
        <w:rPr>
          <w:u w:val="single"/>
        </w:rPr>
        <w:t>PDCCH monitoring enhancements</w:t>
      </w:r>
    </w:p>
    <w:p w14:paraId="17BF99F4" w14:textId="2CE1240A" w:rsidR="008C2257" w:rsidRPr="00436A41" w:rsidRDefault="008C2257" w:rsidP="008C2257">
      <w:r w:rsidRPr="00436A41">
        <w:lastRenderedPageBreak/>
        <w:t>[1]</w:t>
      </w:r>
      <w:r w:rsidRPr="00436A41">
        <w:tab/>
      </w:r>
      <w:r w:rsidR="004B4A93" w:rsidRPr="004B4A93">
        <w:t>R1-2211156</w:t>
      </w:r>
      <w:r w:rsidR="004B4A93" w:rsidRPr="004B4A93">
        <w:tab/>
        <w:t>Discussion on the correction for PDCCH monitoring occasion for DCI format 2_1 for the features extending NR operation to 71 GHz</w:t>
      </w:r>
      <w:r w:rsidR="004B4A93" w:rsidRPr="004B4A93">
        <w:tab/>
        <w:t>CATT</w:t>
      </w:r>
    </w:p>
    <w:p w14:paraId="0C8BE985" w14:textId="7DC6BA27" w:rsidR="008C2257" w:rsidRPr="00436A41" w:rsidRDefault="008C2257" w:rsidP="008C2257">
      <w:r w:rsidRPr="00436A41">
        <w:t>[2]</w:t>
      </w:r>
      <w:r w:rsidRPr="00436A41">
        <w:tab/>
      </w:r>
      <w:r w:rsidR="004B4A93" w:rsidRPr="004B4A93">
        <w:t>R1-2211157</w:t>
      </w:r>
      <w:r w:rsidR="004B4A93" w:rsidRPr="004B4A93">
        <w:tab/>
        <w:t>Correction for PDCCH monitoring occasion for DCI format 2_1 for the features extending NR operation to 71 GHz</w:t>
      </w:r>
      <w:r w:rsidR="004B4A93" w:rsidRPr="004B4A93">
        <w:tab/>
        <w:t>CATT</w:t>
      </w:r>
    </w:p>
    <w:p w14:paraId="4E2D4AC4" w14:textId="02023509" w:rsidR="008C2257" w:rsidRPr="00436A41" w:rsidRDefault="008C2257" w:rsidP="008C2257">
      <w:r w:rsidRPr="00436A41">
        <w:t>[3]</w:t>
      </w:r>
      <w:r w:rsidRPr="00436A41">
        <w:tab/>
      </w:r>
      <w:r w:rsidR="004B4A93" w:rsidRPr="004B4A93">
        <w:t>R1-2211158</w:t>
      </w:r>
      <w:r w:rsidR="004B4A93" w:rsidRPr="004B4A93">
        <w:tab/>
        <w:t>Discussion on the corrections of the definition of configured DL-CCs number for BD/CCE budge of  scheduling cell(s)  for the features extending NR operation to 71 GHz</w:t>
      </w:r>
      <w:r w:rsidR="004B4A93" w:rsidRPr="004B4A93">
        <w:tab/>
        <w:t>CATT</w:t>
      </w:r>
    </w:p>
    <w:p w14:paraId="590ACD60" w14:textId="54072680" w:rsidR="008C2257" w:rsidRPr="00436A41" w:rsidRDefault="008C2257" w:rsidP="008C2257">
      <w:r w:rsidRPr="00436A41">
        <w:t>[4]</w:t>
      </w:r>
      <w:r w:rsidRPr="00436A41">
        <w:tab/>
      </w:r>
      <w:r w:rsidR="004B4A93" w:rsidRPr="004B4A93">
        <w:t>R1-2211159</w:t>
      </w:r>
      <w:r w:rsidR="004B4A93" w:rsidRPr="004B4A93">
        <w:tab/>
        <w:t>corrections of the definition of configured DL-CCs number for BD/CCE budge of  scheduling cell(s)  for the features extending NR operation to 71 GHz</w:t>
      </w:r>
      <w:r w:rsidR="004B4A93" w:rsidRPr="004B4A93">
        <w:tab/>
        <w:t>CATT</w:t>
      </w:r>
    </w:p>
    <w:p w14:paraId="1272E1E6" w14:textId="77777777" w:rsidR="009074EF" w:rsidRDefault="008C2257" w:rsidP="009074EF">
      <w:r w:rsidRPr="00436A41">
        <w:t>[5]</w:t>
      </w:r>
      <w:r w:rsidRPr="00436A41">
        <w:tab/>
      </w:r>
      <w:r w:rsidR="009074EF">
        <w:t>R1-2211947</w:t>
      </w:r>
      <w:r w:rsidR="009074EF">
        <w:tab/>
        <w:t>Discussion on per-slot group monitoring within a duration</w:t>
      </w:r>
      <w:r w:rsidR="009074EF">
        <w:tab/>
        <w:t>Ericsson</w:t>
      </w:r>
    </w:p>
    <w:p w14:paraId="26D10D5B" w14:textId="77777777" w:rsidR="009074EF" w:rsidRPr="00436A41" w:rsidRDefault="008C2257" w:rsidP="009074EF">
      <w:r w:rsidRPr="00436A41">
        <w:t>[6]</w:t>
      </w:r>
      <w:r w:rsidRPr="00436A41">
        <w:tab/>
      </w:r>
      <w:r w:rsidR="009074EF">
        <w:t>R1-2211948</w:t>
      </w:r>
      <w:r w:rsidR="009074EF">
        <w:tab/>
        <w:t>Draft CR on per-slot group monitoring within a duration</w:t>
      </w:r>
      <w:r w:rsidR="009074EF">
        <w:tab/>
        <w:t>Ericsson</w:t>
      </w:r>
    </w:p>
    <w:sectPr w:rsidR="009074EF" w:rsidRPr="00436A41" w:rsidSect="00067DC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442E" w14:textId="77777777" w:rsidR="004A15D3" w:rsidRDefault="004A15D3" w:rsidP="00FE429F">
      <w:r>
        <w:separator/>
      </w:r>
    </w:p>
  </w:endnote>
  <w:endnote w:type="continuationSeparator" w:id="0">
    <w:p w14:paraId="44FBA245" w14:textId="77777777" w:rsidR="004A15D3" w:rsidRDefault="004A15D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AAD6" w14:textId="77777777" w:rsidR="004A15D3" w:rsidRDefault="004A15D3" w:rsidP="00FE429F">
      <w:r>
        <w:separator/>
      </w:r>
    </w:p>
  </w:footnote>
  <w:footnote w:type="continuationSeparator" w:id="0">
    <w:p w14:paraId="7C6A8F0A" w14:textId="77777777" w:rsidR="004A15D3" w:rsidRDefault="004A15D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16"/>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6"/>
  </w:num>
  <w:num w:numId="8">
    <w:abstractNumId w:val="23"/>
  </w:num>
  <w:num w:numId="9">
    <w:abstractNumId w:val="10"/>
  </w:num>
  <w:num w:numId="10">
    <w:abstractNumId w:val="7"/>
  </w:num>
  <w:num w:numId="11">
    <w:abstractNumId w:val="27"/>
  </w:num>
  <w:num w:numId="12">
    <w:abstractNumId w:val="25"/>
  </w:num>
  <w:num w:numId="13">
    <w:abstractNumId w:val="8"/>
  </w:num>
  <w:num w:numId="14">
    <w:abstractNumId w:val="42"/>
  </w:num>
  <w:num w:numId="15">
    <w:abstractNumId w:val="29"/>
  </w:num>
  <w:num w:numId="16">
    <w:abstractNumId w:val="6"/>
  </w:num>
  <w:num w:numId="17">
    <w:abstractNumId w:val="4"/>
  </w:num>
  <w:num w:numId="18">
    <w:abstractNumId w:val="34"/>
  </w:num>
  <w:num w:numId="19">
    <w:abstractNumId w:val="31"/>
  </w:num>
  <w:num w:numId="20">
    <w:abstractNumId w:val="40"/>
  </w:num>
  <w:num w:numId="21">
    <w:abstractNumId w:val="14"/>
  </w:num>
  <w:num w:numId="22">
    <w:abstractNumId w:val="0"/>
  </w:num>
  <w:num w:numId="23">
    <w:abstractNumId w:val="30"/>
  </w:num>
  <w:num w:numId="24">
    <w:abstractNumId w:val="43"/>
  </w:num>
  <w:num w:numId="25">
    <w:abstractNumId w:val="19"/>
  </w:num>
  <w:num w:numId="26">
    <w:abstractNumId w:val="24"/>
  </w:num>
  <w:num w:numId="27">
    <w:abstractNumId w:val="21"/>
  </w:num>
  <w:num w:numId="28">
    <w:abstractNumId w:val="20"/>
  </w:num>
  <w:num w:numId="29">
    <w:abstractNumId w:val="13"/>
  </w:num>
  <w:num w:numId="30">
    <w:abstractNumId w:val="5"/>
  </w:num>
  <w:num w:numId="31">
    <w:abstractNumId w:val="44"/>
  </w:num>
  <w:num w:numId="32">
    <w:abstractNumId w:val="38"/>
  </w:num>
  <w:num w:numId="33">
    <w:abstractNumId w:val="9"/>
  </w:num>
  <w:num w:numId="34">
    <w:abstractNumId w:val="46"/>
  </w:num>
  <w:num w:numId="35">
    <w:abstractNumId w:val="17"/>
  </w:num>
  <w:num w:numId="36">
    <w:abstractNumId w:val="39"/>
  </w:num>
  <w:num w:numId="37">
    <w:abstractNumId w:val="11"/>
  </w:num>
  <w:num w:numId="38">
    <w:abstractNumId w:val="35"/>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15"/>
  </w:num>
  <w:num w:numId="44">
    <w:abstractNumId w:val="12"/>
  </w:num>
  <w:num w:numId="45">
    <w:abstractNumId w:val="18"/>
  </w:num>
  <w:num w:numId="46">
    <w:abstractNumId w:val="28"/>
  </w:num>
  <w:num w:numId="47">
    <w:abstractNumId w:val="37"/>
  </w:num>
  <w:num w:numId="48">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512"/>
    <w:rsid w:val="00023F3D"/>
    <w:rsid w:val="00024A83"/>
    <w:rsid w:val="00024E45"/>
    <w:rsid w:val="00025019"/>
    <w:rsid w:val="00025DAF"/>
    <w:rsid w:val="00025E58"/>
    <w:rsid w:val="00030D2A"/>
    <w:rsid w:val="000310D1"/>
    <w:rsid w:val="000324D1"/>
    <w:rsid w:val="000325D7"/>
    <w:rsid w:val="00033012"/>
    <w:rsid w:val="00033B1F"/>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2573"/>
    <w:rsid w:val="00063F07"/>
    <w:rsid w:val="0006422D"/>
    <w:rsid w:val="00066ABA"/>
    <w:rsid w:val="000675D3"/>
    <w:rsid w:val="00067DC1"/>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0D86"/>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306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0A15"/>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416F"/>
    <w:rsid w:val="001557FB"/>
    <w:rsid w:val="001561BE"/>
    <w:rsid w:val="0015655A"/>
    <w:rsid w:val="00156988"/>
    <w:rsid w:val="00156D5D"/>
    <w:rsid w:val="00157409"/>
    <w:rsid w:val="00160D43"/>
    <w:rsid w:val="00162325"/>
    <w:rsid w:val="00162508"/>
    <w:rsid w:val="001639B7"/>
    <w:rsid w:val="00163B98"/>
    <w:rsid w:val="0016448C"/>
    <w:rsid w:val="001646A2"/>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0BD3"/>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383F"/>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CA6"/>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48CC"/>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15E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6FA"/>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6A41"/>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672"/>
    <w:rsid w:val="00461B31"/>
    <w:rsid w:val="004656F7"/>
    <w:rsid w:val="004663E3"/>
    <w:rsid w:val="00466B5F"/>
    <w:rsid w:val="00466BCC"/>
    <w:rsid w:val="00471532"/>
    <w:rsid w:val="004752A0"/>
    <w:rsid w:val="00476226"/>
    <w:rsid w:val="00476477"/>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15D3"/>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4A93"/>
    <w:rsid w:val="004B62FA"/>
    <w:rsid w:val="004B6AB7"/>
    <w:rsid w:val="004C09CB"/>
    <w:rsid w:val="004C1778"/>
    <w:rsid w:val="004C1E46"/>
    <w:rsid w:val="004C31B6"/>
    <w:rsid w:val="004C39BF"/>
    <w:rsid w:val="004C6AD2"/>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2D4"/>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6FE"/>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E04"/>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6AF3"/>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2E25"/>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4D0"/>
    <w:rsid w:val="006F09CB"/>
    <w:rsid w:val="006F37B6"/>
    <w:rsid w:val="006F4C40"/>
    <w:rsid w:val="006F6DB6"/>
    <w:rsid w:val="006F756D"/>
    <w:rsid w:val="006F77FC"/>
    <w:rsid w:val="00701055"/>
    <w:rsid w:val="00702007"/>
    <w:rsid w:val="007026AC"/>
    <w:rsid w:val="00703652"/>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A48"/>
    <w:rsid w:val="00850B38"/>
    <w:rsid w:val="00850E93"/>
    <w:rsid w:val="008510D9"/>
    <w:rsid w:val="00852454"/>
    <w:rsid w:val="00852787"/>
    <w:rsid w:val="008528B8"/>
    <w:rsid w:val="00852A13"/>
    <w:rsid w:val="00852C3F"/>
    <w:rsid w:val="008535CF"/>
    <w:rsid w:val="0085375E"/>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257"/>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4EF"/>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111"/>
    <w:rsid w:val="009772BB"/>
    <w:rsid w:val="009773E6"/>
    <w:rsid w:val="0097794B"/>
    <w:rsid w:val="00980467"/>
    <w:rsid w:val="00982180"/>
    <w:rsid w:val="00982CEC"/>
    <w:rsid w:val="00983DE6"/>
    <w:rsid w:val="00985064"/>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331C"/>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3FA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2DE"/>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27A"/>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338E"/>
    <w:rsid w:val="00B345C0"/>
    <w:rsid w:val="00B34B2A"/>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5637"/>
    <w:rsid w:val="00BD7C81"/>
    <w:rsid w:val="00BD7F95"/>
    <w:rsid w:val="00BE05FB"/>
    <w:rsid w:val="00BE0DF9"/>
    <w:rsid w:val="00BE0F8A"/>
    <w:rsid w:val="00BE1376"/>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516A"/>
    <w:rsid w:val="00CD588C"/>
    <w:rsid w:val="00CD5901"/>
    <w:rsid w:val="00CE1B6E"/>
    <w:rsid w:val="00CE26A3"/>
    <w:rsid w:val="00CE57EA"/>
    <w:rsid w:val="00CE6165"/>
    <w:rsid w:val="00CE66AD"/>
    <w:rsid w:val="00CE7753"/>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269C5"/>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6D0C"/>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7FA"/>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227"/>
    <w:rsid w:val="00E3774F"/>
    <w:rsid w:val="00E416BA"/>
    <w:rsid w:val="00E4225E"/>
    <w:rsid w:val="00E42E38"/>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7E6D"/>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2BD"/>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EF3"/>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3C00"/>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281"/>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4"/>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5"/>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7"/>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8"/>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0"/>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000">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3475332">
      <w:bodyDiv w:val="1"/>
      <w:marLeft w:val="0"/>
      <w:marRight w:val="0"/>
      <w:marTop w:val="0"/>
      <w:marBottom w:val="0"/>
      <w:divBdr>
        <w:top w:val="none" w:sz="0" w:space="0" w:color="auto"/>
        <w:left w:val="none" w:sz="0" w:space="0" w:color="auto"/>
        <w:bottom w:val="none" w:sz="0" w:space="0" w:color="auto"/>
        <w:right w:val="none" w:sz="0" w:space="0" w:color="auto"/>
      </w:divBdr>
    </w:div>
    <w:div w:id="158274572">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2471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9311866">
      <w:bodyDiv w:val="1"/>
      <w:marLeft w:val="0"/>
      <w:marRight w:val="0"/>
      <w:marTop w:val="0"/>
      <w:marBottom w:val="0"/>
      <w:divBdr>
        <w:top w:val="none" w:sz="0" w:space="0" w:color="auto"/>
        <w:left w:val="none" w:sz="0" w:space="0" w:color="auto"/>
        <w:bottom w:val="none" w:sz="0" w:space="0" w:color="auto"/>
        <w:right w:val="none" w:sz="0" w:space="0" w:color="auto"/>
      </w:divBdr>
    </w:div>
    <w:div w:id="35226932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9265836">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35151406">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198011466">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45796776">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381785008">
      <w:bodyDiv w:val="1"/>
      <w:marLeft w:val="0"/>
      <w:marRight w:val="0"/>
      <w:marTop w:val="0"/>
      <w:marBottom w:val="0"/>
      <w:divBdr>
        <w:top w:val="none" w:sz="0" w:space="0" w:color="auto"/>
        <w:left w:val="none" w:sz="0" w:space="0" w:color="auto"/>
        <w:bottom w:val="none" w:sz="0" w:space="0" w:color="auto"/>
        <w:right w:val="none" w:sz="0" w:space="0" w:color="auto"/>
      </w:divBdr>
    </w:div>
    <w:div w:id="143420333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58199702">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790395769">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1515379">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44204910">
      <w:bodyDiv w:val="1"/>
      <w:marLeft w:val="0"/>
      <w:marRight w:val="0"/>
      <w:marTop w:val="0"/>
      <w:marBottom w:val="0"/>
      <w:divBdr>
        <w:top w:val="none" w:sz="0" w:space="0" w:color="auto"/>
        <w:left w:val="none" w:sz="0" w:space="0" w:color="auto"/>
        <w:bottom w:val="none" w:sz="0" w:space="0" w:color="auto"/>
        <w:right w:val="none" w:sz="0" w:space="0" w:color="auto"/>
      </w:divBdr>
    </w:div>
    <w:div w:id="2061466995">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BBC97-CC77-4CC3-A1EB-40D6AAD11439}">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1637</Characters>
  <Application>Microsoft Office Word</Application>
  <DocSecurity>0</DocSecurity>
  <Lines>13</Lines>
  <Paragraphs>3</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Alexander Golitschek</cp:lastModifiedBy>
  <cp:revision>5</cp:revision>
  <dcterms:created xsi:type="dcterms:W3CDTF">2022-11-10T19:50:00Z</dcterms:created>
  <dcterms:modified xsi:type="dcterms:W3CDTF">2022-11-10T20:50:00Z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