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EF71" w14:textId="77777777" w:rsidR="003E0626" w:rsidRDefault="00E25219">
      <w:pPr>
        <w:tabs>
          <w:tab w:val="center" w:pos="4536"/>
          <w:tab w:val="right" w:pos="8280"/>
          <w:tab w:val="right" w:pos="9639"/>
        </w:tabs>
        <w:ind w:right="2"/>
        <w:rPr>
          <w:rFonts w:ascii="Arial" w:eastAsia="宋体" w:hAnsi="Arial" w:cs="Arial"/>
          <w:b/>
          <w:bCs/>
          <w:lang w:eastAsia="zh-CN"/>
        </w:rPr>
      </w:pPr>
      <w:r>
        <w:rPr>
          <w:rFonts w:ascii="Arial" w:hAnsi="Arial" w:cs="Arial"/>
          <w:b/>
          <w:bCs/>
          <w:lang w:val="de-DE"/>
        </w:rPr>
        <w:t>3GPP TSG RAN WG1 #1</w:t>
      </w:r>
      <w:r>
        <w:rPr>
          <w:rFonts w:ascii="Arial" w:eastAsia="宋体" w:hAnsi="Arial" w:cs="Arial" w:hint="eastAsia"/>
          <w:b/>
          <w:bCs/>
          <w:lang w:eastAsia="zh-CN"/>
        </w:rPr>
        <w:t>11</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eastAsia="宋体" w:hAnsi="Arial" w:cs="Arial" w:hint="eastAsia"/>
          <w:b/>
          <w:bCs/>
          <w:lang w:eastAsia="zh-CN"/>
        </w:rPr>
        <w:t xml:space="preserve">   </w:t>
      </w:r>
      <w:r>
        <w:rPr>
          <w:rFonts w:ascii="Arial" w:hAnsi="Arial" w:cs="Arial"/>
          <w:b/>
          <w:bCs/>
          <w:lang w:val="de-DE"/>
        </w:rPr>
        <w:tab/>
      </w:r>
      <w:r>
        <w:rPr>
          <w:rFonts w:ascii="Arial" w:eastAsia="宋体" w:hAnsi="Arial" w:cs="Arial" w:hint="eastAsia"/>
          <w:b/>
          <w:bCs/>
          <w:lang w:eastAsia="zh-CN"/>
        </w:rPr>
        <w:t xml:space="preserve">         </w:t>
      </w:r>
      <w:r>
        <w:rPr>
          <w:rFonts w:ascii="Arial" w:hAnsi="Arial" w:cs="Arial"/>
          <w:b/>
          <w:bCs/>
          <w:lang w:val="de-DE"/>
        </w:rPr>
        <w:t>R1-22</w:t>
      </w:r>
      <w:r>
        <w:rPr>
          <w:rFonts w:ascii="Arial" w:eastAsia="宋体" w:hAnsi="Arial" w:cs="Arial" w:hint="eastAsia"/>
          <w:b/>
          <w:bCs/>
          <w:lang w:eastAsia="zh-CN"/>
        </w:rPr>
        <w:t>1xxxx</w:t>
      </w:r>
    </w:p>
    <w:p w14:paraId="125E85A4" w14:textId="77777777" w:rsidR="003E0626" w:rsidRDefault="00E25219">
      <w:pPr>
        <w:tabs>
          <w:tab w:val="center" w:pos="4536"/>
          <w:tab w:val="right" w:pos="9072"/>
        </w:tabs>
        <w:spacing w:line="276" w:lineRule="auto"/>
        <w:rPr>
          <w:rFonts w:ascii="Arial" w:eastAsia="MS Mincho" w:hAnsi="Arial" w:cs="Arial"/>
          <w:b/>
          <w:bCs/>
          <w:lang w:eastAsia="ja-JP"/>
        </w:rPr>
      </w:pPr>
      <w:r>
        <w:rPr>
          <w:rFonts w:ascii="Arial" w:eastAsia="宋体" w:hAnsi="Arial" w:cs="Arial" w:hint="eastAsia"/>
          <w:b/>
          <w:bCs/>
          <w:lang w:eastAsia="zh-CN"/>
        </w:rPr>
        <w:t>Toulouse</w:t>
      </w:r>
      <w:r>
        <w:rPr>
          <w:rFonts w:ascii="Arial" w:eastAsia="MS Mincho" w:hAnsi="Arial" w:cs="Arial"/>
          <w:b/>
          <w:bCs/>
          <w:lang w:eastAsia="ja-JP"/>
        </w:rPr>
        <w:t>,</w:t>
      </w:r>
      <w:r>
        <w:rPr>
          <w:rFonts w:ascii="Arial" w:eastAsia="宋体" w:hAnsi="Arial" w:cs="Arial" w:hint="eastAsia"/>
          <w:b/>
          <w:bCs/>
          <w:lang w:eastAsia="zh-CN"/>
        </w:rPr>
        <w:t xml:space="preserve"> France,</w:t>
      </w:r>
      <w:r>
        <w:rPr>
          <w:rFonts w:ascii="Arial" w:eastAsia="MS Mincho" w:hAnsi="Arial" w:cs="Arial"/>
          <w:b/>
          <w:bCs/>
          <w:lang w:eastAsia="ja-JP"/>
        </w:rPr>
        <w:t xml:space="preserve"> </w:t>
      </w:r>
      <w:r>
        <w:rPr>
          <w:rFonts w:ascii="Arial" w:eastAsia="宋体" w:hAnsi="Arial" w:cs="Arial" w:hint="eastAsia"/>
          <w:b/>
          <w:bCs/>
          <w:lang w:eastAsia="zh-CN"/>
        </w:rPr>
        <w:t>November 14</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18</w:t>
      </w:r>
      <w:r>
        <w:rPr>
          <w:rFonts w:ascii="Arial" w:eastAsia="宋体" w:hAnsi="Arial" w:cs="Arial" w:hint="eastAsia"/>
          <w:b/>
          <w:bCs/>
          <w:vertAlign w:val="superscript"/>
          <w:lang w:eastAsia="zh-CN"/>
        </w:rPr>
        <w:t>th</w:t>
      </w:r>
      <w:r>
        <w:rPr>
          <w:rFonts w:ascii="Arial" w:eastAsia="MS Mincho" w:hAnsi="Arial" w:cs="Arial"/>
          <w:b/>
          <w:bCs/>
          <w:lang w:eastAsia="ja-JP"/>
        </w:rPr>
        <w:t xml:space="preserve">, 2022 </w:t>
      </w:r>
    </w:p>
    <w:p w14:paraId="4F3991E9" w14:textId="77777777" w:rsidR="003E0626" w:rsidRDefault="003E0626">
      <w:pPr>
        <w:tabs>
          <w:tab w:val="center" w:pos="4536"/>
          <w:tab w:val="right" w:pos="9072"/>
        </w:tabs>
        <w:spacing w:line="276" w:lineRule="auto"/>
        <w:rPr>
          <w:rFonts w:ascii="Arial" w:hAnsi="Arial" w:cs="Arial"/>
          <w:b/>
          <w:bCs/>
        </w:rPr>
      </w:pPr>
    </w:p>
    <w:p w14:paraId="6E9F6D5C" w14:textId="77777777" w:rsidR="003E0626" w:rsidRDefault="00E25219">
      <w:pPr>
        <w:tabs>
          <w:tab w:val="left" w:pos="1985"/>
        </w:tabs>
        <w:spacing w:after="120" w:line="288" w:lineRule="auto"/>
        <w:ind w:left="2040" w:hangingChars="850" w:hanging="2040"/>
        <w:rPr>
          <w:rFonts w:ascii="Arial" w:eastAsia="宋体"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75335AD4" w14:textId="77777777" w:rsidR="003E0626" w:rsidRDefault="00E25219">
      <w:pPr>
        <w:tabs>
          <w:tab w:val="left" w:pos="1985"/>
        </w:tabs>
        <w:spacing w:after="120" w:line="288" w:lineRule="auto"/>
        <w:ind w:left="2040" w:hangingChars="850" w:hanging="2040"/>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4E307352" w14:textId="77777777" w:rsidR="003E0626" w:rsidRDefault="00E25219">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r>
        <w:rPr>
          <w:rFonts w:ascii="Arial" w:hAnsi="Arial" w:hint="eastAsia"/>
          <w:lang w:eastAsia="zh-CN"/>
        </w:rPr>
        <w:t>FeMIMO maintenance for SRS in preparation phase</w:t>
      </w:r>
    </w:p>
    <w:p w14:paraId="33C4F7D1" w14:textId="77777777" w:rsidR="003E0626" w:rsidRDefault="00E25219">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663DD67" w14:textId="77777777" w:rsidR="003E0626" w:rsidRDefault="003E0626">
      <w:pPr>
        <w:snapToGrid w:val="0"/>
        <w:spacing w:after="120"/>
        <w:jc w:val="center"/>
        <w:rPr>
          <w:b/>
          <w:sz w:val="28"/>
          <w:szCs w:val="20"/>
        </w:rPr>
      </w:pPr>
    </w:p>
    <w:p w14:paraId="60316F0A" w14:textId="77777777" w:rsidR="003E0626" w:rsidRDefault="00E25219">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637DBC6E" w14:textId="77777777" w:rsidR="003E0626" w:rsidRDefault="00E25219">
      <w:pPr>
        <w:pStyle w:val="0Maintext"/>
        <w:spacing w:after="60" w:afterAutospacing="0"/>
        <w:ind w:firstLine="0"/>
        <w:rPr>
          <w:lang w:val="en-US"/>
        </w:rPr>
      </w:pPr>
      <w:r>
        <w:rPr>
          <w:lang w:val="en-US"/>
        </w:rPr>
        <w:t>The moderator summary of the maintenance-related issues raised in the submitted contributions for Rel</w:t>
      </w:r>
      <w:r>
        <w:rPr>
          <w:rFonts w:eastAsia="宋体" w:hint="eastAsia"/>
          <w:lang w:val="en-US" w:eastAsia="zh-CN"/>
        </w:rPr>
        <w:t>-</w:t>
      </w:r>
      <w:r>
        <w:rPr>
          <w:lang w:val="en-US"/>
        </w:rPr>
        <w:t xml:space="preserve">17 NR_FeMIMO is given below. </w:t>
      </w:r>
    </w:p>
    <w:p w14:paraId="69B2B415" w14:textId="77777777" w:rsidR="003E0626" w:rsidRDefault="00E25219">
      <w:pPr>
        <w:pStyle w:val="0Maintext"/>
        <w:spacing w:after="60" w:afterAutospacing="0"/>
        <w:ind w:firstLine="0"/>
        <w:rPr>
          <w:lang w:val="en-US"/>
        </w:rPr>
      </w:pPr>
      <w:r>
        <w:rPr>
          <w:lang w:val="en-US"/>
        </w:rPr>
        <w:t xml:space="preserve">An initial assessment on each issues is given (but can be revised based on the outcome of the discussion during the preparation </w:t>
      </w:r>
      <w:r>
        <w:rPr>
          <w:rFonts w:eastAsia="宋体"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w:t>
      </w:r>
    </w:p>
    <w:p w14:paraId="07B36798" w14:textId="77777777" w:rsidR="003E0626" w:rsidRDefault="00E2521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899DD28" w14:textId="77777777" w:rsidR="003E0626" w:rsidRDefault="00E2521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1C5FE15" w14:textId="77777777" w:rsidR="003E0626" w:rsidRDefault="00E2521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73B12818" w14:textId="77777777" w:rsidR="003E0626" w:rsidRDefault="003E0626">
      <w:pPr>
        <w:pStyle w:val="0Maintext"/>
        <w:spacing w:after="60" w:afterAutospacing="0"/>
        <w:ind w:firstLine="0"/>
        <w:rPr>
          <w:lang w:val="en-US"/>
        </w:rPr>
      </w:pPr>
    </w:p>
    <w:p w14:paraId="6E5C10F5" w14:textId="77777777" w:rsidR="003E0626" w:rsidRDefault="00E25219">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5D038B1A" w14:textId="77777777" w:rsidR="003E0626" w:rsidRDefault="00E25219">
      <w:pPr>
        <w:snapToGrid w:val="0"/>
        <w:spacing w:after="60" w:line="288" w:lineRule="auto"/>
        <w:rPr>
          <w:sz w:val="20"/>
        </w:rPr>
      </w:pPr>
      <w:r>
        <w:rPr>
          <w:sz w:val="20"/>
        </w:rPr>
        <w:t xml:space="preserve">The issues are summarized </w:t>
      </w:r>
      <w:r>
        <w:rPr>
          <w:rFonts w:eastAsia="宋体" w:hint="eastAsia"/>
          <w:sz w:val="20"/>
          <w:lang w:eastAsia="zh-CN"/>
        </w:rPr>
        <w:t>as follows</w:t>
      </w:r>
      <w:r>
        <w:rPr>
          <w:sz w:val="20"/>
        </w:rPr>
        <w:t>:</w:t>
      </w:r>
    </w:p>
    <w:tbl>
      <w:tblPr>
        <w:tblStyle w:val="TableGrid"/>
        <w:tblW w:w="13585" w:type="dxa"/>
        <w:tblLayout w:type="fixed"/>
        <w:tblLook w:val="04A0" w:firstRow="1" w:lastRow="0" w:firstColumn="1" w:lastColumn="0" w:noHBand="0" w:noVBand="1"/>
      </w:tblPr>
      <w:tblGrid>
        <w:gridCol w:w="723"/>
        <w:gridCol w:w="5495"/>
        <w:gridCol w:w="1148"/>
        <w:gridCol w:w="1089"/>
        <w:gridCol w:w="5130"/>
      </w:tblGrid>
      <w:tr w:rsidR="003E0626" w14:paraId="68CAF781" w14:textId="77777777">
        <w:trPr>
          <w:trHeight w:val="690"/>
        </w:trPr>
        <w:tc>
          <w:tcPr>
            <w:tcW w:w="723" w:type="dxa"/>
            <w:shd w:val="clear" w:color="auto" w:fill="BFBFBF" w:themeFill="background1" w:themeFillShade="BF"/>
          </w:tcPr>
          <w:p w14:paraId="6BFC4746" w14:textId="77777777" w:rsidR="003E0626" w:rsidRDefault="00E25219">
            <w:pPr>
              <w:snapToGrid w:val="0"/>
              <w:rPr>
                <w:b/>
                <w:sz w:val="18"/>
                <w:szCs w:val="18"/>
              </w:rPr>
            </w:pPr>
            <w:r>
              <w:rPr>
                <w:b/>
                <w:sz w:val="18"/>
                <w:szCs w:val="18"/>
              </w:rPr>
              <w:t>#</w:t>
            </w:r>
          </w:p>
        </w:tc>
        <w:tc>
          <w:tcPr>
            <w:tcW w:w="5495" w:type="dxa"/>
            <w:shd w:val="clear" w:color="auto" w:fill="BFBFBF" w:themeFill="background1" w:themeFillShade="BF"/>
          </w:tcPr>
          <w:p w14:paraId="484738AC" w14:textId="77777777" w:rsidR="003E0626" w:rsidRDefault="00E25219">
            <w:pPr>
              <w:snapToGrid w:val="0"/>
              <w:rPr>
                <w:b/>
                <w:sz w:val="18"/>
                <w:szCs w:val="18"/>
              </w:rPr>
            </w:pPr>
            <w:r>
              <w:rPr>
                <w:b/>
                <w:sz w:val="18"/>
                <w:szCs w:val="18"/>
              </w:rPr>
              <w:t>Issue (summary of CR proposal)</w:t>
            </w:r>
          </w:p>
        </w:tc>
        <w:tc>
          <w:tcPr>
            <w:tcW w:w="1148" w:type="dxa"/>
            <w:shd w:val="clear" w:color="auto" w:fill="BFBFBF" w:themeFill="background1" w:themeFillShade="BF"/>
          </w:tcPr>
          <w:p w14:paraId="6F55FC38" w14:textId="77777777" w:rsidR="003E0626" w:rsidRDefault="00E25219">
            <w:pPr>
              <w:snapToGrid w:val="0"/>
              <w:rPr>
                <w:b/>
                <w:sz w:val="18"/>
                <w:szCs w:val="18"/>
              </w:rPr>
            </w:pPr>
            <w:r>
              <w:rPr>
                <w:b/>
                <w:sz w:val="18"/>
                <w:szCs w:val="18"/>
              </w:rPr>
              <w:t>Companies</w:t>
            </w:r>
          </w:p>
        </w:tc>
        <w:tc>
          <w:tcPr>
            <w:tcW w:w="1089" w:type="dxa"/>
            <w:shd w:val="clear" w:color="auto" w:fill="BFBFBF" w:themeFill="background1" w:themeFillShade="BF"/>
          </w:tcPr>
          <w:p w14:paraId="50B9D319" w14:textId="77777777" w:rsidR="003E0626" w:rsidRDefault="00E25219">
            <w:pPr>
              <w:snapToGrid w:val="0"/>
              <w:rPr>
                <w:b/>
                <w:sz w:val="18"/>
                <w:szCs w:val="18"/>
              </w:rPr>
            </w:pPr>
            <w:r>
              <w:rPr>
                <w:b/>
                <w:sz w:val="18"/>
                <w:szCs w:val="18"/>
              </w:rPr>
              <w:t xml:space="preserve">FL assessment </w:t>
            </w:r>
          </w:p>
        </w:tc>
        <w:tc>
          <w:tcPr>
            <w:tcW w:w="5130" w:type="dxa"/>
            <w:shd w:val="clear" w:color="auto" w:fill="BFBFBF" w:themeFill="background1" w:themeFillShade="BF"/>
          </w:tcPr>
          <w:p w14:paraId="03E44F83" w14:textId="77777777" w:rsidR="003E0626" w:rsidRDefault="00E25219">
            <w:pPr>
              <w:snapToGrid w:val="0"/>
              <w:rPr>
                <w:b/>
                <w:sz w:val="18"/>
                <w:szCs w:val="18"/>
              </w:rPr>
            </w:pPr>
            <w:r>
              <w:rPr>
                <w:b/>
                <w:sz w:val="18"/>
                <w:szCs w:val="18"/>
              </w:rPr>
              <w:t>Company inputs (if any)</w:t>
            </w:r>
          </w:p>
        </w:tc>
      </w:tr>
      <w:tr w:rsidR="003E0626" w14:paraId="36D75D0C" w14:textId="77777777">
        <w:trPr>
          <w:trHeight w:val="126"/>
        </w:trPr>
        <w:tc>
          <w:tcPr>
            <w:tcW w:w="723" w:type="dxa"/>
          </w:tcPr>
          <w:p w14:paraId="4D86026E" w14:textId="77777777" w:rsidR="003E0626" w:rsidRDefault="00E25219">
            <w:pPr>
              <w:snapToGrid w:val="0"/>
              <w:rPr>
                <w:rFonts w:eastAsia="宋体"/>
                <w:sz w:val="18"/>
                <w:szCs w:val="18"/>
                <w:lang w:eastAsia="zh-CN"/>
              </w:rPr>
            </w:pPr>
            <w:r>
              <w:rPr>
                <w:rFonts w:eastAsia="宋体" w:hint="eastAsia"/>
                <w:sz w:val="18"/>
                <w:szCs w:val="18"/>
                <w:lang w:eastAsia="zh-CN"/>
              </w:rPr>
              <w:t>1</w:t>
            </w:r>
          </w:p>
        </w:tc>
        <w:tc>
          <w:tcPr>
            <w:tcW w:w="5495" w:type="dxa"/>
          </w:tcPr>
          <w:p w14:paraId="29180563" w14:textId="77777777" w:rsidR="003E0626" w:rsidRDefault="00E25219">
            <w:pPr>
              <w:snapToGrid w:val="0"/>
              <w:rPr>
                <w:rFonts w:eastAsia="DengXian"/>
                <w:b/>
                <w:bCs/>
                <w:sz w:val="18"/>
                <w:szCs w:val="18"/>
                <w:lang w:eastAsia="zh-CN"/>
              </w:rPr>
            </w:pPr>
            <w:r>
              <w:rPr>
                <w:rFonts w:eastAsia="DengXian" w:hint="eastAsia"/>
                <w:b/>
                <w:bCs/>
                <w:sz w:val="18"/>
                <w:szCs w:val="18"/>
                <w:lang w:eastAsia="zh-CN"/>
              </w:rPr>
              <w:t>TS 38.214, draft CR on clarifying parameter restriction for SRS resource sets (R1-2211091)</w:t>
            </w:r>
          </w:p>
          <w:p w14:paraId="19936F20" w14:textId="77777777" w:rsidR="003E0626" w:rsidRDefault="00E25219">
            <w:pPr>
              <w:snapToGrid w:val="0"/>
              <w:rPr>
                <w:sz w:val="18"/>
                <w:szCs w:val="18"/>
                <w:lang w:eastAsia="zh-CN"/>
              </w:rPr>
            </w:pPr>
            <w:r>
              <w:rPr>
                <w:rFonts w:hint="eastAsia"/>
                <w:sz w:val="18"/>
                <w:szCs w:val="18"/>
                <w:lang w:eastAsia="zh-CN"/>
              </w:rPr>
              <w:t>Two changes in total were raised in this CR, which are related to the configuration of aperiodic SRS set used for antenna switching.</w:t>
            </w:r>
          </w:p>
          <w:p w14:paraId="481ACF07"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Change#1: When more than one aperiodic SRS set is used for antenna switching of xTyR and each SRS resource in the more than </w:t>
            </w:r>
            <w:r>
              <w:rPr>
                <w:rFonts w:hint="eastAsia"/>
                <w:sz w:val="18"/>
                <w:szCs w:val="18"/>
                <w:lang w:eastAsia="zh-CN"/>
              </w:rPr>
              <w:lastRenderedPageBreak/>
              <w:t>one SRS set includes a different UE antenna port or a different UE antenna port pair, the more than one SRS set should be associated with the same power parameter, the same aperiodic trigger state and different slot offsets. This feature is omitted in some cases and should be captured completely</w:t>
            </w:r>
          </w:p>
          <w:p w14:paraId="4785266B" w14:textId="77777777" w:rsidR="003E0626" w:rsidRDefault="00E25219">
            <w:pPr>
              <w:numPr>
                <w:ilvl w:val="0"/>
                <w:numId w:val="35"/>
              </w:numPr>
              <w:snapToGrid w:val="0"/>
              <w:rPr>
                <w:sz w:val="18"/>
                <w:szCs w:val="18"/>
                <w:lang w:eastAsia="zh-CN"/>
              </w:rPr>
            </w:pPr>
            <w:r>
              <w:rPr>
                <w:rFonts w:hint="eastAsia"/>
                <w:sz w:val="18"/>
                <w:szCs w:val="18"/>
                <w:lang w:eastAsia="zh-CN"/>
              </w:rPr>
              <w:t>Change#2: On top of Change#1, the more than one aperiodic SRS set may be located in the same slot even though each of them is configured with different slot offsets, which will negatively impact the performance of DL CSI acquisition and should be avoided.</w:t>
            </w:r>
          </w:p>
          <w:p w14:paraId="5A1FBFC5" w14:textId="77777777" w:rsidR="003E0626" w:rsidRDefault="003E0626">
            <w:pPr>
              <w:snapToGrid w:val="0"/>
              <w:rPr>
                <w:sz w:val="18"/>
                <w:szCs w:val="18"/>
                <w:lang w:eastAsia="zh-CN"/>
              </w:rPr>
            </w:pPr>
          </w:p>
          <w:p w14:paraId="0F0CCDCC" w14:textId="77777777" w:rsidR="003E0626" w:rsidRDefault="00E25219">
            <w:pPr>
              <w:snapToGrid w:val="0"/>
              <w:rPr>
                <w:rFonts w:eastAsia="DengXian"/>
                <w:color w:val="0000FF"/>
                <w:sz w:val="18"/>
                <w:szCs w:val="18"/>
                <w:lang w:eastAsia="zh-CN"/>
              </w:rPr>
            </w:pPr>
            <w:r>
              <w:rPr>
                <w:rFonts w:eastAsia="DengXian" w:hint="eastAsia"/>
                <w:color w:val="0000FF"/>
                <w:sz w:val="18"/>
                <w:szCs w:val="18"/>
                <w:lang w:eastAsia="zh-CN"/>
              </w:rPr>
              <w:t>FL note 1: This issue is essential correction, which shall be discussed in RAN1#111 meeting.</w:t>
            </w:r>
          </w:p>
          <w:p w14:paraId="793FCDCB" w14:textId="77777777" w:rsidR="003E0626" w:rsidRDefault="003E0626">
            <w:pPr>
              <w:snapToGrid w:val="0"/>
              <w:rPr>
                <w:rFonts w:eastAsia="DengXian"/>
                <w:color w:val="0000FF"/>
                <w:sz w:val="18"/>
                <w:szCs w:val="18"/>
                <w:lang w:eastAsia="zh-CN"/>
              </w:rPr>
            </w:pPr>
          </w:p>
          <w:p w14:paraId="1FC6D7EA" w14:textId="77777777" w:rsidR="003E0626" w:rsidRDefault="00E25219">
            <w:pPr>
              <w:snapToGrid w:val="0"/>
              <w:rPr>
                <w:rFonts w:eastAsia="DengXian"/>
                <w:sz w:val="18"/>
                <w:szCs w:val="18"/>
                <w:lang w:eastAsia="zh-CN"/>
              </w:rPr>
            </w:pPr>
            <w:r>
              <w:rPr>
                <w:rFonts w:eastAsia="DengXian" w:hint="eastAsia"/>
                <w:color w:val="0000FF"/>
                <w:sz w:val="18"/>
                <w:szCs w:val="18"/>
                <w:lang w:eastAsia="zh-CN"/>
              </w:rPr>
              <w:t>FL note 2: The issues have NOT been discussed before.</w:t>
            </w:r>
          </w:p>
        </w:tc>
        <w:tc>
          <w:tcPr>
            <w:tcW w:w="1148" w:type="dxa"/>
          </w:tcPr>
          <w:p w14:paraId="2A55E687" w14:textId="77777777" w:rsidR="003E0626" w:rsidRDefault="00E25219">
            <w:pPr>
              <w:snapToGrid w:val="0"/>
              <w:rPr>
                <w:rFonts w:eastAsia="宋体"/>
                <w:sz w:val="20"/>
                <w:szCs w:val="20"/>
                <w:lang w:eastAsia="zh-CN"/>
              </w:rPr>
            </w:pPr>
            <w:r>
              <w:rPr>
                <w:rFonts w:eastAsia="宋体" w:hint="eastAsia"/>
                <w:sz w:val="20"/>
                <w:szCs w:val="20"/>
                <w:lang w:eastAsia="zh-CN"/>
              </w:rPr>
              <w:lastRenderedPageBreak/>
              <w:t>ZTE</w:t>
            </w:r>
          </w:p>
        </w:tc>
        <w:tc>
          <w:tcPr>
            <w:tcW w:w="1089" w:type="dxa"/>
          </w:tcPr>
          <w:p w14:paraId="3C799D90" w14:textId="77777777" w:rsidR="003E0626" w:rsidRDefault="00E25219">
            <w:pPr>
              <w:snapToGrid w:val="0"/>
              <w:rPr>
                <w:rFonts w:eastAsia="DengXian"/>
                <w:sz w:val="20"/>
                <w:szCs w:val="20"/>
                <w:lang w:eastAsia="zh-CN"/>
              </w:rPr>
            </w:pPr>
            <w:r>
              <w:rPr>
                <w:rFonts w:eastAsia="DengXian"/>
                <w:sz w:val="20"/>
                <w:szCs w:val="20"/>
                <w:lang w:eastAsia="zh-CN"/>
              </w:rPr>
              <w:t>H</w:t>
            </w:r>
          </w:p>
        </w:tc>
        <w:tc>
          <w:tcPr>
            <w:tcW w:w="5130" w:type="dxa"/>
          </w:tcPr>
          <w:p w14:paraId="209E72F5" w14:textId="77777777" w:rsidR="003E0626" w:rsidRDefault="00E25219">
            <w:pPr>
              <w:snapToGrid w:val="0"/>
              <w:spacing w:after="0"/>
              <w:rPr>
                <w:sz w:val="18"/>
                <w:szCs w:val="18"/>
              </w:rPr>
            </w:pPr>
            <w:r>
              <w:rPr>
                <w:rFonts w:hint="eastAsia"/>
                <w:sz w:val="18"/>
                <w:szCs w:val="18"/>
              </w:rPr>
              <w:t>Sa</w:t>
            </w:r>
            <w:r>
              <w:rPr>
                <w:sz w:val="18"/>
                <w:szCs w:val="18"/>
              </w:rPr>
              <w:t>msung:</w:t>
            </w:r>
          </w:p>
          <w:p w14:paraId="79ACEC14" w14:textId="77777777" w:rsidR="003E0626" w:rsidRDefault="00E25219">
            <w:pPr>
              <w:snapToGrid w:val="0"/>
              <w:spacing w:after="0"/>
              <w:rPr>
                <w:sz w:val="18"/>
                <w:szCs w:val="18"/>
              </w:rPr>
            </w:pPr>
            <w:r>
              <w:rPr>
                <w:sz w:val="18"/>
                <w:szCs w:val="18"/>
              </w:rPr>
              <w:t>Regarding Change#1, we are fine to discuss to capture omitted cases, including 4T8R which seems missed in TP.</w:t>
            </w:r>
          </w:p>
          <w:p w14:paraId="79E9BB9D" w14:textId="77777777" w:rsidR="003E0626" w:rsidRDefault="00E25219">
            <w:pPr>
              <w:snapToGrid w:val="0"/>
              <w:spacing w:after="0"/>
              <w:rPr>
                <w:sz w:val="18"/>
                <w:szCs w:val="18"/>
              </w:rPr>
            </w:pPr>
            <w:r>
              <w:rPr>
                <w:sz w:val="18"/>
                <w:szCs w:val="18"/>
              </w:rPr>
              <w:t xml:space="preserve">Regarding Change#2, we can discuss further, whether to maintain the current specification sentence as “the value of the higher layer parameter </w:t>
            </w:r>
            <w:r>
              <w:rPr>
                <w:i/>
                <w:sz w:val="18"/>
                <w:szCs w:val="18"/>
              </w:rPr>
              <w:t>slotOffset</w:t>
            </w:r>
            <w:r>
              <w:rPr>
                <w:sz w:val="18"/>
                <w:szCs w:val="18"/>
              </w:rPr>
              <w:t xml:space="preserve"> in each </w:t>
            </w:r>
            <w:r>
              <w:rPr>
                <w:i/>
                <w:sz w:val="18"/>
                <w:szCs w:val="18"/>
              </w:rPr>
              <w:t>SRS-ResourceSet</w:t>
            </w:r>
            <w:r>
              <w:rPr>
                <w:sz w:val="18"/>
                <w:szCs w:val="18"/>
              </w:rPr>
              <w:t xml:space="preserve"> is different” with TP.</w:t>
            </w:r>
          </w:p>
          <w:p w14:paraId="16CF7C16" w14:textId="77777777" w:rsidR="003E0626" w:rsidRDefault="003E0626">
            <w:pPr>
              <w:snapToGrid w:val="0"/>
              <w:spacing w:after="0"/>
              <w:rPr>
                <w:rFonts w:eastAsia="宋体"/>
                <w:sz w:val="18"/>
                <w:szCs w:val="18"/>
                <w:lang w:eastAsia="zh-CN"/>
              </w:rPr>
            </w:pPr>
          </w:p>
          <w:p w14:paraId="30D809D2" w14:textId="77777777" w:rsidR="003E0626" w:rsidRDefault="00E25219">
            <w:pPr>
              <w:snapToGrid w:val="0"/>
              <w:spacing w:after="0"/>
              <w:rPr>
                <w:rFonts w:eastAsia="宋体"/>
                <w:sz w:val="18"/>
                <w:szCs w:val="18"/>
                <w:lang w:eastAsia="zh-CN"/>
              </w:rPr>
            </w:pPr>
            <w:r>
              <w:rPr>
                <w:rFonts w:eastAsia="宋体" w:hint="eastAsia"/>
                <w:sz w:val="18"/>
                <w:szCs w:val="18"/>
                <w:lang w:eastAsia="zh-CN"/>
              </w:rPr>
              <w:lastRenderedPageBreak/>
              <w:t>ZTE: Based on Samsung</w:t>
            </w:r>
            <w:r>
              <w:rPr>
                <w:rFonts w:eastAsia="宋体"/>
                <w:sz w:val="18"/>
                <w:szCs w:val="18"/>
                <w:lang w:eastAsia="zh-CN"/>
              </w:rPr>
              <w:t>’</w:t>
            </w:r>
            <w:r>
              <w:rPr>
                <w:rFonts w:eastAsia="宋体" w:hint="eastAsia"/>
                <w:sz w:val="18"/>
                <w:szCs w:val="18"/>
                <w:lang w:eastAsia="zh-CN"/>
              </w:rPr>
              <w:t>s comments, we provide following update</w:t>
            </w:r>
          </w:p>
          <w:p w14:paraId="6AFD8F1C" w14:textId="77777777" w:rsidR="003E0626" w:rsidRDefault="00E25219">
            <w:pPr>
              <w:snapToGrid w:val="0"/>
              <w:spacing w:after="0"/>
              <w:rPr>
                <w:rFonts w:eastAsia="宋体"/>
                <w:sz w:val="18"/>
                <w:szCs w:val="18"/>
                <w:lang w:eastAsia="zh-CN"/>
              </w:rPr>
            </w:pPr>
            <w:r>
              <w:rPr>
                <w:rFonts w:eastAsia="宋体" w:hint="eastAsia"/>
                <w:b/>
                <w:bCs/>
                <w:sz w:val="18"/>
                <w:szCs w:val="18"/>
                <w:lang w:eastAsia="zh-CN"/>
              </w:rPr>
              <w:t xml:space="preserve">Updated change </w:t>
            </w:r>
            <w:r>
              <w:rPr>
                <w:rFonts w:eastAsia="宋体" w:hint="eastAsia"/>
                <w:sz w:val="18"/>
                <w:szCs w:val="18"/>
                <w:lang w:eastAsia="zh-CN"/>
              </w:rPr>
              <w:t xml:space="preserve">  </w:t>
            </w:r>
          </w:p>
          <w:p w14:paraId="1C680C80" w14:textId="77777777" w:rsidR="003E0626" w:rsidRDefault="00E25219">
            <w:pPr>
              <w:spacing w:after="180"/>
              <w:jc w:val="left"/>
              <w:rPr>
                <w:ins w:id="2" w:author="ZTE" w:date="2022-11-11T09:06:00Z"/>
                <w:rFonts w:eastAsia="宋体"/>
                <w:sz w:val="20"/>
                <w:szCs w:val="20"/>
                <w:lang w:eastAsia="ja-JP"/>
              </w:rPr>
            </w:pPr>
            <w:r>
              <w:rPr>
                <w:rFonts w:eastAsia="DengXian" w:hint="eastAsia"/>
                <w:sz w:val="20"/>
                <w:szCs w:val="20"/>
                <w:lang w:eastAsia="zh-CN"/>
              </w:rPr>
              <w:t>In the case that more than one aperiodic SRS set is configured</w:t>
            </w:r>
            <w:ins w:id="3" w:author="ZTE" w:date="2022-11-11T09:16:00Z">
              <w:r>
                <w:rPr>
                  <w:rFonts w:eastAsia="DengXian" w:hint="eastAsia"/>
                  <w:sz w:val="20"/>
                  <w:szCs w:val="20"/>
                  <w:lang w:eastAsia="zh-CN"/>
                </w:rPr>
                <w:t xml:space="preserve"> or in</w:t>
              </w:r>
            </w:ins>
            <w:ins w:id="4" w:author="ZTE" w:date="2022-11-11T09:17:00Z">
              <w:r>
                <w:rPr>
                  <w:rFonts w:eastAsia="DengXian" w:hint="eastAsia"/>
                  <w:sz w:val="20"/>
                  <w:szCs w:val="20"/>
                  <w:lang w:eastAsia="zh-CN"/>
                </w:rPr>
                <w:t>dicated</w:t>
              </w:r>
            </w:ins>
            <w:r>
              <w:rPr>
                <w:rFonts w:eastAsia="DengXian" w:hint="eastAsia"/>
                <w:sz w:val="20"/>
                <w:szCs w:val="20"/>
                <w:lang w:eastAsia="zh-CN"/>
              </w:rPr>
              <w:t xml:space="preserve"> in different slots and </w:t>
            </w:r>
            <w:r>
              <w:rPr>
                <w:rFonts w:eastAsia="DengXian"/>
                <w:sz w:val="20"/>
                <w:szCs w:val="20"/>
                <w:lang w:eastAsia="zh-CN"/>
              </w:rPr>
              <w:t xml:space="preserve">each SRS resource in the more than one aperiodic SRS set </w:t>
            </w:r>
            <w:r>
              <w:rPr>
                <w:rFonts w:eastAsia="DengXian" w:hint="eastAsia"/>
                <w:sz w:val="20"/>
                <w:szCs w:val="20"/>
                <w:lang w:eastAsia="zh-CN"/>
              </w:rPr>
              <w:t>is</w:t>
            </w:r>
            <w:r>
              <w:rPr>
                <w:rFonts w:eastAsia="DengXian"/>
                <w:sz w:val="20"/>
                <w:szCs w:val="20"/>
                <w:lang w:eastAsia="zh-CN"/>
              </w:rPr>
              <w:t xml:space="preserve"> </w:t>
            </w:r>
            <w:r>
              <w:rPr>
                <w:rFonts w:eastAsia="MS Mincho"/>
                <w:iCs/>
                <w:color w:val="000000"/>
                <w:sz w:val="20"/>
                <w:szCs w:val="20"/>
                <w:lang w:eastAsia="ja-JP"/>
              </w:rPr>
              <w:t>associated with a different UE antenna port</w:t>
            </w:r>
            <w:ins w:id="5" w:author="ZTE" w:date="2022-11-11T08:58:00Z">
              <w:r>
                <w:rPr>
                  <w:rFonts w:eastAsia="宋体" w:hint="eastAsia"/>
                  <w:iCs/>
                  <w:color w:val="000000"/>
                  <w:sz w:val="20"/>
                  <w:szCs w:val="20"/>
                  <w:lang w:eastAsia="zh-CN"/>
                </w:rPr>
                <w:t>(s)</w:t>
              </w:r>
            </w:ins>
            <w:r>
              <w:rPr>
                <w:rFonts w:eastAsia="宋体" w:hint="eastAsia"/>
                <w:iCs/>
                <w:color w:val="000000"/>
                <w:sz w:val="20"/>
                <w:szCs w:val="20"/>
                <w:lang w:eastAsia="zh-CN"/>
              </w:rPr>
              <w:t xml:space="preserve"> for </w:t>
            </w:r>
            <w:r>
              <w:rPr>
                <w:rFonts w:eastAsia="DengXian" w:hint="eastAsia"/>
                <w:sz w:val="20"/>
                <w:szCs w:val="20"/>
                <w:lang w:eastAsia="zh-CN"/>
              </w:rPr>
              <w:t xml:space="preserve">1T2R, 1T4R, 1T6R </w:t>
            </w:r>
            <w:ins w:id="6" w:author="ZTE" w:date="2022-11-11T08:58:00Z">
              <w:r>
                <w:rPr>
                  <w:rFonts w:eastAsia="DengXian" w:hint="eastAsia"/>
                  <w:sz w:val="20"/>
                  <w:szCs w:val="20"/>
                  <w:lang w:eastAsia="zh-CN"/>
                </w:rPr>
                <w:t>,</w:t>
              </w:r>
            </w:ins>
            <w:del w:id="7" w:author="ZTE" w:date="2022-11-11T08:58:00Z">
              <w:r>
                <w:rPr>
                  <w:rFonts w:eastAsia="DengXian" w:hint="eastAsia"/>
                  <w:sz w:val="20"/>
                  <w:szCs w:val="20"/>
                  <w:lang w:eastAsia="zh-CN"/>
                </w:rPr>
                <w:delText>or</w:delText>
              </w:r>
            </w:del>
            <w:r>
              <w:rPr>
                <w:rFonts w:eastAsia="DengXian" w:hint="eastAsia"/>
                <w:sz w:val="20"/>
                <w:szCs w:val="20"/>
                <w:lang w:eastAsia="zh-CN"/>
              </w:rPr>
              <w:t xml:space="preserve"> 1T8R</w:t>
            </w:r>
            <w:r>
              <w:rPr>
                <w:rFonts w:eastAsia="宋体" w:hint="eastAsia"/>
                <w:iCs/>
                <w:color w:val="000000"/>
                <w:sz w:val="20"/>
                <w:szCs w:val="20"/>
                <w:lang w:eastAsia="zh-CN"/>
              </w:rPr>
              <w:t>,</w:t>
            </w:r>
            <w:del w:id="8" w:author="ZTE" w:date="2022-11-11T08:58:00Z">
              <w:r>
                <w:rPr>
                  <w:rFonts w:eastAsia="宋体" w:hint="eastAsia"/>
                  <w:iCs/>
                  <w:color w:val="000000"/>
                  <w:sz w:val="20"/>
                  <w:szCs w:val="20"/>
                  <w:lang w:eastAsia="zh-CN"/>
                </w:rPr>
                <w:delText xml:space="preserve"> or with a different UE antenna pair for </w:delText>
              </w:r>
            </w:del>
            <w:r>
              <w:rPr>
                <w:rFonts w:eastAsia="宋体" w:hint="eastAsia"/>
                <w:iCs/>
                <w:color w:val="000000"/>
                <w:sz w:val="20"/>
                <w:szCs w:val="20"/>
                <w:lang w:eastAsia="zh-CN"/>
              </w:rPr>
              <w:t xml:space="preserve">2T4R </w:t>
            </w:r>
            <w:del w:id="9" w:author="ZTE" w:date="2022-11-11T08:58:00Z">
              <w:r>
                <w:rPr>
                  <w:rFonts w:eastAsia="宋体" w:hint="eastAsia"/>
                  <w:iCs/>
                  <w:color w:val="000000"/>
                  <w:sz w:val="20"/>
                  <w:szCs w:val="20"/>
                  <w:lang w:eastAsia="zh-CN"/>
                </w:rPr>
                <w:delText>or</w:delText>
              </w:r>
            </w:del>
            <w:r>
              <w:rPr>
                <w:rFonts w:eastAsia="宋体" w:hint="eastAsia"/>
                <w:iCs/>
                <w:color w:val="000000"/>
                <w:sz w:val="20"/>
                <w:szCs w:val="20"/>
                <w:lang w:eastAsia="zh-CN"/>
              </w:rPr>
              <w:t xml:space="preserve"> 2T6R, </w:t>
            </w:r>
            <w:ins w:id="10" w:author="ZTE" w:date="2022-11-11T08:59:00Z">
              <w:r>
                <w:rPr>
                  <w:rFonts w:eastAsia="宋体" w:hint="eastAsia"/>
                  <w:iCs/>
                  <w:color w:val="000000"/>
                  <w:sz w:val="20"/>
                  <w:szCs w:val="20"/>
                  <w:lang w:eastAsia="zh-CN"/>
                </w:rPr>
                <w:t xml:space="preserve">2T8R,or 4T8R, </w:t>
              </w:r>
            </w:ins>
            <w:r>
              <w:rPr>
                <w:rFonts w:eastAsia="宋体" w:hint="eastAsia"/>
                <w:iCs/>
                <w:color w:val="000000"/>
                <w:sz w:val="20"/>
                <w:szCs w:val="20"/>
                <w:lang w:eastAsia="zh-CN"/>
              </w:rPr>
              <w:t>t</w:t>
            </w:r>
            <w:r>
              <w:rPr>
                <w:rFonts w:eastAsia="宋体"/>
                <w:sz w:val="20"/>
                <w:szCs w:val="20"/>
                <w:lang w:eastAsia="ja-JP"/>
              </w:rPr>
              <w:t xml:space="preserve">he UE shall expect that the </w:t>
            </w:r>
            <w:r>
              <w:rPr>
                <w:rFonts w:eastAsia="宋体"/>
                <w:sz w:val="20"/>
                <w:szCs w:val="20"/>
                <w:lang w:eastAsia="zh-CN"/>
              </w:rPr>
              <w:t>more than one</w:t>
            </w:r>
            <w:r>
              <w:rPr>
                <w:rFonts w:eastAsia="宋体"/>
                <w:sz w:val="20"/>
                <w:szCs w:val="20"/>
                <w:lang w:eastAsia="ja-JP"/>
              </w:rPr>
              <w:t xml:space="preserve"> set </w:t>
            </w:r>
            <w:r>
              <w:rPr>
                <w:rFonts w:eastAsia="宋体" w:hint="eastAsia"/>
                <w:sz w:val="20"/>
                <w:szCs w:val="20"/>
                <w:lang w:eastAsia="zh-CN"/>
              </w:rPr>
              <w:t>is</w:t>
            </w:r>
            <w:r>
              <w:rPr>
                <w:rFonts w:eastAsia="宋体"/>
                <w:sz w:val="20"/>
                <w:szCs w:val="20"/>
                <w:lang w:eastAsia="ja-JP"/>
              </w:rPr>
              <w:t xml:space="preserve"> configured with the same values of the higher layer parameters </w:t>
            </w:r>
            <w:r>
              <w:rPr>
                <w:rFonts w:eastAsia="宋体"/>
                <w:i/>
                <w:sz w:val="20"/>
                <w:szCs w:val="20"/>
                <w:lang w:eastAsia="ja-JP"/>
              </w:rPr>
              <w:t>alpha</w:t>
            </w:r>
            <w:r>
              <w:rPr>
                <w:rFonts w:eastAsia="宋体"/>
                <w:sz w:val="20"/>
                <w:szCs w:val="20"/>
                <w:lang w:eastAsia="ja-JP"/>
              </w:rPr>
              <w:t xml:space="preserve">, </w:t>
            </w:r>
            <w:r>
              <w:rPr>
                <w:rFonts w:eastAsia="宋体"/>
                <w:i/>
                <w:sz w:val="20"/>
                <w:szCs w:val="20"/>
                <w:lang w:eastAsia="ja-JP"/>
              </w:rPr>
              <w:t>p0</w:t>
            </w:r>
            <w:r>
              <w:rPr>
                <w:rFonts w:eastAsia="宋体"/>
                <w:sz w:val="20"/>
                <w:szCs w:val="20"/>
                <w:lang w:eastAsia="ja-JP"/>
              </w:rPr>
              <w:t xml:space="preserve">, </w:t>
            </w:r>
            <w:r>
              <w:rPr>
                <w:rFonts w:eastAsia="宋体"/>
                <w:i/>
                <w:sz w:val="20"/>
                <w:szCs w:val="20"/>
                <w:lang w:eastAsia="ja-JP"/>
              </w:rPr>
              <w:t>pathlossReferenceRS</w:t>
            </w:r>
            <w:r>
              <w:rPr>
                <w:rFonts w:eastAsia="宋体"/>
                <w:sz w:val="20"/>
                <w:szCs w:val="20"/>
                <w:lang w:eastAsia="ja-JP"/>
              </w:rPr>
              <w:t xml:space="preserve">, and </w:t>
            </w:r>
            <w:r>
              <w:rPr>
                <w:rFonts w:eastAsia="宋体"/>
                <w:i/>
                <w:sz w:val="20"/>
                <w:szCs w:val="20"/>
                <w:lang w:eastAsia="ja-JP"/>
              </w:rPr>
              <w:t>srs-PowerControlAdjustmentStates</w:t>
            </w:r>
            <w:r>
              <w:rPr>
                <w:rFonts w:eastAsia="宋体"/>
                <w:sz w:val="20"/>
                <w:szCs w:val="20"/>
                <w:lang w:eastAsia="ja-JP"/>
              </w:rPr>
              <w:t xml:space="preserve"> in </w:t>
            </w:r>
            <w:r>
              <w:rPr>
                <w:rFonts w:eastAsia="宋体"/>
                <w:i/>
                <w:sz w:val="20"/>
                <w:szCs w:val="20"/>
                <w:lang w:eastAsia="ja-JP"/>
              </w:rPr>
              <w:t>SRS-ResourceSet</w:t>
            </w:r>
            <w:r>
              <w:rPr>
                <w:rFonts w:eastAsia="宋体"/>
                <w:sz w:val="20"/>
                <w:szCs w:val="20"/>
                <w:lang w:eastAsia="ja-JP"/>
              </w:rPr>
              <w:t xml:space="preserve">. The UE shall expect that the value of the higher layer parameter </w:t>
            </w:r>
            <w:r>
              <w:rPr>
                <w:rFonts w:eastAsia="宋体"/>
                <w:i/>
                <w:sz w:val="20"/>
                <w:szCs w:val="20"/>
                <w:lang w:eastAsia="ja-JP"/>
              </w:rPr>
              <w:t>aperiodicSRS-ResourceTrigger</w:t>
            </w:r>
            <w:r>
              <w:rPr>
                <w:rFonts w:eastAsia="宋体"/>
                <w:sz w:val="20"/>
                <w:szCs w:val="20"/>
                <w:lang w:eastAsia="ja-JP"/>
              </w:rPr>
              <w:t xml:space="preserve"> or the value of an entry in </w:t>
            </w:r>
            <w:r>
              <w:rPr>
                <w:rFonts w:eastAsia="宋体"/>
                <w:i/>
                <w:sz w:val="20"/>
                <w:szCs w:val="20"/>
                <w:lang w:eastAsia="ja-JP"/>
              </w:rPr>
              <w:t>AperiodicSRS-ResourceTriggerList</w:t>
            </w:r>
            <w:r>
              <w:rPr>
                <w:rFonts w:eastAsia="宋体"/>
                <w:sz w:val="20"/>
                <w:szCs w:val="20"/>
                <w:lang w:eastAsia="ja-JP"/>
              </w:rPr>
              <w:t xml:space="preserve"> in each </w:t>
            </w:r>
            <w:r>
              <w:rPr>
                <w:rFonts w:eastAsia="宋体"/>
                <w:i/>
                <w:sz w:val="20"/>
                <w:szCs w:val="20"/>
                <w:lang w:eastAsia="ja-JP"/>
              </w:rPr>
              <w:t>SRS-ResourceSet</w:t>
            </w:r>
            <w:r>
              <w:rPr>
                <w:rFonts w:eastAsia="宋体"/>
                <w:sz w:val="20"/>
                <w:szCs w:val="20"/>
                <w:lang w:eastAsia="ja-JP"/>
              </w:rPr>
              <w:t xml:space="preserve"> is the same</w:t>
            </w:r>
            <w:r>
              <w:rPr>
                <w:rFonts w:eastAsia="宋体"/>
                <w:sz w:val="20"/>
                <w:szCs w:val="20"/>
                <w:lang w:eastAsia="zh-CN"/>
              </w:rPr>
              <w:t xml:space="preserve"> for the more than one set</w:t>
            </w:r>
            <w:ins w:id="11" w:author="ZTE" w:date="2022-11-11T09:16:00Z">
              <w:r>
                <w:rPr>
                  <w:rFonts w:eastAsia="宋体" w:hint="eastAsia"/>
                  <w:sz w:val="20"/>
                  <w:szCs w:val="20"/>
                  <w:lang w:eastAsia="zh-CN"/>
                </w:rPr>
                <w:t>.</w:t>
              </w:r>
            </w:ins>
            <w:del w:id="12" w:author="ZTE" w:date="2022-11-11T09:16:00Z">
              <w:r>
                <w:rPr>
                  <w:rFonts w:eastAsia="宋体"/>
                  <w:sz w:val="20"/>
                  <w:szCs w:val="20"/>
                  <w:lang w:eastAsia="ja-JP"/>
                </w:rPr>
                <w:delText>, and</w:delText>
              </w:r>
              <w:r>
                <w:rPr>
                  <w:rFonts w:eastAsia="宋体" w:hint="eastAsia"/>
                  <w:sz w:val="20"/>
                  <w:szCs w:val="20"/>
                  <w:lang w:eastAsia="zh-CN"/>
                </w:rPr>
                <w:delText xml:space="preserve"> </w:delText>
              </w:r>
              <w:r>
                <w:rPr>
                  <w:rFonts w:eastAsia="宋体"/>
                  <w:sz w:val="20"/>
                  <w:szCs w:val="20"/>
                  <w:lang w:eastAsia="zh-CN"/>
                </w:rPr>
                <w:delText xml:space="preserve">the more than one SRS set </w:delText>
              </w:r>
              <w:r>
                <w:rPr>
                  <w:rFonts w:eastAsia="宋体" w:hint="eastAsia"/>
                  <w:sz w:val="20"/>
                  <w:szCs w:val="20"/>
                  <w:lang w:eastAsia="zh-CN"/>
                </w:rPr>
                <w:delText>is</w:delText>
              </w:r>
              <w:r>
                <w:rPr>
                  <w:rFonts w:eastAsia="宋体"/>
                  <w:sz w:val="20"/>
                  <w:szCs w:val="20"/>
                  <w:lang w:eastAsia="zh-CN"/>
                </w:rPr>
                <w:delText xml:space="preserve"> transmitted in different slots</w:delText>
              </w:r>
              <w:r>
                <w:rPr>
                  <w:rFonts w:eastAsia="宋体" w:hint="eastAsia"/>
                  <w:sz w:val="20"/>
                  <w:szCs w:val="20"/>
                  <w:lang w:eastAsia="zh-CN"/>
                </w:rPr>
                <w:delText xml:space="preserve"> based on </w:delText>
              </w:r>
              <w:r>
                <w:rPr>
                  <w:rFonts w:eastAsia="Malgun Gothic"/>
                  <w:iCs/>
                  <w:color w:val="000000"/>
                  <w:sz w:val="20"/>
                  <w:szCs w:val="20"/>
                  <w:lang w:val="en-GB" w:eastAsia="zh-CN"/>
                </w:rPr>
                <w:delText xml:space="preserve">the higher layer parameter </w:delText>
              </w:r>
              <w:r>
                <w:rPr>
                  <w:rFonts w:eastAsia="Malgun Gothic"/>
                  <w:i/>
                  <w:iCs/>
                  <w:color w:val="000000"/>
                  <w:sz w:val="20"/>
                  <w:szCs w:val="20"/>
                  <w:lang w:val="en-GB" w:eastAsia="zh-CN"/>
                </w:rPr>
                <w:delText>slotOffset</w:delText>
              </w:r>
              <w:r>
                <w:rPr>
                  <w:rFonts w:eastAsia="Malgun Gothic"/>
                  <w:iCs/>
                  <w:color w:val="000000"/>
                  <w:sz w:val="20"/>
                  <w:szCs w:val="20"/>
                  <w:lang w:val="en-GB" w:eastAsia="zh-CN"/>
                </w:rPr>
                <w:delText xml:space="preserve"> </w:delText>
              </w:r>
              <w:r>
                <w:rPr>
                  <w:rFonts w:eastAsia="Malgun Gothic" w:hint="eastAsia"/>
                  <w:i/>
                  <w:iCs/>
                  <w:color w:val="000000"/>
                  <w:sz w:val="20"/>
                  <w:szCs w:val="20"/>
                  <w:lang w:eastAsia="zh-CN"/>
                </w:rPr>
                <w:delText xml:space="preserve">and </w:delText>
              </w:r>
              <w:r>
                <w:rPr>
                  <w:rFonts w:eastAsia="Malgun Gothic"/>
                  <w:i/>
                  <w:color w:val="000000"/>
                  <w:sz w:val="20"/>
                  <w:szCs w:val="20"/>
                  <w:lang w:eastAsia="en-US"/>
                </w:rPr>
                <w:delText>availableSlotOffset</w:delText>
              </w:r>
              <w:r>
                <w:rPr>
                  <w:rFonts w:eastAsia="宋体"/>
                  <w:i/>
                  <w:color w:val="000000"/>
                  <w:sz w:val="20"/>
                  <w:szCs w:val="20"/>
                  <w:lang w:eastAsia="zh-CN"/>
                </w:rPr>
                <w:delText xml:space="preserve">, </w:delText>
              </w:r>
              <w:r>
                <w:rPr>
                  <w:rFonts w:eastAsia="宋体" w:hint="eastAsia"/>
                  <w:color w:val="000000"/>
                  <w:sz w:val="20"/>
                  <w:szCs w:val="20"/>
                  <w:lang w:eastAsia="zh-CN"/>
                </w:rPr>
                <w:delText>if any, of</w:delText>
              </w:r>
              <w:r>
                <w:rPr>
                  <w:rFonts w:eastAsia="Malgun Gothic"/>
                  <w:iCs/>
                  <w:color w:val="000000"/>
                  <w:sz w:val="20"/>
                  <w:szCs w:val="20"/>
                  <w:lang w:val="en-GB" w:eastAsia="zh-CN"/>
                </w:rPr>
                <w:delText xml:space="preserve"> each </w:delText>
              </w:r>
              <w:r>
                <w:rPr>
                  <w:rFonts w:eastAsia="Malgun Gothic" w:hint="eastAsia"/>
                  <w:iCs/>
                  <w:color w:val="000000"/>
                  <w:sz w:val="20"/>
                  <w:szCs w:val="20"/>
                  <w:lang w:eastAsia="zh-CN"/>
                </w:rPr>
                <w:delText xml:space="preserve">of the more than one </w:delText>
              </w:r>
              <w:r>
                <w:rPr>
                  <w:rFonts w:eastAsia="DengXian" w:hint="eastAsia"/>
                  <w:sz w:val="20"/>
                  <w:szCs w:val="20"/>
                  <w:lang w:eastAsia="zh-CN"/>
                </w:rPr>
                <w:delText>aperiodic SRS set</w:delText>
              </w:r>
            </w:del>
            <w:r>
              <w:rPr>
                <w:rFonts w:eastAsia="宋体"/>
                <w:sz w:val="20"/>
                <w:szCs w:val="20"/>
                <w:lang w:eastAsia="zh-CN"/>
              </w:rPr>
              <w:t xml:space="preserve">. </w:t>
            </w:r>
            <w:r>
              <w:rPr>
                <w:rFonts w:eastAsia="宋体"/>
                <w:sz w:val="20"/>
                <w:szCs w:val="20"/>
                <w:lang w:eastAsia="ja-JP"/>
              </w:rPr>
              <w:t xml:space="preserve"> </w:t>
            </w:r>
          </w:p>
          <w:p w14:paraId="5EB4508E" w14:textId="77777777" w:rsidR="008671B1" w:rsidRDefault="008671B1">
            <w:pPr>
              <w:snapToGrid w:val="0"/>
              <w:spacing w:after="0"/>
              <w:rPr>
                <w:sz w:val="18"/>
                <w:szCs w:val="18"/>
              </w:rPr>
            </w:pPr>
          </w:p>
          <w:p w14:paraId="11C66202" w14:textId="77777777" w:rsidR="003E0626" w:rsidRDefault="008671B1" w:rsidP="00E25219">
            <w:pPr>
              <w:snapToGrid w:val="0"/>
              <w:spacing w:after="0"/>
              <w:rPr>
                <w:sz w:val="18"/>
                <w:szCs w:val="18"/>
              </w:rPr>
            </w:pPr>
            <w:r>
              <w:rPr>
                <w:rFonts w:hint="eastAsia"/>
                <w:sz w:val="18"/>
                <w:szCs w:val="18"/>
              </w:rPr>
              <w:t>LGE:</w:t>
            </w:r>
            <w:r>
              <w:rPr>
                <w:sz w:val="18"/>
                <w:szCs w:val="18"/>
              </w:rPr>
              <w:t xml:space="preserve"> If our understanding is correct, the draft CR is to newly add unified paragraph for every aperiodic SRS cases with more than one SRS resource set, since the principle for the aperiodic SRS cases are omitted for some xTyR cases. So, we are fine to discuss</w:t>
            </w:r>
            <w:r w:rsidR="00E25219">
              <w:rPr>
                <w:sz w:val="18"/>
                <w:szCs w:val="18"/>
              </w:rPr>
              <w:t>, and we can further polish the wording.</w:t>
            </w:r>
          </w:p>
          <w:p w14:paraId="69D8A14C" w14:textId="77777777" w:rsidR="003861DE" w:rsidRDefault="003861DE" w:rsidP="00E25219">
            <w:pPr>
              <w:snapToGrid w:val="0"/>
              <w:spacing w:after="0"/>
              <w:rPr>
                <w:sz w:val="18"/>
                <w:szCs w:val="18"/>
              </w:rPr>
            </w:pPr>
          </w:p>
          <w:p w14:paraId="4683516B" w14:textId="6E5B8002" w:rsidR="003861DE" w:rsidRPr="008671B1" w:rsidRDefault="003861DE" w:rsidP="00E25219">
            <w:pPr>
              <w:snapToGrid w:val="0"/>
              <w:spacing w:after="0"/>
              <w:rPr>
                <w:sz w:val="18"/>
                <w:szCs w:val="18"/>
              </w:rPr>
            </w:pPr>
            <w:r>
              <w:rPr>
                <w:sz w:val="18"/>
                <w:szCs w:val="18"/>
              </w:rPr>
              <w:t>Intel: Ok to discuss this issue. The text for spec change may need more discussion.</w:t>
            </w:r>
          </w:p>
        </w:tc>
      </w:tr>
      <w:tr w:rsidR="003E0626" w14:paraId="1D8416FD" w14:textId="77777777">
        <w:trPr>
          <w:trHeight w:val="126"/>
        </w:trPr>
        <w:tc>
          <w:tcPr>
            <w:tcW w:w="723" w:type="dxa"/>
          </w:tcPr>
          <w:p w14:paraId="7F1973C4" w14:textId="77777777" w:rsidR="003E0626" w:rsidRDefault="00E25219">
            <w:pPr>
              <w:snapToGrid w:val="0"/>
              <w:rPr>
                <w:rFonts w:eastAsia="宋体"/>
                <w:sz w:val="18"/>
                <w:szCs w:val="18"/>
                <w:lang w:eastAsia="zh-CN"/>
              </w:rPr>
            </w:pPr>
            <w:r>
              <w:rPr>
                <w:rFonts w:eastAsia="宋体" w:hint="eastAsia"/>
                <w:sz w:val="18"/>
                <w:szCs w:val="18"/>
                <w:lang w:eastAsia="zh-CN"/>
              </w:rPr>
              <w:lastRenderedPageBreak/>
              <w:t>2</w:t>
            </w:r>
          </w:p>
        </w:tc>
        <w:tc>
          <w:tcPr>
            <w:tcW w:w="5495" w:type="dxa"/>
          </w:tcPr>
          <w:p w14:paraId="0E7B2150" w14:textId="77777777" w:rsidR="003E0626" w:rsidRDefault="00E25219">
            <w:pPr>
              <w:snapToGrid w:val="0"/>
              <w:rPr>
                <w:rFonts w:eastAsia="DengXian"/>
                <w:b/>
                <w:bCs/>
                <w:sz w:val="18"/>
                <w:szCs w:val="18"/>
                <w:lang w:eastAsia="zh-CN"/>
              </w:rPr>
            </w:pPr>
            <w:r>
              <w:rPr>
                <w:rFonts w:eastAsia="DengXian" w:hint="eastAsia"/>
                <w:b/>
                <w:bCs/>
                <w:sz w:val="18"/>
                <w:szCs w:val="18"/>
                <w:lang w:eastAsia="zh-CN"/>
              </w:rPr>
              <w:t>TS 38.214, draft CR on SRS enhancement (R1-2211092)</w:t>
            </w:r>
          </w:p>
          <w:p w14:paraId="24B9BE53" w14:textId="77777777" w:rsidR="003E0626" w:rsidRDefault="00E25219">
            <w:pPr>
              <w:snapToGrid w:val="0"/>
              <w:rPr>
                <w:sz w:val="18"/>
                <w:szCs w:val="18"/>
                <w:lang w:eastAsia="zh-CN"/>
              </w:rPr>
            </w:pPr>
            <w:r>
              <w:rPr>
                <w:rFonts w:hint="eastAsia"/>
                <w:sz w:val="18"/>
                <w:szCs w:val="18"/>
                <w:lang w:eastAsia="zh-CN"/>
              </w:rPr>
              <w:t>Three editorial changes in total were raised in this CR.</w:t>
            </w:r>
          </w:p>
          <w:p w14:paraId="04C73BD7" w14:textId="77777777" w:rsidR="003E0626" w:rsidRDefault="00E25219">
            <w:pPr>
              <w:numPr>
                <w:ilvl w:val="0"/>
                <w:numId w:val="35"/>
              </w:numPr>
              <w:snapToGrid w:val="0"/>
              <w:rPr>
                <w:sz w:val="18"/>
                <w:szCs w:val="18"/>
                <w:lang w:eastAsia="zh-CN"/>
              </w:rPr>
            </w:pPr>
            <w:r>
              <w:rPr>
                <w:rFonts w:hint="eastAsia"/>
                <w:sz w:val="18"/>
                <w:szCs w:val="18"/>
                <w:lang w:eastAsia="zh-CN"/>
              </w:rPr>
              <w:t>Change#1: In the case of two aperiodic SRS sets are used for antenna switching of 1T2R, the two SRS sets should only include a different UE antenna port instead of a different UE antenna port pair.</w:t>
            </w:r>
          </w:p>
          <w:p w14:paraId="6A4F57BB" w14:textId="77777777" w:rsidR="003E0626" w:rsidRDefault="00E25219">
            <w:pPr>
              <w:numPr>
                <w:ilvl w:val="0"/>
                <w:numId w:val="35"/>
              </w:numPr>
              <w:snapToGrid w:val="0"/>
              <w:rPr>
                <w:sz w:val="18"/>
                <w:szCs w:val="18"/>
                <w:lang w:eastAsia="zh-CN"/>
              </w:rPr>
            </w:pPr>
            <w:r>
              <w:rPr>
                <w:rFonts w:hint="eastAsia"/>
                <w:sz w:val="18"/>
                <w:szCs w:val="18"/>
                <w:lang w:eastAsia="zh-CN"/>
              </w:rPr>
              <w:t>Change#2: The more than one SRS set should be located in different slots based on slot offset and available slot offset, if any.</w:t>
            </w:r>
          </w:p>
          <w:p w14:paraId="00E59CB8" w14:textId="77777777" w:rsidR="003E0626" w:rsidRDefault="00E25219">
            <w:pPr>
              <w:numPr>
                <w:ilvl w:val="0"/>
                <w:numId w:val="35"/>
              </w:numPr>
              <w:snapToGrid w:val="0"/>
              <w:rPr>
                <w:sz w:val="18"/>
                <w:szCs w:val="18"/>
                <w:lang w:eastAsia="zh-CN"/>
              </w:rPr>
            </w:pPr>
            <w:r>
              <w:rPr>
                <w:rFonts w:hint="eastAsia"/>
                <w:sz w:val="18"/>
                <w:szCs w:val="18"/>
                <w:lang w:eastAsia="zh-CN"/>
              </w:rPr>
              <w:t>Change#3: Some editorial revisions should be made.</w:t>
            </w:r>
          </w:p>
          <w:p w14:paraId="03B9F505" w14:textId="77777777" w:rsidR="003E0626" w:rsidRDefault="003E0626">
            <w:pPr>
              <w:snapToGrid w:val="0"/>
              <w:rPr>
                <w:rFonts w:eastAsia="DengXian"/>
                <w:sz w:val="18"/>
                <w:szCs w:val="18"/>
                <w:lang w:eastAsia="zh-CN"/>
              </w:rPr>
            </w:pPr>
          </w:p>
          <w:p w14:paraId="0FF980CF" w14:textId="77777777" w:rsidR="003E0626" w:rsidRDefault="00E25219">
            <w:pPr>
              <w:snapToGrid w:val="0"/>
              <w:rPr>
                <w:rFonts w:eastAsia="DengXian"/>
                <w:color w:val="0000FF"/>
                <w:sz w:val="18"/>
                <w:szCs w:val="18"/>
                <w:lang w:eastAsia="zh-CN"/>
              </w:rPr>
            </w:pPr>
            <w:r>
              <w:rPr>
                <w:rFonts w:eastAsia="DengXian" w:hint="eastAsia"/>
                <w:color w:val="0000FF"/>
                <w:sz w:val="18"/>
                <w:szCs w:val="18"/>
                <w:lang w:eastAsia="zh-CN"/>
              </w:rPr>
              <w:lastRenderedPageBreak/>
              <w:t>FL note 1: Noted that change#2 herein is the same to change#1 in R1-2211091 for 1T4R, these two can be discussed together. Change 1 and  change 3 are editorial corrections. This issue can be discussed in RAN1#111 meeting.</w:t>
            </w:r>
          </w:p>
          <w:p w14:paraId="71CF48D1" w14:textId="77777777" w:rsidR="003E0626" w:rsidRDefault="003E0626">
            <w:pPr>
              <w:snapToGrid w:val="0"/>
              <w:rPr>
                <w:rFonts w:eastAsia="DengXian"/>
                <w:color w:val="0000FF"/>
                <w:sz w:val="18"/>
                <w:szCs w:val="18"/>
                <w:lang w:eastAsia="zh-CN"/>
              </w:rPr>
            </w:pPr>
          </w:p>
          <w:p w14:paraId="38295CAA" w14:textId="77777777" w:rsidR="003E0626" w:rsidRDefault="00E25219">
            <w:pPr>
              <w:snapToGrid w:val="0"/>
              <w:rPr>
                <w:rFonts w:eastAsia="DengXian"/>
                <w:sz w:val="18"/>
                <w:szCs w:val="18"/>
                <w:lang w:eastAsia="zh-CN"/>
              </w:rPr>
            </w:pPr>
            <w:r>
              <w:rPr>
                <w:rFonts w:eastAsia="DengXian" w:hint="eastAsia"/>
                <w:color w:val="0000FF"/>
                <w:sz w:val="18"/>
                <w:szCs w:val="18"/>
                <w:lang w:eastAsia="zh-CN"/>
              </w:rPr>
              <w:t>FL note 2: The issue have NOT been discussed before.</w:t>
            </w:r>
          </w:p>
        </w:tc>
        <w:tc>
          <w:tcPr>
            <w:tcW w:w="1148" w:type="dxa"/>
          </w:tcPr>
          <w:p w14:paraId="25D4B09D" w14:textId="77777777" w:rsidR="003E0626" w:rsidRDefault="00E25219">
            <w:pPr>
              <w:snapToGrid w:val="0"/>
              <w:rPr>
                <w:rFonts w:eastAsia="宋体"/>
                <w:sz w:val="20"/>
                <w:szCs w:val="20"/>
                <w:lang w:eastAsia="zh-CN"/>
              </w:rPr>
            </w:pPr>
            <w:r>
              <w:rPr>
                <w:rFonts w:eastAsia="宋体" w:hint="eastAsia"/>
                <w:sz w:val="20"/>
                <w:szCs w:val="20"/>
                <w:lang w:eastAsia="zh-CN"/>
              </w:rPr>
              <w:lastRenderedPageBreak/>
              <w:t>ZTE</w:t>
            </w:r>
          </w:p>
        </w:tc>
        <w:tc>
          <w:tcPr>
            <w:tcW w:w="1089" w:type="dxa"/>
          </w:tcPr>
          <w:p w14:paraId="6B883C1E" w14:textId="77777777" w:rsidR="003E0626" w:rsidRDefault="00E25219">
            <w:pPr>
              <w:snapToGrid w:val="0"/>
              <w:rPr>
                <w:rFonts w:eastAsia="DengXian"/>
                <w:sz w:val="20"/>
                <w:szCs w:val="20"/>
                <w:lang w:eastAsia="zh-CN"/>
              </w:rPr>
            </w:pPr>
            <w:r>
              <w:rPr>
                <w:rFonts w:eastAsia="DengXian" w:hint="eastAsia"/>
                <w:sz w:val="20"/>
                <w:szCs w:val="20"/>
                <w:lang w:eastAsia="zh-CN"/>
              </w:rPr>
              <w:t>E(?)</w:t>
            </w:r>
          </w:p>
        </w:tc>
        <w:tc>
          <w:tcPr>
            <w:tcW w:w="5130" w:type="dxa"/>
          </w:tcPr>
          <w:p w14:paraId="647736DE" w14:textId="77777777" w:rsidR="003E0626" w:rsidRDefault="00E25219">
            <w:pPr>
              <w:snapToGrid w:val="0"/>
              <w:spacing w:after="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 xml:space="preserve">“E”. </w:t>
            </w:r>
          </w:p>
          <w:p w14:paraId="4C80D91C" w14:textId="77777777" w:rsidR="003E0626" w:rsidRDefault="00E25219">
            <w:pPr>
              <w:snapToGrid w:val="0"/>
              <w:spacing w:after="0"/>
              <w:rPr>
                <w:ins w:id="13" w:author="ZTE" w:date="2022-11-11T09:00:00Z"/>
                <w:sz w:val="18"/>
                <w:szCs w:val="18"/>
              </w:rPr>
            </w:pPr>
            <w:r>
              <w:rPr>
                <w:sz w:val="18"/>
                <w:szCs w:val="18"/>
              </w:rPr>
              <w:t>Regarding Change#2, we are fine to discuss in Issue 1.</w:t>
            </w:r>
          </w:p>
          <w:p w14:paraId="0615E7AF" w14:textId="77777777" w:rsidR="003E0626" w:rsidRDefault="003E0626">
            <w:pPr>
              <w:snapToGrid w:val="0"/>
              <w:spacing w:after="0"/>
              <w:rPr>
                <w:ins w:id="14" w:author="ZTE" w:date="2022-11-11T09:00:00Z"/>
                <w:sz w:val="18"/>
                <w:szCs w:val="18"/>
              </w:rPr>
            </w:pPr>
          </w:p>
          <w:p w14:paraId="1165D641" w14:textId="77777777" w:rsidR="003E0626" w:rsidRDefault="00E25219">
            <w:pPr>
              <w:snapToGrid w:val="0"/>
              <w:spacing w:after="0"/>
              <w:rPr>
                <w:rFonts w:eastAsia="宋体"/>
                <w:sz w:val="18"/>
                <w:szCs w:val="18"/>
                <w:lang w:eastAsia="zh-CN"/>
              </w:rPr>
            </w:pPr>
            <w:r>
              <w:rPr>
                <w:rFonts w:eastAsia="宋体" w:hint="eastAsia"/>
                <w:sz w:val="18"/>
                <w:szCs w:val="18"/>
                <w:lang w:eastAsia="zh-CN"/>
              </w:rPr>
              <w:t xml:space="preserve">ZTE: We are fine to discuss as </w:t>
            </w:r>
            <w:r>
              <w:rPr>
                <w:rFonts w:eastAsia="宋体"/>
                <w:sz w:val="18"/>
                <w:szCs w:val="18"/>
                <w:lang w:eastAsia="zh-CN"/>
              </w:rPr>
              <w:t>‘</w:t>
            </w:r>
            <w:r>
              <w:rPr>
                <w:rFonts w:eastAsia="宋体" w:hint="eastAsia"/>
                <w:sz w:val="18"/>
                <w:szCs w:val="18"/>
                <w:lang w:eastAsia="zh-CN"/>
              </w:rPr>
              <w:t>E</w:t>
            </w:r>
            <w:r>
              <w:rPr>
                <w:rFonts w:eastAsia="宋体"/>
                <w:sz w:val="18"/>
                <w:szCs w:val="18"/>
                <w:lang w:eastAsia="zh-CN"/>
              </w:rPr>
              <w:t>’</w:t>
            </w:r>
            <w:r>
              <w:rPr>
                <w:rFonts w:eastAsia="宋体" w:hint="eastAsia"/>
                <w:sz w:val="18"/>
                <w:szCs w:val="18"/>
                <w:lang w:eastAsia="zh-CN"/>
              </w:rPr>
              <w:t>.</w:t>
            </w:r>
          </w:p>
          <w:p w14:paraId="0AD93F80" w14:textId="77777777" w:rsidR="008671B1" w:rsidRDefault="008671B1">
            <w:pPr>
              <w:snapToGrid w:val="0"/>
              <w:spacing w:after="0"/>
              <w:rPr>
                <w:rFonts w:eastAsia="宋体"/>
                <w:sz w:val="18"/>
                <w:szCs w:val="18"/>
                <w:lang w:eastAsia="zh-CN"/>
              </w:rPr>
            </w:pPr>
          </w:p>
          <w:p w14:paraId="5991D041" w14:textId="77777777" w:rsidR="008671B1" w:rsidRDefault="008671B1">
            <w:pPr>
              <w:snapToGrid w:val="0"/>
              <w:spacing w:after="0"/>
              <w:rPr>
                <w:sz w:val="18"/>
                <w:szCs w:val="18"/>
              </w:rPr>
            </w:pPr>
            <w:r>
              <w:rPr>
                <w:rFonts w:eastAsia="宋体"/>
                <w:sz w:val="18"/>
                <w:szCs w:val="18"/>
                <w:lang w:eastAsia="zh-CN"/>
              </w:rPr>
              <w:t xml:space="preserve">LGE: </w:t>
            </w:r>
            <w:r>
              <w:rPr>
                <w:sz w:val="18"/>
                <w:szCs w:val="18"/>
              </w:rPr>
              <w:t>We are fine to discuss</w:t>
            </w:r>
            <w:r>
              <w:rPr>
                <w:rFonts w:hint="eastAsia"/>
                <w:sz w:val="18"/>
                <w:szCs w:val="18"/>
              </w:rPr>
              <w:t xml:space="preserve"> as </w:t>
            </w:r>
            <w:r>
              <w:rPr>
                <w:sz w:val="18"/>
                <w:szCs w:val="18"/>
              </w:rPr>
              <w:t>“E”.</w:t>
            </w:r>
          </w:p>
          <w:p w14:paraId="7B752902" w14:textId="77777777" w:rsidR="006C6378" w:rsidRDefault="006C6378">
            <w:pPr>
              <w:snapToGrid w:val="0"/>
              <w:spacing w:after="0"/>
              <w:rPr>
                <w:sz w:val="18"/>
                <w:szCs w:val="18"/>
              </w:rPr>
            </w:pPr>
          </w:p>
          <w:p w14:paraId="4B65DAB4" w14:textId="5432EA4B" w:rsidR="006C6378" w:rsidRPr="008671B1" w:rsidRDefault="006C6378">
            <w:pPr>
              <w:snapToGrid w:val="0"/>
              <w:spacing w:after="0"/>
              <w:rPr>
                <w:sz w:val="18"/>
                <w:szCs w:val="18"/>
              </w:rPr>
            </w:pPr>
            <w:r>
              <w:rPr>
                <w:sz w:val="18"/>
                <w:szCs w:val="18"/>
              </w:rPr>
              <w:t>Intel: For Change #1, what’s the corresponding change? In the draft CR, looks there is no change on the 1T2R part.</w:t>
            </w:r>
          </w:p>
        </w:tc>
      </w:tr>
      <w:tr w:rsidR="003E0626" w14:paraId="2C971B96" w14:textId="77777777">
        <w:trPr>
          <w:trHeight w:val="126"/>
        </w:trPr>
        <w:tc>
          <w:tcPr>
            <w:tcW w:w="723" w:type="dxa"/>
          </w:tcPr>
          <w:p w14:paraId="6F72BB74" w14:textId="77777777" w:rsidR="003E0626" w:rsidRDefault="00E25219">
            <w:pPr>
              <w:snapToGrid w:val="0"/>
              <w:rPr>
                <w:rFonts w:eastAsia="宋体"/>
                <w:sz w:val="18"/>
                <w:szCs w:val="18"/>
                <w:lang w:eastAsia="zh-CN"/>
              </w:rPr>
            </w:pPr>
            <w:r>
              <w:rPr>
                <w:rFonts w:eastAsia="宋体" w:hint="eastAsia"/>
                <w:sz w:val="18"/>
                <w:szCs w:val="18"/>
                <w:lang w:eastAsia="zh-CN"/>
              </w:rPr>
              <w:t>3</w:t>
            </w:r>
          </w:p>
        </w:tc>
        <w:tc>
          <w:tcPr>
            <w:tcW w:w="5495" w:type="dxa"/>
          </w:tcPr>
          <w:p w14:paraId="1F8E3F4A" w14:textId="77777777" w:rsidR="003E0626" w:rsidRDefault="00E25219">
            <w:pPr>
              <w:snapToGrid w:val="0"/>
              <w:rPr>
                <w:rFonts w:eastAsia="DengXian"/>
                <w:b/>
                <w:bCs/>
                <w:sz w:val="18"/>
                <w:szCs w:val="18"/>
                <w:lang w:eastAsia="zh-CN"/>
              </w:rPr>
            </w:pPr>
            <w:r>
              <w:rPr>
                <w:rFonts w:eastAsia="DengXian" w:hint="eastAsia"/>
                <w:b/>
                <w:bCs/>
                <w:sz w:val="18"/>
                <w:szCs w:val="18"/>
                <w:lang w:eastAsia="zh-CN"/>
              </w:rPr>
              <w:t>TS 38.212, draft CR on aperiodic SRS enhancement (R1-2211142)</w:t>
            </w:r>
          </w:p>
          <w:p w14:paraId="2F1EADF6" w14:textId="77777777" w:rsidR="003E0626" w:rsidRDefault="00E25219">
            <w:pPr>
              <w:tabs>
                <w:tab w:val="left" w:pos="2715"/>
              </w:tabs>
              <w:snapToGrid w:val="0"/>
              <w:rPr>
                <w:rFonts w:eastAsia="宋体"/>
                <w:kern w:val="32"/>
                <w:sz w:val="18"/>
                <w:szCs w:val="18"/>
                <w:lang w:eastAsia="zh-CN"/>
              </w:rPr>
            </w:pPr>
            <w:r>
              <w:rPr>
                <w:rFonts w:eastAsia="宋体" w:hint="eastAsia"/>
                <w:sz w:val="18"/>
                <w:szCs w:val="18"/>
                <w:lang w:eastAsia="zh-CN"/>
              </w:rPr>
              <w:t xml:space="preserve">This CR is to change </w:t>
            </w:r>
            <w:r>
              <w:rPr>
                <w:rFonts w:eastAsia="宋体"/>
                <w:sz w:val="18"/>
                <w:szCs w:val="18"/>
                <w:lang w:eastAsia="zh-CN"/>
              </w:rPr>
              <w:t>“</w:t>
            </w:r>
            <w:r>
              <w:rPr>
                <w:rFonts w:eastAsia="宋体" w:hint="eastAsia"/>
                <w:i/>
                <w:iCs/>
                <w:sz w:val="18"/>
                <w:szCs w:val="18"/>
                <w:lang w:eastAsia="zh-CN"/>
              </w:rPr>
              <w:t>AvailableSlotOffset</w:t>
            </w:r>
            <w:r>
              <w:rPr>
                <w:rFonts w:eastAsia="宋体"/>
                <w:sz w:val="18"/>
                <w:szCs w:val="18"/>
                <w:lang w:eastAsia="zh-CN"/>
              </w:rPr>
              <w:t>”</w:t>
            </w:r>
            <w:r>
              <w:rPr>
                <w:rFonts w:eastAsia="宋体" w:hint="eastAsia"/>
                <w:sz w:val="18"/>
                <w:szCs w:val="18"/>
                <w:lang w:eastAsia="zh-CN"/>
              </w:rPr>
              <w:t xml:space="preserve"> to </w:t>
            </w:r>
            <w:r>
              <w:rPr>
                <w:rFonts w:eastAsia="宋体"/>
                <w:sz w:val="18"/>
                <w:szCs w:val="18"/>
                <w:lang w:eastAsia="zh-CN"/>
              </w:rPr>
              <w:t>“</w:t>
            </w:r>
            <w:r>
              <w:rPr>
                <w:rFonts w:eastAsia="宋体" w:hint="eastAsia"/>
                <w:i/>
                <w:iCs/>
                <w:sz w:val="18"/>
                <w:szCs w:val="18"/>
                <w:lang w:eastAsia="zh-CN"/>
              </w:rPr>
              <w:t>availableSlotOffsetList</w:t>
            </w:r>
            <w:r>
              <w:rPr>
                <w:rFonts w:eastAsia="宋体"/>
                <w:sz w:val="18"/>
                <w:szCs w:val="18"/>
                <w:lang w:eastAsia="zh-CN"/>
              </w:rPr>
              <w:t>”</w:t>
            </w:r>
            <w:r>
              <w:rPr>
                <w:rFonts w:eastAsia="宋体" w:hint="eastAsia"/>
                <w:sz w:val="18"/>
                <w:szCs w:val="18"/>
                <w:lang w:eastAsia="zh-CN"/>
              </w:rPr>
              <w:t>, which is used to determine the entries/amount of available slots in TS 38.212, instead of the value of available slot.</w:t>
            </w:r>
          </w:p>
          <w:p w14:paraId="4704730F" w14:textId="77777777" w:rsidR="003E0626" w:rsidRDefault="003E0626">
            <w:pPr>
              <w:snapToGrid w:val="0"/>
              <w:rPr>
                <w:rFonts w:eastAsia="DengXian"/>
                <w:sz w:val="18"/>
                <w:szCs w:val="18"/>
                <w:lang w:eastAsia="zh-CN"/>
              </w:rPr>
            </w:pPr>
          </w:p>
          <w:p w14:paraId="10BEE53D" w14:textId="77777777" w:rsidR="003E0626" w:rsidRDefault="00E25219">
            <w:pPr>
              <w:snapToGrid w:val="0"/>
              <w:rPr>
                <w:rFonts w:eastAsia="DengXian"/>
                <w:color w:val="0000FF"/>
                <w:sz w:val="18"/>
                <w:szCs w:val="18"/>
                <w:lang w:eastAsia="zh-CN"/>
              </w:rPr>
            </w:pPr>
            <w:r>
              <w:rPr>
                <w:rFonts w:eastAsia="DengXian" w:hint="eastAsia"/>
                <w:color w:val="0000FF"/>
                <w:sz w:val="18"/>
                <w:szCs w:val="18"/>
                <w:lang w:eastAsia="zh-CN"/>
              </w:rPr>
              <w:t>FL note 1: This issue is direct and editorial correction, which shall be discussed in RAN1#111 meeting.</w:t>
            </w:r>
          </w:p>
          <w:p w14:paraId="066D0006" w14:textId="77777777" w:rsidR="003E0626" w:rsidRDefault="003E0626">
            <w:pPr>
              <w:snapToGrid w:val="0"/>
              <w:rPr>
                <w:rFonts w:eastAsia="DengXian"/>
                <w:color w:val="0000FF"/>
                <w:sz w:val="18"/>
                <w:szCs w:val="18"/>
                <w:lang w:eastAsia="zh-CN"/>
              </w:rPr>
            </w:pPr>
          </w:p>
          <w:p w14:paraId="1EA695C3" w14:textId="77777777" w:rsidR="003E0626" w:rsidRDefault="00E25219">
            <w:pPr>
              <w:snapToGrid w:val="0"/>
              <w:rPr>
                <w:rFonts w:eastAsia="DengXian"/>
                <w:color w:val="0000FF"/>
                <w:sz w:val="18"/>
                <w:szCs w:val="18"/>
                <w:lang w:eastAsia="zh-CN"/>
              </w:rPr>
            </w:pPr>
            <w:r>
              <w:rPr>
                <w:rFonts w:eastAsia="DengXian" w:hint="eastAsia"/>
                <w:color w:val="0000FF"/>
                <w:sz w:val="18"/>
                <w:szCs w:val="18"/>
                <w:lang w:eastAsia="zh-CN"/>
              </w:rPr>
              <w:t>FL note 2: The issue have NOT been discussed before.</w:t>
            </w:r>
          </w:p>
        </w:tc>
        <w:tc>
          <w:tcPr>
            <w:tcW w:w="1148" w:type="dxa"/>
          </w:tcPr>
          <w:p w14:paraId="77CC1A6D" w14:textId="77777777" w:rsidR="003E0626" w:rsidRDefault="00E25219">
            <w:pPr>
              <w:snapToGrid w:val="0"/>
              <w:rPr>
                <w:rFonts w:eastAsia="宋体"/>
                <w:sz w:val="20"/>
                <w:szCs w:val="20"/>
                <w:lang w:eastAsia="zh-CN"/>
              </w:rPr>
            </w:pPr>
            <w:r>
              <w:rPr>
                <w:rFonts w:eastAsia="宋体" w:hint="eastAsia"/>
                <w:sz w:val="20"/>
                <w:szCs w:val="20"/>
                <w:lang w:eastAsia="zh-CN"/>
              </w:rPr>
              <w:t>CATT</w:t>
            </w:r>
          </w:p>
        </w:tc>
        <w:tc>
          <w:tcPr>
            <w:tcW w:w="1089" w:type="dxa"/>
          </w:tcPr>
          <w:p w14:paraId="6C1EB777" w14:textId="77777777" w:rsidR="003E0626" w:rsidRDefault="00E25219">
            <w:pPr>
              <w:snapToGrid w:val="0"/>
              <w:rPr>
                <w:rFonts w:eastAsia="DengXian"/>
                <w:sz w:val="20"/>
                <w:szCs w:val="20"/>
                <w:lang w:eastAsia="zh-CN"/>
              </w:rPr>
            </w:pPr>
            <w:r>
              <w:rPr>
                <w:rFonts w:eastAsia="DengXian" w:hint="eastAsia"/>
                <w:sz w:val="20"/>
                <w:szCs w:val="20"/>
                <w:lang w:eastAsia="zh-CN"/>
              </w:rPr>
              <w:t>E</w:t>
            </w:r>
          </w:p>
        </w:tc>
        <w:tc>
          <w:tcPr>
            <w:tcW w:w="5130" w:type="dxa"/>
          </w:tcPr>
          <w:p w14:paraId="71713169" w14:textId="77777777" w:rsidR="003E0626" w:rsidRDefault="00E25219">
            <w:pPr>
              <w:snapToGrid w:val="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“E”</w:t>
            </w:r>
          </w:p>
          <w:p w14:paraId="1E81799D" w14:textId="77777777" w:rsidR="003E0626" w:rsidRDefault="00E25219">
            <w:pPr>
              <w:snapToGrid w:val="0"/>
              <w:rPr>
                <w:sz w:val="18"/>
                <w:szCs w:val="18"/>
              </w:rPr>
            </w:pPr>
            <w:r>
              <w:rPr>
                <w:rFonts w:eastAsia="宋体" w:hint="eastAsia"/>
                <w:sz w:val="18"/>
                <w:szCs w:val="18"/>
                <w:lang w:eastAsia="zh-CN"/>
              </w:rPr>
              <w:t>ZTE</w:t>
            </w:r>
            <w:r>
              <w:rPr>
                <w:rFonts w:hint="eastAsia"/>
                <w:sz w:val="18"/>
                <w:szCs w:val="18"/>
              </w:rPr>
              <w:t xml:space="preserve">: </w:t>
            </w:r>
            <w:r>
              <w:rPr>
                <w:sz w:val="18"/>
                <w:szCs w:val="18"/>
              </w:rPr>
              <w:t>We are fine to discuss</w:t>
            </w:r>
            <w:r>
              <w:rPr>
                <w:rFonts w:hint="eastAsia"/>
                <w:sz w:val="18"/>
                <w:szCs w:val="18"/>
              </w:rPr>
              <w:t xml:space="preserve"> as </w:t>
            </w:r>
            <w:r>
              <w:rPr>
                <w:sz w:val="18"/>
                <w:szCs w:val="18"/>
              </w:rPr>
              <w:t>“E”</w:t>
            </w:r>
          </w:p>
          <w:p w14:paraId="4E431F37" w14:textId="77777777" w:rsidR="008671B1" w:rsidRDefault="008671B1" w:rsidP="008671B1">
            <w:pPr>
              <w:snapToGrid w:val="0"/>
              <w:rPr>
                <w:sz w:val="18"/>
                <w:szCs w:val="18"/>
              </w:rPr>
            </w:pPr>
            <w:r>
              <w:rPr>
                <w:rFonts w:eastAsia="宋体"/>
                <w:sz w:val="18"/>
                <w:szCs w:val="18"/>
                <w:lang w:eastAsia="zh-CN"/>
              </w:rPr>
              <w:t xml:space="preserve">LGE: </w:t>
            </w:r>
            <w:r>
              <w:rPr>
                <w:sz w:val="18"/>
                <w:szCs w:val="18"/>
              </w:rPr>
              <w:t>We are fine to discuss</w:t>
            </w:r>
            <w:r>
              <w:rPr>
                <w:rFonts w:hint="eastAsia"/>
                <w:sz w:val="18"/>
                <w:szCs w:val="18"/>
              </w:rPr>
              <w:t xml:space="preserve"> as </w:t>
            </w:r>
            <w:r>
              <w:rPr>
                <w:sz w:val="18"/>
                <w:szCs w:val="18"/>
              </w:rPr>
              <w:t>“E”.</w:t>
            </w:r>
          </w:p>
          <w:p w14:paraId="6823483C" w14:textId="71DAF8FF" w:rsidR="006C6378" w:rsidRDefault="006C6378" w:rsidP="008671B1">
            <w:pPr>
              <w:snapToGrid w:val="0"/>
              <w:rPr>
                <w:sz w:val="18"/>
                <w:szCs w:val="18"/>
              </w:rPr>
            </w:pPr>
            <w:r>
              <w:rPr>
                <w:sz w:val="18"/>
                <w:szCs w:val="18"/>
              </w:rPr>
              <w:t>Intel: Ok to discuss as “E”.</w:t>
            </w:r>
          </w:p>
        </w:tc>
      </w:tr>
      <w:tr w:rsidR="003E0626" w14:paraId="5A78A236" w14:textId="77777777">
        <w:trPr>
          <w:trHeight w:val="126"/>
        </w:trPr>
        <w:tc>
          <w:tcPr>
            <w:tcW w:w="723" w:type="dxa"/>
          </w:tcPr>
          <w:p w14:paraId="3C0A11A6" w14:textId="77777777" w:rsidR="003E0626" w:rsidRDefault="00E25219">
            <w:pPr>
              <w:snapToGrid w:val="0"/>
              <w:rPr>
                <w:rFonts w:eastAsia="宋体"/>
                <w:sz w:val="18"/>
                <w:szCs w:val="18"/>
                <w:lang w:eastAsia="zh-CN"/>
              </w:rPr>
            </w:pPr>
            <w:r>
              <w:rPr>
                <w:rFonts w:eastAsia="宋体" w:hint="eastAsia"/>
                <w:sz w:val="18"/>
                <w:szCs w:val="18"/>
                <w:lang w:eastAsia="zh-CN"/>
              </w:rPr>
              <w:t>4</w:t>
            </w:r>
          </w:p>
        </w:tc>
        <w:tc>
          <w:tcPr>
            <w:tcW w:w="5495" w:type="dxa"/>
          </w:tcPr>
          <w:p w14:paraId="6953E412" w14:textId="77777777" w:rsidR="003E0626" w:rsidRDefault="00E25219">
            <w:pPr>
              <w:snapToGrid w:val="0"/>
              <w:rPr>
                <w:rFonts w:eastAsia="DengXian"/>
                <w:color w:val="0000FF"/>
                <w:sz w:val="18"/>
                <w:szCs w:val="18"/>
                <w:lang w:eastAsia="zh-CN"/>
              </w:rPr>
            </w:pPr>
            <w:r>
              <w:rPr>
                <w:rFonts w:eastAsia="DengXian" w:hint="eastAsia"/>
                <w:b/>
                <w:bCs/>
                <w:sz w:val="18"/>
                <w:szCs w:val="18"/>
                <w:lang w:eastAsia="zh-CN"/>
              </w:rPr>
              <w:t>TS 38.214, draft CR on UE capability name alignment of SRS antenna switching (R1-2211940)</w:t>
            </w:r>
          </w:p>
          <w:p w14:paraId="52616D6A" w14:textId="77777777" w:rsidR="003E0626" w:rsidRDefault="00E25219">
            <w:pPr>
              <w:snapToGrid w:val="0"/>
              <w:rPr>
                <w:rFonts w:eastAsia="宋体"/>
                <w:sz w:val="18"/>
                <w:szCs w:val="18"/>
                <w:lang w:eastAsia="zh-CN"/>
              </w:rPr>
            </w:pPr>
            <w:r>
              <w:rPr>
                <w:rFonts w:eastAsia="宋体" w:hint="eastAsia"/>
                <w:sz w:val="18"/>
                <w:szCs w:val="18"/>
                <w:lang w:eastAsia="zh-CN"/>
              </w:rPr>
              <w:t>This CR is to align the UE capability names of SRS antenna switching with that of TS 38.306, which include:</w:t>
            </w:r>
          </w:p>
          <w:p w14:paraId="7EAF6467"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Change#1: Replace undefined UE capability name </w:t>
            </w:r>
            <w:r>
              <w:rPr>
                <w:sz w:val="18"/>
                <w:szCs w:val="18"/>
                <w:lang w:eastAsia="zh-CN"/>
              </w:rPr>
              <w:t>“</w:t>
            </w:r>
            <w:r>
              <w:rPr>
                <w:rFonts w:hint="eastAsia"/>
                <w:sz w:val="18"/>
                <w:szCs w:val="18"/>
                <w:lang w:eastAsia="zh-CN"/>
              </w:rPr>
              <w:t>[maximum 2 semi-persistent and maximum 1 periodic SRS resource sets]</w:t>
            </w:r>
            <w:r>
              <w:rPr>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zh-CN"/>
              </w:rPr>
              <w:t>srs-AntennaSwitching2SP-1Periodic-r17</w:t>
            </w:r>
            <w:r>
              <w:rPr>
                <w:sz w:val="18"/>
                <w:szCs w:val="18"/>
                <w:lang w:eastAsia="zh-CN"/>
              </w:rPr>
              <w:t>”</w:t>
            </w:r>
            <w:r>
              <w:rPr>
                <w:rFonts w:hint="eastAsia"/>
                <w:sz w:val="18"/>
                <w:szCs w:val="18"/>
                <w:lang w:eastAsia="zh-CN"/>
              </w:rPr>
              <w:t xml:space="preserve"> from TS 38.306.</w:t>
            </w:r>
          </w:p>
          <w:p w14:paraId="29ABCF03"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Change#2: Replace undefined UE capability name </w:t>
            </w:r>
            <w:r>
              <w:rPr>
                <w:sz w:val="18"/>
                <w:szCs w:val="18"/>
                <w:lang w:eastAsia="zh-CN"/>
              </w:rPr>
              <w:t>“</w:t>
            </w:r>
            <w:r>
              <w:rPr>
                <w:rFonts w:hint="eastAsia"/>
                <w:sz w:val="18"/>
                <w:szCs w:val="18"/>
                <w:lang w:eastAsia="ja-JP"/>
              </w:rPr>
              <w:t>[extension of aperiodic antenna switching SRS configuration]</w:t>
            </w:r>
            <w:r>
              <w:rPr>
                <w:rFonts w:eastAsia="宋体"/>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zh-CN"/>
              </w:rPr>
              <w:t>srs-ExtensionAperiodicSRS-r17</w:t>
            </w:r>
            <w:r>
              <w:rPr>
                <w:sz w:val="18"/>
                <w:szCs w:val="18"/>
                <w:lang w:eastAsia="zh-CN"/>
              </w:rPr>
              <w:t>”</w:t>
            </w:r>
            <w:r>
              <w:rPr>
                <w:rFonts w:hint="eastAsia"/>
                <w:sz w:val="18"/>
                <w:szCs w:val="18"/>
                <w:lang w:eastAsia="zh-CN"/>
              </w:rPr>
              <w:t xml:space="preserve"> from TS 38.306.</w:t>
            </w:r>
          </w:p>
          <w:p w14:paraId="3F3168DA"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Change#3: Replace undefined UE capability name </w:t>
            </w:r>
            <w:r>
              <w:rPr>
                <w:sz w:val="18"/>
                <w:szCs w:val="18"/>
                <w:lang w:eastAsia="zh-CN"/>
              </w:rPr>
              <w:t>“</w:t>
            </w:r>
            <w:r>
              <w:rPr>
                <w:rFonts w:hint="eastAsia"/>
                <w:sz w:val="18"/>
                <w:szCs w:val="18"/>
                <w:lang w:eastAsia="zh-CN"/>
              </w:rPr>
              <w:t>1 aperiodic SRS resource set for 1T4R</w:t>
            </w:r>
            <w:r>
              <w:rPr>
                <w:sz w:val="18"/>
                <w:szCs w:val="18"/>
                <w:lang w:eastAsia="zh-CN"/>
              </w:rPr>
              <w:t>”</w:t>
            </w:r>
            <w:r>
              <w:rPr>
                <w:rFonts w:hint="eastAsia"/>
                <w:sz w:val="18"/>
                <w:szCs w:val="18"/>
                <w:lang w:eastAsia="zh-CN"/>
              </w:rPr>
              <w:t xml:space="preserve"> with correct UE capability parameter </w:t>
            </w:r>
            <w:r>
              <w:rPr>
                <w:sz w:val="18"/>
                <w:szCs w:val="18"/>
                <w:lang w:eastAsia="zh-CN"/>
              </w:rPr>
              <w:t>“</w:t>
            </w:r>
            <w:r>
              <w:rPr>
                <w:rFonts w:hint="eastAsia"/>
                <w:sz w:val="18"/>
                <w:szCs w:val="18"/>
                <w:lang w:eastAsia="en-GB"/>
              </w:rPr>
              <w:t>srs-OneAP-SRS-r17</w:t>
            </w:r>
            <w:r>
              <w:rPr>
                <w:rFonts w:eastAsia="宋体"/>
                <w:sz w:val="18"/>
                <w:szCs w:val="18"/>
                <w:lang w:eastAsia="zh-CN"/>
              </w:rPr>
              <w:t>”</w:t>
            </w:r>
            <w:r>
              <w:rPr>
                <w:rFonts w:hint="eastAsia"/>
                <w:sz w:val="18"/>
                <w:szCs w:val="18"/>
                <w:lang w:eastAsia="zh-CN"/>
              </w:rPr>
              <w:t xml:space="preserve"> from TS 38.306.</w:t>
            </w:r>
          </w:p>
          <w:p w14:paraId="659046F7" w14:textId="77777777" w:rsidR="003E0626" w:rsidRDefault="00E25219">
            <w:pPr>
              <w:numPr>
                <w:ilvl w:val="0"/>
                <w:numId w:val="35"/>
              </w:numPr>
              <w:snapToGrid w:val="0"/>
              <w:rPr>
                <w:sz w:val="18"/>
                <w:szCs w:val="18"/>
                <w:lang w:eastAsia="zh-CN"/>
              </w:rPr>
            </w:pPr>
            <w:r>
              <w:rPr>
                <w:rFonts w:hint="eastAsia"/>
                <w:sz w:val="18"/>
                <w:szCs w:val="18"/>
                <w:lang w:eastAsia="zh-CN"/>
              </w:rPr>
              <w:t xml:space="preserve">Change#4: Remove </w:t>
            </w:r>
            <w:r>
              <w:rPr>
                <w:sz w:val="18"/>
                <w:szCs w:val="18"/>
                <w:lang w:eastAsia="zh-CN"/>
              </w:rPr>
              <w:t>“</w:t>
            </w:r>
            <w:r>
              <w:rPr>
                <w:rFonts w:hint="eastAsia"/>
                <w:sz w:val="18"/>
                <w:szCs w:val="18"/>
                <w:lang w:eastAsia="zh-CN"/>
              </w:rPr>
              <w:t>a capability for</w:t>
            </w:r>
            <w:r>
              <w:rPr>
                <w:sz w:val="18"/>
                <w:szCs w:val="18"/>
                <w:lang w:eastAsia="zh-CN"/>
              </w:rPr>
              <w:t>”</w:t>
            </w:r>
            <w:r>
              <w:rPr>
                <w:rFonts w:hint="eastAsia"/>
                <w:sz w:val="18"/>
                <w:szCs w:val="18"/>
                <w:lang w:eastAsia="zh-CN"/>
              </w:rPr>
              <w:t xml:space="preserve"> in front of the UE capability name.</w:t>
            </w:r>
          </w:p>
          <w:p w14:paraId="6AFF4E6A" w14:textId="77777777" w:rsidR="003E0626" w:rsidRDefault="003E0626">
            <w:pPr>
              <w:snapToGrid w:val="0"/>
              <w:rPr>
                <w:rFonts w:eastAsia="宋体"/>
                <w:sz w:val="18"/>
                <w:szCs w:val="18"/>
                <w:lang w:eastAsia="zh-CN"/>
              </w:rPr>
            </w:pPr>
          </w:p>
          <w:p w14:paraId="5F702CCC" w14:textId="77777777" w:rsidR="003E0626" w:rsidRDefault="00E25219">
            <w:pPr>
              <w:snapToGrid w:val="0"/>
              <w:rPr>
                <w:rFonts w:eastAsia="DengXian"/>
                <w:color w:val="0000FF"/>
                <w:sz w:val="18"/>
                <w:szCs w:val="18"/>
                <w:lang w:eastAsia="zh-CN"/>
              </w:rPr>
            </w:pPr>
            <w:r>
              <w:rPr>
                <w:rFonts w:eastAsia="DengXian" w:hint="eastAsia"/>
                <w:color w:val="0000FF"/>
                <w:sz w:val="18"/>
                <w:szCs w:val="18"/>
                <w:lang w:eastAsia="zh-CN"/>
              </w:rPr>
              <w:t>FL note 1: This issue is direct and editorial correction, which shall be discussed in RAN1#111 meeting.</w:t>
            </w:r>
          </w:p>
          <w:p w14:paraId="6D736459" w14:textId="77777777" w:rsidR="003E0626" w:rsidRDefault="003E0626">
            <w:pPr>
              <w:snapToGrid w:val="0"/>
              <w:rPr>
                <w:rFonts w:eastAsia="DengXian"/>
                <w:color w:val="0000FF"/>
                <w:sz w:val="18"/>
                <w:szCs w:val="18"/>
                <w:lang w:eastAsia="zh-CN"/>
              </w:rPr>
            </w:pPr>
          </w:p>
          <w:p w14:paraId="7EDDAD27" w14:textId="77777777" w:rsidR="003E0626" w:rsidRDefault="00E25219">
            <w:pPr>
              <w:snapToGrid w:val="0"/>
              <w:rPr>
                <w:rFonts w:eastAsia="宋体"/>
                <w:sz w:val="18"/>
                <w:szCs w:val="18"/>
                <w:lang w:eastAsia="zh-CN"/>
              </w:rPr>
            </w:pPr>
            <w:r>
              <w:rPr>
                <w:rFonts w:eastAsia="DengXian" w:hint="eastAsia"/>
                <w:color w:val="0000FF"/>
                <w:sz w:val="18"/>
                <w:szCs w:val="18"/>
                <w:lang w:eastAsia="zh-CN"/>
              </w:rPr>
              <w:t>FL note 2: The issue have NOT been discussed before.</w:t>
            </w:r>
          </w:p>
        </w:tc>
        <w:tc>
          <w:tcPr>
            <w:tcW w:w="1148" w:type="dxa"/>
          </w:tcPr>
          <w:p w14:paraId="1948B711" w14:textId="77777777" w:rsidR="003E0626" w:rsidRDefault="00E25219">
            <w:pPr>
              <w:snapToGrid w:val="0"/>
              <w:rPr>
                <w:rFonts w:eastAsia="宋体"/>
                <w:sz w:val="20"/>
                <w:szCs w:val="20"/>
                <w:lang w:eastAsia="zh-CN"/>
              </w:rPr>
            </w:pPr>
            <w:r>
              <w:rPr>
                <w:rFonts w:eastAsia="宋体" w:hint="eastAsia"/>
                <w:sz w:val="20"/>
                <w:szCs w:val="20"/>
                <w:lang w:eastAsia="zh-CN"/>
              </w:rPr>
              <w:lastRenderedPageBreak/>
              <w:t>ZTE</w:t>
            </w:r>
          </w:p>
        </w:tc>
        <w:tc>
          <w:tcPr>
            <w:tcW w:w="1089" w:type="dxa"/>
          </w:tcPr>
          <w:p w14:paraId="15A3D16F" w14:textId="77777777" w:rsidR="003E0626" w:rsidRDefault="00E25219">
            <w:pPr>
              <w:snapToGrid w:val="0"/>
              <w:rPr>
                <w:rFonts w:eastAsia="DengXian"/>
                <w:sz w:val="20"/>
                <w:szCs w:val="20"/>
                <w:lang w:eastAsia="zh-CN"/>
              </w:rPr>
            </w:pPr>
            <w:r>
              <w:rPr>
                <w:rFonts w:eastAsia="DengXian" w:hint="eastAsia"/>
                <w:sz w:val="20"/>
                <w:szCs w:val="20"/>
                <w:lang w:eastAsia="zh-CN"/>
              </w:rPr>
              <w:t>E</w:t>
            </w:r>
          </w:p>
        </w:tc>
        <w:tc>
          <w:tcPr>
            <w:tcW w:w="5130" w:type="dxa"/>
          </w:tcPr>
          <w:p w14:paraId="48A64306" w14:textId="77777777" w:rsidR="003E0626" w:rsidRDefault="00E25219">
            <w:pPr>
              <w:snapToGrid w:val="0"/>
              <w:rPr>
                <w:sz w:val="18"/>
                <w:szCs w:val="18"/>
              </w:rPr>
            </w:pPr>
            <w:r>
              <w:rPr>
                <w:rFonts w:hint="eastAsia"/>
                <w:sz w:val="18"/>
                <w:szCs w:val="18"/>
              </w:rPr>
              <w:t xml:space="preserve">Samsung: </w:t>
            </w:r>
            <w:r>
              <w:rPr>
                <w:sz w:val="18"/>
                <w:szCs w:val="18"/>
              </w:rPr>
              <w:t>We are fine to discuss</w:t>
            </w:r>
            <w:r>
              <w:rPr>
                <w:rFonts w:hint="eastAsia"/>
                <w:sz w:val="18"/>
                <w:szCs w:val="18"/>
              </w:rPr>
              <w:t xml:space="preserve"> as </w:t>
            </w:r>
            <w:r>
              <w:rPr>
                <w:sz w:val="18"/>
                <w:szCs w:val="18"/>
              </w:rPr>
              <w:t>“E”</w:t>
            </w:r>
          </w:p>
          <w:p w14:paraId="2D6623C2" w14:textId="77777777" w:rsidR="003E0626" w:rsidRDefault="00E25219">
            <w:pPr>
              <w:snapToGrid w:val="0"/>
              <w:rPr>
                <w:sz w:val="18"/>
                <w:szCs w:val="18"/>
              </w:rPr>
            </w:pPr>
            <w:r>
              <w:rPr>
                <w:rFonts w:eastAsia="宋体" w:hint="eastAsia"/>
                <w:sz w:val="18"/>
                <w:szCs w:val="18"/>
                <w:lang w:eastAsia="zh-CN"/>
              </w:rPr>
              <w:t>ZTE</w:t>
            </w:r>
            <w:r>
              <w:rPr>
                <w:rFonts w:hint="eastAsia"/>
                <w:sz w:val="18"/>
                <w:szCs w:val="18"/>
              </w:rPr>
              <w:t xml:space="preserve">: </w:t>
            </w:r>
            <w:r>
              <w:rPr>
                <w:sz w:val="18"/>
                <w:szCs w:val="18"/>
              </w:rPr>
              <w:t>We are fine to discuss</w:t>
            </w:r>
            <w:r>
              <w:rPr>
                <w:rFonts w:hint="eastAsia"/>
                <w:sz w:val="18"/>
                <w:szCs w:val="18"/>
              </w:rPr>
              <w:t xml:space="preserve"> as </w:t>
            </w:r>
            <w:r>
              <w:rPr>
                <w:sz w:val="18"/>
                <w:szCs w:val="18"/>
              </w:rPr>
              <w:t>“E”</w:t>
            </w:r>
          </w:p>
          <w:p w14:paraId="4535A421" w14:textId="77777777" w:rsidR="008671B1" w:rsidRDefault="008671B1" w:rsidP="008671B1">
            <w:pPr>
              <w:snapToGrid w:val="0"/>
              <w:rPr>
                <w:sz w:val="18"/>
                <w:szCs w:val="18"/>
              </w:rPr>
            </w:pPr>
            <w:r>
              <w:rPr>
                <w:rFonts w:eastAsia="宋体"/>
                <w:sz w:val="18"/>
                <w:szCs w:val="18"/>
                <w:lang w:eastAsia="zh-CN"/>
              </w:rPr>
              <w:t xml:space="preserve">LGE: </w:t>
            </w:r>
            <w:r>
              <w:rPr>
                <w:sz w:val="18"/>
                <w:szCs w:val="18"/>
              </w:rPr>
              <w:t>We are fine to discuss</w:t>
            </w:r>
            <w:r>
              <w:rPr>
                <w:rFonts w:hint="eastAsia"/>
                <w:sz w:val="18"/>
                <w:szCs w:val="18"/>
              </w:rPr>
              <w:t xml:space="preserve"> as </w:t>
            </w:r>
            <w:r>
              <w:rPr>
                <w:sz w:val="18"/>
                <w:szCs w:val="18"/>
              </w:rPr>
              <w:t>“E”.</w:t>
            </w:r>
          </w:p>
          <w:p w14:paraId="42769681" w14:textId="5A65A095" w:rsidR="00365F50" w:rsidRDefault="00365F50" w:rsidP="008671B1">
            <w:pPr>
              <w:snapToGrid w:val="0"/>
              <w:rPr>
                <w:sz w:val="18"/>
                <w:szCs w:val="18"/>
              </w:rPr>
            </w:pPr>
            <w:r>
              <w:rPr>
                <w:sz w:val="18"/>
                <w:szCs w:val="18"/>
              </w:rPr>
              <w:t>Intel: Ok to discuss as “E”.</w:t>
            </w:r>
          </w:p>
        </w:tc>
      </w:tr>
    </w:tbl>
    <w:p w14:paraId="60F3D92B" w14:textId="77777777" w:rsidR="003E0626" w:rsidRDefault="003E0626">
      <w:pPr>
        <w:snapToGrid w:val="0"/>
        <w:spacing w:after="60" w:line="288" w:lineRule="auto"/>
        <w:rPr>
          <w:sz w:val="20"/>
        </w:rPr>
      </w:pPr>
    </w:p>
    <w:p w14:paraId="05DF2183" w14:textId="77777777" w:rsidR="003E0626" w:rsidRDefault="003E0626">
      <w:pPr>
        <w:snapToGrid w:val="0"/>
        <w:spacing w:after="60" w:line="288" w:lineRule="auto"/>
        <w:rPr>
          <w:sz w:val="20"/>
        </w:rPr>
      </w:pPr>
    </w:p>
    <w:p w14:paraId="5C155EBA" w14:textId="77777777" w:rsidR="003E0626" w:rsidRDefault="00E25219">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Observation</w:t>
      </w:r>
    </w:p>
    <w:p w14:paraId="3ADFF1FE" w14:textId="77777777" w:rsidR="003E0626" w:rsidRDefault="00E25219">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3C5370BE" w14:textId="77777777" w:rsidR="003E0626" w:rsidRDefault="00E25219">
      <w:pPr>
        <w:pStyle w:val="ListParagraph"/>
        <w:numPr>
          <w:ilvl w:val="0"/>
          <w:numId w:val="36"/>
        </w:numPr>
        <w:snapToGrid w:val="0"/>
        <w:spacing w:after="60" w:line="288" w:lineRule="auto"/>
        <w:rPr>
          <w:rFonts w:ascii="Times New Roman" w:hAnsi="Times New Roman" w:cs="Times New Roman"/>
          <w:sz w:val="20"/>
        </w:rPr>
      </w:pPr>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68191033" w14:textId="77777777" w:rsidR="003E0626" w:rsidRDefault="00E25219">
      <w:pPr>
        <w:pStyle w:val="ListParagraph"/>
        <w:numPr>
          <w:ilvl w:val="0"/>
          <w:numId w:val="36"/>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248F52F0" w14:textId="77777777" w:rsidR="003E0626" w:rsidRDefault="00E25219">
      <w:pPr>
        <w:pStyle w:val="ListParagraph"/>
        <w:numPr>
          <w:ilvl w:val="0"/>
          <w:numId w:val="36"/>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296D95EF" w14:textId="77777777" w:rsidR="003E0626" w:rsidRDefault="00E25219">
      <w:pPr>
        <w:pStyle w:val="ListParagraph"/>
        <w:numPr>
          <w:ilvl w:val="0"/>
          <w:numId w:val="36"/>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p>
    <w:p w14:paraId="6C1DB602" w14:textId="77777777" w:rsidR="003E0626" w:rsidRDefault="003E0626">
      <w:pPr>
        <w:snapToGrid w:val="0"/>
        <w:spacing w:after="60" w:line="288" w:lineRule="auto"/>
        <w:rPr>
          <w:sz w:val="20"/>
        </w:rPr>
      </w:pPr>
    </w:p>
    <w:p w14:paraId="4ADC4FCE" w14:textId="77777777" w:rsidR="003E0626" w:rsidRDefault="003E0626">
      <w:pPr>
        <w:snapToGrid w:val="0"/>
        <w:spacing w:after="60" w:line="288" w:lineRule="auto"/>
        <w:rPr>
          <w:sz w:val="20"/>
        </w:rPr>
      </w:pPr>
    </w:p>
    <w:p w14:paraId="00EE6D07" w14:textId="77777777" w:rsidR="003E0626" w:rsidRDefault="00E25219">
      <w:pPr>
        <w:pStyle w:val="Heading1"/>
        <w:numPr>
          <w:ilvl w:val="0"/>
          <w:numId w:val="0"/>
        </w:numPr>
        <w:spacing w:before="0" w:after="60"/>
        <w:ind w:left="799" w:hanging="799"/>
      </w:pPr>
      <w:r>
        <w:rPr>
          <w:sz w:val="28"/>
          <w:lang w:val="en-US"/>
        </w:rPr>
        <w:t>References</w:t>
      </w:r>
    </w:p>
    <w:tbl>
      <w:tblPr>
        <w:tblW w:w="13410" w:type="dxa"/>
        <w:tblInd w:w="-5" w:type="dxa"/>
        <w:tblLook w:val="04A0" w:firstRow="1" w:lastRow="0" w:firstColumn="1" w:lastColumn="0" w:noHBand="0" w:noVBand="1"/>
      </w:tblPr>
      <w:tblGrid>
        <w:gridCol w:w="720"/>
        <w:gridCol w:w="1440"/>
        <w:gridCol w:w="7470"/>
        <w:gridCol w:w="3780"/>
      </w:tblGrid>
      <w:tr w:rsidR="003E0626" w14:paraId="6D04ADC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5D95B31" w14:textId="77777777" w:rsidR="003E0626" w:rsidRDefault="00E2521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0E8C42BE" w14:textId="77777777" w:rsidR="003E0626" w:rsidRDefault="00E25219">
            <w:pPr>
              <w:snapToGrid w:val="0"/>
              <w:rPr>
                <w:rFonts w:eastAsia="宋体"/>
                <w:sz w:val="20"/>
                <w:szCs w:val="20"/>
                <w:lang w:eastAsia="zh-CN"/>
              </w:rPr>
            </w:pPr>
            <w:r>
              <w:rPr>
                <w:rFonts w:eastAsia="宋体" w:hint="eastAsia"/>
                <w:sz w:val="20"/>
                <w:szCs w:val="20"/>
                <w:lang w:eastAsia="zh-CN"/>
              </w:rPr>
              <w:t>R1-2211091</w:t>
            </w:r>
          </w:p>
        </w:tc>
        <w:tc>
          <w:tcPr>
            <w:tcW w:w="7470" w:type="dxa"/>
            <w:tcBorders>
              <w:top w:val="single" w:sz="4" w:space="0" w:color="A6A6A6"/>
              <w:left w:val="nil"/>
              <w:bottom w:val="single" w:sz="4" w:space="0" w:color="A6A6A6"/>
              <w:right w:val="single" w:sz="4" w:space="0" w:color="A6A6A6"/>
            </w:tcBorders>
            <w:shd w:val="clear" w:color="auto" w:fill="auto"/>
          </w:tcPr>
          <w:p w14:paraId="35E92D18" w14:textId="77777777" w:rsidR="003E0626" w:rsidRDefault="00E25219">
            <w:pPr>
              <w:snapToGrid w:val="0"/>
              <w:rPr>
                <w:rFonts w:eastAsia="Times New Roman"/>
                <w:sz w:val="20"/>
                <w:szCs w:val="20"/>
              </w:rPr>
            </w:pPr>
            <w:r>
              <w:rPr>
                <w:rFonts w:eastAsia="Times New Roman" w:hint="eastAsia"/>
                <w:sz w:val="20"/>
                <w:szCs w:val="20"/>
              </w:rPr>
              <w:t>Draft CR on clarifying parameter restriction for SRS resource sets in TS 38.214</w:t>
            </w:r>
          </w:p>
        </w:tc>
        <w:tc>
          <w:tcPr>
            <w:tcW w:w="3780" w:type="dxa"/>
            <w:tcBorders>
              <w:top w:val="single" w:sz="4" w:space="0" w:color="A6A6A6"/>
              <w:left w:val="nil"/>
              <w:bottom w:val="single" w:sz="4" w:space="0" w:color="A6A6A6"/>
              <w:right w:val="single" w:sz="4" w:space="0" w:color="A6A6A6"/>
            </w:tcBorders>
            <w:shd w:val="clear" w:color="auto" w:fill="auto"/>
          </w:tcPr>
          <w:p w14:paraId="4D73C2CA" w14:textId="77777777" w:rsidR="003E0626" w:rsidRDefault="00E25219">
            <w:pPr>
              <w:snapToGrid w:val="0"/>
              <w:rPr>
                <w:rFonts w:eastAsia="宋体"/>
                <w:sz w:val="20"/>
                <w:szCs w:val="20"/>
                <w:lang w:eastAsia="zh-CN"/>
              </w:rPr>
            </w:pPr>
            <w:r>
              <w:rPr>
                <w:rFonts w:eastAsia="宋体" w:hint="eastAsia"/>
                <w:sz w:val="20"/>
                <w:szCs w:val="20"/>
                <w:lang w:eastAsia="zh-CN"/>
              </w:rPr>
              <w:t>ZTE</w:t>
            </w:r>
          </w:p>
        </w:tc>
      </w:tr>
      <w:tr w:rsidR="003E0626" w14:paraId="4655472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78A8DF1" w14:textId="77777777" w:rsidR="003E0626" w:rsidRDefault="00E25219">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497445AB" w14:textId="77777777" w:rsidR="003E0626" w:rsidRDefault="00E25219">
            <w:pPr>
              <w:snapToGrid w:val="0"/>
              <w:rPr>
                <w:rFonts w:eastAsia="Times New Roman"/>
                <w:sz w:val="20"/>
                <w:szCs w:val="20"/>
              </w:rPr>
            </w:pPr>
            <w:r>
              <w:rPr>
                <w:rFonts w:eastAsia="宋体" w:hint="eastAsia"/>
                <w:sz w:val="20"/>
                <w:szCs w:val="20"/>
                <w:lang w:eastAsia="zh-CN"/>
              </w:rPr>
              <w:t>R1-2211092</w:t>
            </w:r>
          </w:p>
        </w:tc>
        <w:tc>
          <w:tcPr>
            <w:tcW w:w="7470" w:type="dxa"/>
            <w:tcBorders>
              <w:top w:val="nil"/>
              <w:left w:val="nil"/>
              <w:bottom w:val="single" w:sz="4" w:space="0" w:color="A6A6A6"/>
              <w:right w:val="single" w:sz="4" w:space="0" w:color="A6A6A6"/>
            </w:tcBorders>
            <w:shd w:val="clear" w:color="auto" w:fill="auto"/>
          </w:tcPr>
          <w:p w14:paraId="0CA19946" w14:textId="77777777" w:rsidR="003E0626" w:rsidRDefault="00E25219">
            <w:pPr>
              <w:snapToGrid w:val="0"/>
              <w:rPr>
                <w:rFonts w:eastAsia="Times New Roman"/>
                <w:sz w:val="20"/>
                <w:szCs w:val="20"/>
              </w:rPr>
            </w:pPr>
            <w:r>
              <w:rPr>
                <w:rFonts w:eastAsia="Times New Roman" w:hint="eastAsia"/>
                <w:sz w:val="20"/>
                <w:szCs w:val="20"/>
              </w:rPr>
              <w:t>Draft editorial CR on SRS enhancement in TS 38.214</w:t>
            </w:r>
          </w:p>
        </w:tc>
        <w:tc>
          <w:tcPr>
            <w:tcW w:w="3780" w:type="dxa"/>
            <w:tcBorders>
              <w:top w:val="nil"/>
              <w:left w:val="nil"/>
              <w:bottom w:val="single" w:sz="4" w:space="0" w:color="A6A6A6"/>
              <w:right w:val="single" w:sz="4" w:space="0" w:color="A6A6A6"/>
            </w:tcBorders>
            <w:shd w:val="clear" w:color="auto" w:fill="auto"/>
          </w:tcPr>
          <w:p w14:paraId="2E81D857" w14:textId="77777777" w:rsidR="003E0626" w:rsidRDefault="00E25219">
            <w:pPr>
              <w:snapToGrid w:val="0"/>
              <w:rPr>
                <w:rFonts w:eastAsia="宋体"/>
                <w:sz w:val="20"/>
                <w:szCs w:val="20"/>
                <w:lang w:eastAsia="zh-CN"/>
              </w:rPr>
            </w:pPr>
            <w:r>
              <w:rPr>
                <w:rFonts w:eastAsia="宋体" w:hint="eastAsia"/>
                <w:sz w:val="20"/>
                <w:szCs w:val="20"/>
                <w:lang w:eastAsia="zh-CN"/>
              </w:rPr>
              <w:t>ZTE</w:t>
            </w:r>
          </w:p>
        </w:tc>
      </w:tr>
      <w:tr w:rsidR="003E0626" w14:paraId="1EC481E7" w14:textId="77777777">
        <w:trPr>
          <w:trHeight w:val="58"/>
        </w:trPr>
        <w:tc>
          <w:tcPr>
            <w:tcW w:w="720" w:type="dxa"/>
            <w:tcBorders>
              <w:top w:val="nil"/>
              <w:left w:val="single" w:sz="4" w:space="0" w:color="A6A6A6"/>
              <w:bottom w:val="nil"/>
              <w:right w:val="single" w:sz="4" w:space="0" w:color="A6A6A6"/>
            </w:tcBorders>
            <w:shd w:val="clear" w:color="auto" w:fill="auto"/>
          </w:tcPr>
          <w:p w14:paraId="5096F922" w14:textId="77777777" w:rsidR="003E0626" w:rsidRDefault="00E2521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nil"/>
              <w:right w:val="single" w:sz="4" w:space="0" w:color="A6A6A6"/>
            </w:tcBorders>
          </w:tcPr>
          <w:p w14:paraId="4AE06B03" w14:textId="77777777" w:rsidR="003E0626" w:rsidRDefault="00E25219">
            <w:pPr>
              <w:snapToGrid w:val="0"/>
              <w:rPr>
                <w:rFonts w:eastAsia="Times New Roman"/>
                <w:sz w:val="20"/>
                <w:szCs w:val="20"/>
              </w:rPr>
            </w:pPr>
            <w:r>
              <w:rPr>
                <w:rFonts w:eastAsia="宋体" w:hint="eastAsia"/>
                <w:sz w:val="20"/>
                <w:szCs w:val="20"/>
                <w:lang w:eastAsia="zh-CN"/>
              </w:rPr>
              <w:t>R1-2211142</w:t>
            </w:r>
          </w:p>
        </w:tc>
        <w:tc>
          <w:tcPr>
            <w:tcW w:w="7470" w:type="dxa"/>
            <w:tcBorders>
              <w:top w:val="nil"/>
              <w:left w:val="nil"/>
              <w:bottom w:val="nil"/>
              <w:right w:val="single" w:sz="4" w:space="0" w:color="A6A6A6"/>
            </w:tcBorders>
            <w:shd w:val="clear" w:color="auto" w:fill="auto"/>
          </w:tcPr>
          <w:p w14:paraId="1E762DE1" w14:textId="77777777" w:rsidR="003E0626" w:rsidRDefault="00E25219">
            <w:pPr>
              <w:snapToGrid w:val="0"/>
              <w:rPr>
                <w:rFonts w:eastAsia="Times New Roman"/>
                <w:sz w:val="20"/>
                <w:szCs w:val="20"/>
              </w:rPr>
            </w:pPr>
            <w:r>
              <w:rPr>
                <w:rFonts w:eastAsia="Times New Roman" w:hint="eastAsia"/>
                <w:sz w:val="20"/>
                <w:szCs w:val="20"/>
              </w:rPr>
              <w:t>Draft CR on aperiodic SRS enhancement in TS 38.212</w:t>
            </w:r>
          </w:p>
        </w:tc>
        <w:tc>
          <w:tcPr>
            <w:tcW w:w="3780" w:type="dxa"/>
            <w:tcBorders>
              <w:top w:val="nil"/>
              <w:left w:val="nil"/>
              <w:bottom w:val="nil"/>
              <w:right w:val="single" w:sz="4" w:space="0" w:color="A6A6A6"/>
            </w:tcBorders>
            <w:shd w:val="clear" w:color="auto" w:fill="auto"/>
          </w:tcPr>
          <w:p w14:paraId="36CAD7C5" w14:textId="77777777" w:rsidR="003E0626" w:rsidRDefault="00E25219">
            <w:pPr>
              <w:snapToGrid w:val="0"/>
              <w:rPr>
                <w:rFonts w:eastAsia="宋体"/>
                <w:sz w:val="20"/>
                <w:szCs w:val="20"/>
                <w:lang w:eastAsia="zh-CN"/>
              </w:rPr>
            </w:pPr>
            <w:r>
              <w:rPr>
                <w:rFonts w:eastAsia="宋体" w:hint="eastAsia"/>
                <w:sz w:val="20"/>
                <w:szCs w:val="20"/>
                <w:lang w:eastAsia="zh-CN"/>
              </w:rPr>
              <w:t>CATT</w:t>
            </w:r>
          </w:p>
        </w:tc>
      </w:tr>
      <w:tr w:rsidR="003E0626" w14:paraId="741113C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82C85" w14:textId="77777777" w:rsidR="003E0626" w:rsidRDefault="00E25219">
            <w:pPr>
              <w:snapToGrid w:val="0"/>
              <w:rPr>
                <w:rFonts w:eastAsia="宋体"/>
                <w:sz w:val="20"/>
                <w:szCs w:val="20"/>
                <w:lang w:eastAsia="zh-CN"/>
              </w:rPr>
            </w:pPr>
            <w:r>
              <w:rPr>
                <w:rFonts w:eastAsia="宋体" w:hint="eastAsia"/>
                <w:sz w:val="20"/>
                <w:szCs w:val="20"/>
                <w:lang w:eastAsia="zh-CN"/>
              </w:rPr>
              <w:t>4</w:t>
            </w:r>
          </w:p>
        </w:tc>
        <w:tc>
          <w:tcPr>
            <w:tcW w:w="1440" w:type="dxa"/>
            <w:tcBorders>
              <w:top w:val="nil"/>
              <w:left w:val="single" w:sz="4" w:space="0" w:color="A6A6A6"/>
              <w:bottom w:val="single" w:sz="4" w:space="0" w:color="A6A6A6"/>
              <w:right w:val="single" w:sz="4" w:space="0" w:color="A6A6A6"/>
            </w:tcBorders>
          </w:tcPr>
          <w:p w14:paraId="7B90CD98" w14:textId="77777777" w:rsidR="003E0626" w:rsidRDefault="00E25219">
            <w:pPr>
              <w:snapToGrid w:val="0"/>
              <w:rPr>
                <w:rFonts w:eastAsia="宋体"/>
                <w:sz w:val="20"/>
                <w:szCs w:val="20"/>
                <w:lang w:eastAsia="zh-CN"/>
              </w:rPr>
            </w:pPr>
            <w:r>
              <w:rPr>
                <w:rFonts w:eastAsia="宋体" w:hint="eastAsia"/>
                <w:sz w:val="20"/>
                <w:szCs w:val="20"/>
                <w:lang w:eastAsia="zh-CN"/>
              </w:rPr>
              <w:t>R1-2211940</w:t>
            </w:r>
          </w:p>
        </w:tc>
        <w:tc>
          <w:tcPr>
            <w:tcW w:w="7470" w:type="dxa"/>
            <w:tcBorders>
              <w:top w:val="nil"/>
              <w:left w:val="nil"/>
              <w:bottom w:val="single" w:sz="4" w:space="0" w:color="A6A6A6"/>
              <w:right w:val="single" w:sz="4" w:space="0" w:color="A6A6A6"/>
            </w:tcBorders>
            <w:shd w:val="clear" w:color="auto" w:fill="auto"/>
          </w:tcPr>
          <w:p w14:paraId="7D2C33FB" w14:textId="77777777" w:rsidR="003E0626" w:rsidRDefault="00E25219">
            <w:pPr>
              <w:snapToGrid w:val="0"/>
              <w:rPr>
                <w:rFonts w:eastAsia="Times New Roman"/>
                <w:sz w:val="20"/>
                <w:szCs w:val="20"/>
              </w:rPr>
            </w:pPr>
            <w:r>
              <w:rPr>
                <w:rFonts w:eastAsia="Times New Roman" w:hint="eastAsia"/>
                <w:sz w:val="20"/>
                <w:szCs w:val="20"/>
              </w:rPr>
              <w:t>Draft CR on UE capability name alignment of SRS antenna switching in TS 38.214</w:t>
            </w:r>
          </w:p>
        </w:tc>
        <w:tc>
          <w:tcPr>
            <w:tcW w:w="3780" w:type="dxa"/>
            <w:tcBorders>
              <w:top w:val="nil"/>
              <w:left w:val="nil"/>
              <w:bottom w:val="single" w:sz="4" w:space="0" w:color="A6A6A6"/>
              <w:right w:val="single" w:sz="4" w:space="0" w:color="A6A6A6"/>
            </w:tcBorders>
            <w:shd w:val="clear" w:color="auto" w:fill="auto"/>
          </w:tcPr>
          <w:p w14:paraId="23D31674" w14:textId="77777777" w:rsidR="003E0626" w:rsidRDefault="00E25219">
            <w:pPr>
              <w:snapToGrid w:val="0"/>
              <w:rPr>
                <w:rFonts w:eastAsia="宋体"/>
                <w:sz w:val="20"/>
                <w:szCs w:val="20"/>
                <w:lang w:eastAsia="zh-CN"/>
              </w:rPr>
            </w:pPr>
            <w:r>
              <w:rPr>
                <w:rFonts w:eastAsia="宋体" w:hint="eastAsia"/>
                <w:sz w:val="20"/>
                <w:szCs w:val="20"/>
                <w:lang w:eastAsia="zh-CN"/>
              </w:rPr>
              <w:t>ZTE</w:t>
            </w:r>
          </w:p>
        </w:tc>
      </w:tr>
    </w:tbl>
    <w:p w14:paraId="4E3025D0" w14:textId="77777777" w:rsidR="003E0626" w:rsidRDefault="003E0626"/>
    <w:p w14:paraId="28276DB6" w14:textId="77777777" w:rsidR="003E0626" w:rsidRDefault="003E0626"/>
    <w:sectPr w:rsidR="003E0626">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5FA9792"/>
    <w:multiLevelType w:val="singleLevel"/>
    <w:tmpl w:val="25FA9792"/>
    <w:lvl w:ilvl="0">
      <w:start w:val="1"/>
      <w:numFmt w:val="bullet"/>
      <w:lvlText w:val="-"/>
      <w:lvlJc w:val="left"/>
      <w:pPr>
        <w:ind w:left="420" w:hanging="420"/>
      </w:pPr>
      <w:rPr>
        <w:rFonts w:ascii="微软雅黑" w:eastAsia="微软雅黑" w:hAnsi="微软雅黑" w:cs="微软雅黑"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2"/>
  </w:num>
  <w:num w:numId="6">
    <w:abstractNumId w:val="8"/>
  </w:num>
  <w:num w:numId="7">
    <w:abstractNumId w:val="21"/>
  </w:num>
  <w:num w:numId="8">
    <w:abstractNumId w:val="19"/>
  </w:num>
  <w:num w:numId="9">
    <w:abstractNumId w:val="28"/>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6"/>
  </w:num>
  <w:num w:numId="17">
    <w:abstractNumId w:val="24"/>
  </w:num>
  <w:num w:numId="18">
    <w:abstractNumId w:val="30"/>
  </w:num>
  <w:num w:numId="19">
    <w:abstractNumId w:val="13"/>
  </w:num>
  <w:num w:numId="20">
    <w:abstractNumId w:val="23"/>
  </w:num>
  <w:num w:numId="21">
    <w:abstractNumId w:val="33"/>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4"/>
  </w:num>
  <w:num w:numId="29">
    <w:abstractNumId w:val="29"/>
  </w:num>
  <w:num w:numId="30">
    <w:abstractNumId w:val="10"/>
  </w:num>
  <w:num w:numId="31">
    <w:abstractNumId w:val="27"/>
  </w:num>
  <w:num w:numId="32">
    <w:abstractNumId w:val="18"/>
  </w:num>
  <w:num w:numId="33">
    <w:abstractNumId w:val="25"/>
  </w:num>
  <w:num w:numId="34">
    <w:abstractNumId w:val="31"/>
  </w:num>
  <w:num w:numId="35">
    <w:abstractNumId w:val="11"/>
  </w:num>
  <w:num w:numId="3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6700"/>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6AF9"/>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04D"/>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0528"/>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5F50"/>
    <w:rsid w:val="0036675A"/>
    <w:rsid w:val="0036762F"/>
    <w:rsid w:val="003708E7"/>
    <w:rsid w:val="00370BF1"/>
    <w:rsid w:val="00373142"/>
    <w:rsid w:val="003752EF"/>
    <w:rsid w:val="00375653"/>
    <w:rsid w:val="00380096"/>
    <w:rsid w:val="00383198"/>
    <w:rsid w:val="003855E4"/>
    <w:rsid w:val="00386144"/>
    <w:rsid w:val="003861DE"/>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626"/>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1FBA"/>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378"/>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4273"/>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6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1B1"/>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59B0"/>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BF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072C8"/>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A1B"/>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19C"/>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A3"/>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EF9"/>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219"/>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0C7C"/>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32E37D5"/>
    <w:rsid w:val="03735343"/>
    <w:rsid w:val="03EA610F"/>
    <w:rsid w:val="04441CBB"/>
    <w:rsid w:val="04C10731"/>
    <w:rsid w:val="04C45418"/>
    <w:rsid w:val="04EC3B24"/>
    <w:rsid w:val="050E7C61"/>
    <w:rsid w:val="05C92E16"/>
    <w:rsid w:val="05F06B37"/>
    <w:rsid w:val="063F6682"/>
    <w:rsid w:val="064D798C"/>
    <w:rsid w:val="06A2098C"/>
    <w:rsid w:val="06FA2F39"/>
    <w:rsid w:val="07B91AA0"/>
    <w:rsid w:val="07D03E9E"/>
    <w:rsid w:val="07DC6EA9"/>
    <w:rsid w:val="088A741C"/>
    <w:rsid w:val="08923277"/>
    <w:rsid w:val="08B25AC6"/>
    <w:rsid w:val="08B82668"/>
    <w:rsid w:val="08D9782D"/>
    <w:rsid w:val="08E97ADD"/>
    <w:rsid w:val="08ED41A2"/>
    <w:rsid w:val="091D07A2"/>
    <w:rsid w:val="09343A58"/>
    <w:rsid w:val="094C242B"/>
    <w:rsid w:val="09694B35"/>
    <w:rsid w:val="09883F36"/>
    <w:rsid w:val="0A10794E"/>
    <w:rsid w:val="0A46093C"/>
    <w:rsid w:val="0A6B41D2"/>
    <w:rsid w:val="0AA463A9"/>
    <w:rsid w:val="0ABB3214"/>
    <w:rsid w:val="0ADD7057"/>
    <w:rsid w:val="0AF13A64"/>
    <w:rsid w:val="0B0B4AA3"/>
    <w:rsid w:val="0CC86814"/>
    <w:rsid w:val="0D013121"/>
    <w:rsid w:val="0D3F7397"/>
    <w:rsid w:val="0DA131B6"/>
    <w:rsid w:val="0E214FB9"/>
    <w:rsid w:val="0E7F0948"/>
    <w:rsid w:val="0EAC13EC"/>
    <w:rsid w:val="0EDE15E9"/>
    <w:rsid w:val="0F50681D"/>
    <w:rsid w:val="0F570804"/>
    <w:rsid w:val="0FA572E7"/>
    <w:rsid w:val="10200F28"/>
    <w:rsid w:val="10243535"/>
    <w:rsid w:val="107867BC"/>
    <w:rsid w:val="10A02C32"/>
    <w:rsid w:val="11296016"/>
    <w:rsid w:val="1189589C"/>
    <w:rsid w:val="11B843A7"/>
    <w:rsid w:val="11BC2F60"/>
    <w:rsid w:val="11BE29FE"/>
    <w:rsid w:val="11E75F0A"/>
    <w:rsid w:val="120C7F28"/>
    <w:rsid w:val="12795632"/>
    <w:rsid w:val="127A784E"/>
    <w:rsid w:val="1334309E"/>
    <w:rsid w:val="136F7267"/>
    <w:rsid w:val="142932C1"/>
    <w:rsid w:val="14305F2E"/>
    <w:rsid w:val="146C6CBA"/>
    <w:rsid w:val="150F3EC7"/>
    <w:rsid w:val="153B316A"/>
    <w:rsid w:val="1540491C"/>
    <w:rsid w:val="15B90A7E"/>
    <w:rsid w:val="16173437"/>
    <w:rsid w:val="164D2281"/>
    <w:rsid w:val="166369A9"/>
    <w:rsid w:val="16B200DA"/>
    <w:rsid w:val="17595CCF"/>
    <w:rsid w:val="1773079E"/>
    <w:rsid w:val="17833C20"/>
    <w:rsid w:val="18421133"/>
    <w:rsid w:val="1864184B"/>
    <w:rsid w:val="186C5EF3"/>
    <w:rsid w:val="186D6414"/>
    <w:rsid w:val="191C127B"/>
    <w:rsid w:val="194E2F6B"/>
    <w:rsid w:val="19CF7439"/>
    <w:rsid w:val="19D472DF"/>
    <w:rsid w:val="1A360FF7"/>
    <w:rsid w:val="1A9D63C1"/>
    <w:rsid w:val="1B2B6E0F"/>
    <w:rsid w:val="1C004267"/>
    <w:rsid w:val="1C562681"/>
    <w:rsid w:val="1C690E75"/>
    <w:rsid w:val="1C8868A4"/>
    <w:rsid w:val="1CBE58D1"/>
    <w:rsid w:val="1D4C16BF"/>
    <w:rsid w:val="1D921805"/>
    <w:rsid w:val="1DFB649D"/>
    <w:rsid w:val="1E0812D5"/>
    <w:rsid w:val="1E09542E"/>
    <w:rsid w:val="1E0E5FCD"/>
    <w:rsid w:val="1E2832F1"/>
    <w:rsid w:val="1E890129"/>
    <w:rsid w:val="1EFB5597"/>
    <w:rsid w:val="1F54064B"/>
    <w:rsid w:val="1F5B15AB"/>
    <w:rsid w:val="1F6C40FC"/>
    <w:rsid w:val="1FB97878"/>
    <w:rsid w:val="1FDD5FED"/>
    <w:rsid w:val="1FFE1D42"/>
    <w:rsid w:val="20AB0EDD"/>
    <w:rsid w:val="20D10CD8"/>
    <w:rsid w:val="20FF2C9C"/>
    <w:rsid w:val="21584B08"/>
    <w:rsid w:val="21D14D24"/>
    <w:rsid w:val="223C3A2C"/>
    <w:rsid w:val="22FC704C"/>
    <w:rsid w:val="23076DB9"/>
    <w:rsid w:val="234544F6"/>
    <w:rsid w:val="239D2088"/>
    <w:rsid w:val="23B51445"/>
    <w:rsid w:val="24C26ECE"/>
    <w:rsid w:val="25461356"/>
    <w:rsid w:val="25744CF5"/>
    <w:rsid w:val="25A81A10"/>
    <w:rsid w:val="2652450E"/>
    <w:rsid w:val="26537069"/>
    <w:rsid w:val="2677503C"/>
    <w:rsid w:val="272F0961"/>
    <w:rsid w:val="27337E3A"/>
    <w:rsid w:val="27554A21"/>
    <w:rsid w:val="278E5722"/>
    <w:rsid w:val="27F034B1"/>
    <w:rsid w:val="27FD31F3"/>
    <w:rsid w:val="28ED0BE5"/>
    <w:rsid w:val="293639E5"/>
    <w:rsid w:val="295F1F68"/>
    <w:rsid w:val="29794B82"/>
    <w:rsid w:val="29907348"/>
    <w:rsid w:val="29E0129E"/>
    <w:rsid w:val="2A156F58"/>
    <w:rsid w:val="2A477E89"/>
    <w:rsid w:val="2A6C01D2"/>
    <w:rsid w:val="2AB27F1E"/>
    <w:rsid w:val="2B244016"/>
    <w:rsid w:val="2B523D6E"/>
    <w:rsid w:val="2B603E39"/>
    <w:rsid w:val="2B700F5B"/>
    <w:rsid w:val="2BBD21EF"/>
    <w:rsid w:val="2C2222C2"/>
    <w:rsid w:val="2CDF21C9"/>
    <w:rsid w:val="2E0A6D16"/>
    <w:rsid w:val="2E215C25"/>
    <w:rsid w:val="2E7A4FAD"/>
    <w:rsid w:val="2E7C0912"/>
    <w:rsid w:val="2E7F4C40"/>
    <w:rsid w:val="2EC13A83"/>
    <w:rsid w:val="2EE01FCF"/>
    <w:rsid w:val="2F3124DE"/>
    <w:rsid w:val="2F4A4636"/>
    <w:rsid w:val="302C7012"/>
    <w:rsid w:val="304D6482"/>
    <w:rsid w:val="30A46DBB"/>
    <w:rsid w:val="30AA7EB5"/>
    <w:rsid w:val="31286EBC"/>
    <w:rsid w:val="313C3BA1"/>
    <w:rsid w:val="317F2B52"/>
    <w:rsid w:val="31865FF7"/>
    <w:rsid w:val="31CA0F41"/>
    <w:rsid w:val="31FC329F"/>
    <w:rsid w:val="31FF0F4F"/>
    <w:rsid w:val="320318A6"/>
    <w:rsid w:val="322B067F"/>
    <w:rsid w:val="323A23A6"/>
    <w:rsid w:val="323C5A00"/>
    <w:rsid w:val="325D05A2"/>
    <w:rsid w:val="32903799"/>
    <w:rsid w:val="329268C4"/>
    <w:rsid w:val="32AB79C0"/>
    <w:rsid w:val="32C37391"/>
    <w:rsid w:val="32EE367A"/>
    <w:rsid w:val="32F274DE"/>
    <w:rsid w:val="33250F54"/>
    <w:rsid w:val="33C21653"/>
    <w:rsid w:val="340D4686"/>
    <w:rsid w:val="34AD46BD"/>
    <w:rsid w:val="34D96B29"/>
    <w:rsid w:val="35016D5A"/>
    <w:rsid w:val="35681A71"/>
    <w:rsid w:val="35C87556"/>
    <w:rsid w:val="35FB4893"/>
    <w:rsid w:val="367D6B23"/>
    <w:rsid w:val="369F024E"/>
    <w:rsid w:val="36A12834"/>
    <w:rsid w:val="36F8334E"/>
    <w:rsid w:val="37866934"/>
    <w:rsid w:val="38985762"/>
    <w:rsid w:val="389943BB"/>
    <w:rsid w:val="38A83890"/>
    <w:rsid w:val="38B013BA"/>
    <w:rsid w:val="38CE24F4"/>
    <w:rsid w:val="394E6CBB"/>
    <w:rsid w:val="39860701"/>
    <w:rsid w:val="3A3F441A"/>
    <w:rsid w:val="3A516D65"/>
    <w:rsid w:val="3A5C12C4"/>
    <w:rsid w:val="3A7105C3"/>
    <w:rsid w:val="3AB73A76"/>
    <w:rsid w:val="3B11009A"/>
    <w:rsid w:val="3B3E783D"/>
    <w:rsid w:val="3B5B1C5E"/>
    <w:rsid w:val="3B6054BD"/>
    <w:rsid w:val="3B825695"/>
    <w:rsid w:val="3C1D0754"/>
    <w:rsid w:val="3C836AB3"/>
    <w:rsid w:val="3C863EFA"/>
    <w:rsid w:val="3D1B3D60"/>
    <w:rsid w:val="3D1F6801"/>
    <w:rsid w:val="3D8613F4"/>
    <w:rsid w:val="3DD5024C"/>
    <w:rsid w:val="3EA55372"/>
    <w:rsid w:val="3ECB538C"/>
    <w:rsid w:val="3F011645"/>
    <w:rsid w:val="3F2672DB"/>
    <w:rsid w:val="3F6D46E9"/>
    <w:rsid w:val="3F985628"/>
    <w:rsid w:val="3FE81518"/>
    <w:rsid w:val="4003388F"/>
    <w:rsid w:val="40130846"/>
    <w:rsid w:val="401D412F"/>
    <w:rsid w:val="404833F2"/>
    <w:rsid w:val="40AE74B6"/>
    <w:rsid w:val="41800441"/>
    <w:rsid w:val="418B17F6"/>
    <w:rsid w:val="41F36C75"/>
    <w:rsid w:val="42F92DB7"/>
    <w:rsid w:val="43B00833"/>
    <w:rsid w:val="43B16F18"/>
    <w:rsid w:val="43FD1C03"/>
    <w:rsid w:val="44FE1B1C"/>
    <w:rsid w:val="45221999"/>
    <w:rsid w:val="45ED017F"/>
    <w:rsid w:val="46444982"/>
    <w:rsid w:val="46774E91"/>
    <w:rsid w:val="46A6421E"/>
    <w:rsid w:val="472247D7"/>
    <w:rsid w:val="47611F5C"/>
    <w:rsid w:val="47C14077"/>
    <w:rsid w:val="48785659"/>
    <w:rsid w:val="48A46F93"/>
    <w:rsid w:val="48BE173B"/>
    <w:rsid w:val="48CB2C50"/>
    <w:rsid w:val="4904665D"/>
    <w:rsid w:val="49794C68"/>
    <w:rsid w:val="49ED37C9"/>
    <w:rsid w:val="4A695BBF"/>
    <w:rsid w:val="4A7629D9"/>
    <w:rsid w:val="4AA072E0"/>
    <w:rsid w:val="4B233C77"/>
    <w:rsid w:val="4BAE2A0D"/>
    <w:rsid w:val="4BEF23E3"/>
    <w:rsid w:val="4C731010"/>
    <w:rsid w:val="4CF068D0"/>
    <w:rsid w:val="4D2362F9"/>
    <w:rsid w:val="4D2E116F"/>
    <w:rsid w:val="4D4460D0"/>
    <w:rsid w:val="4D616A74"/>
    <w:rsid w:val="4D927540"/>
    <w:rsid w:val="4DA9028D"/>
    <w:rsid w:val="4DBF5B96"/>
    <w:rsid w:val="4E4B044E"/>
    <w:rsid w:val="4E6C41EE"/>
    <w:rsid w:val="4E7D4707"/>
    <w:rsid w:val="4E863FA6"/>
    <w:rsid w:val="4EAD774A"/>
    <w:rsid w:val="4F1F4152"/>
    <w:rsid w:val="4F39176D"/>
    <w:rsid w:val="4F412B80"/>
    <w:rsid w:val="4F433DDD"/>
    <w:rsid w:val="4FC2504D"/>
    <w:rsid w:val="506715B6"/>
    <w:rsid w:val="51016FA0"/>
    <w:rsid w:val="510868EF"/>
    <w:rsid w:val="51153386"/>
    <w:rsid w:val="513E5FCB"/>
    <w:rsid w:val="515427BA"/>
    <w:rsid w:val="517C572F"/>
    <w:rsid w:val="51A1632D"/>
    <w:rsid w:val="51E53896"/>
    <w:rsid w:val="52033205"/>
    <w:rsid w:val="52504A2A"/>
    <w:rsid w:val="525F2EDB"/>
    <w:rsid w:val="52687758"/>
    <w:rsid w:val="529F2AFF"/>
    <w:rsid w:val="52F0446C"/>
    <w:rsid w:val="52FB15CF"/>
    <w:rsid w:val="536042DD"/>
    <w:rsid w:val="53635441"/>
    <w:rsid w:val="538B0874"/>
    <w:rsid w:val="540B2107"/>
    <w:rsid w:val="544728C6"/>
    <w:rsid w:val="547F5FE2"/>
    <w:rsid w:val="554661FC"/>
    <w:rsid w:val="55B57A0C"/>
    <w:rsid w:val="569A5023"/>
    <w:rsid w:val="572603C8"/>
    <w:rsid w:val="57B73A4C"/>
    <w:rsid w:val="580B1F39"/>
    <w:rsid w:val="586511C4"/>
    <w:rsid w:val="58EE5DE1"/>
    <w:rsid w:val="59116713"/>
    <w:rsid w:val="595F1BA9"/>
    <w:rsid w:val="59B514F1"/>
    <w:rsid w:val="59CC6739"/>
    <w:rsid w:val="59ED0981"/>
    <w:rsid w:val="5A02545A"/>
    <w:rsid w:val="5A2C4C6C"/>
    <w:rsid w:val="5A3329BB"/>
    <w:rsid w:val="5A4A6356"/>
    <w:rsid w:val="5B057A88"/>
    <w:rsid w:val="5B682056"/>
    <w:rsid w:val="5B754A5B"/>
    <w:rsid w:val="5B9E0DCB"/>
    <w:rsid w:val="5C9354B2"/>
    <w:rsid w:val="5C9B4B5A"/>
    <w:rsid w:val="5CE10613"/>
    <w:rsid w:val="5D2D2EFF"/>
    <w:rsid w:val="5DD04642"/>
    <w:rsid w:val="5E5C566F"/>
    <w:rsid w:val="5EC4257F"/>
    <w:rsid w:val="5ED26D25"/>
    <w:rsid w:val="5EDD6BE2"/>
    <w:rsid w:val="5F3B47B3"/>
    <w:rsid w:val="5FDB14E3"/>
    <w:rsid w:val="60042529"/>
    <w:rsid w:val="60DF2FCE"/>
    <w:rsid w:val="61256B9A"/>
    <w:rsid w:val="6147603A"/>
    <w:rsid w:val="61905A29"/>
    <w:rsid w:val="61FD53B8"/>
    <w:rsid w:val="625546A2"/>
    <w:rsid w:val="6306703D"/>
    <w:rsid w:val="631A7386"/>
    <w:rsid w:val="633520D8"/>
    <w:rsid w:val="63547EA9"/>
    <w:rsid w:val="63BE5B32"/>
    <w:rsid w:val="646F737E"/>
    <w:rsid w:val="647641DC"/>
    <w:rsid w:val="649B1E06"/>
    <w:rsid w:val="64D61928"/>
    <w:rsid w:val="650A3C13"/>
    <w:rsid w:val="652A203A"/>
    <w:rsid w:val="65874BAA"/>
    <w:rsid w:val="665E1D37"/>
    <w:rsid w:val="66A10D3E"/>
    <w:rsid w:val="66A4152C"/>
    <w:rsid w:val="66C85C9B"/>
    <w:rsid w:val="66CF347A"/>
    <w:rsid w:val="66D81726"/>
    <w:rsid w:val="67481B8B"/>
    <w:rsid w:val="67A85A85"/>
    <w:rsid w:val="67F91BFD"/>
    <w:rsid w:val="680D2299"/>
    <w:rsid w:val="6886416D"/>
    <w:rsid w:val="68CD15E6"/>
    <w:rsid w:val="69860405"/>
    <w:rsid w:val="69AF4CE5"/>
    <w:rsid w:val="69CB3EF0"/>
    <w:rsid w:val="69D207C4"/>
    <w:rsid w:val="6A46591B"/>
    <w:rsid w:val="6A4B78D1"/>
    <w:rsid w:val="6A627F87"/>
    <w:rsid w:val="6A9070FD"/>
    <w:rsid w:val="6B182D55"/>
    <w:rsid w:val="6B4B43FA"/>
    <w:rsid w:val="6B5A7E89"/>
    <w:rsid w:val="6C2F6306"/>
    <w:rsid w:val="6C5172AE"/>
    <w:rsid w:val="6CB709D9"/>
    <w:rsid w:val="6CC32E37"/>
    <w:rsid w:val="6CC359C5"/>
    <w:rsid w:val="6CC86C0A"/>
    <w:rsid w:val="6CE932C0"/>
    <w:rsid w:val="6D14215D"/>
    <w:rsid w:val="6D544129"/>
    <w:rsid w:val="6D565479"/>
    <w:rsid w:val="6D9E38D5"/>
    <w:rsid w:val="6E3863CC"/>
    <w:rsid w:val="6EE0050A"/>
    <w:rsid w:val="6EF634F1"/>
    <w:rsid w:val="6F0A2475"/>
    <w:rsid w:val="6F1C26C1"/>
    <w:rsid w:val="6F306933"/>
    <w:rsid w:val="6F36276D"/>
    <w:rsid w:val="6F647C60"/>
    <w:rsid w:val="6F8E708B"/>
    <w:rsid w:val="705E1E63"/>
    <w:rsid w:val="71DA3E50"/>
    <w:rsid w:val="725E1786"/>
    <w:rsid w:val="72B46FB8"/>
    <w:rsid w:val="72DB0454"/>
    <w:rsid w:val="73026139"/>
    <w:rsid w:val="731F3AEE"/>
    <w:rsid w:val="741A1538"/>
    <w:rsid w:val="743D2246"/>
    <w:rsid w:val="746858C5"/>
    <w:rsid w:val="749F7313"/>
    <w:rsid w:val="74F14A3F"/>
    <w:rsid w:val="756F406A"/>
    <w:rsid w:val="7655629C"/>
    <w:rsid w:val="76565F04"/>
    <w:rsid w:val="76821C5C"/>
    <w:rsid w:val="76A0280A"/>
    <w:rsid w:val="76F50929"/>
    <w:rsid w:val="776455CB"/>
    <w:rsid w:val="7778017F"/>
    <w:rsid w:val="779C2E93"/>
    <w:rsid w:val="789E3898"/>
    <w:rsid w:val="78B733DB"/>
    <w:rsid w:val="78CD13C3"/>
    <w:rsid w:val="79323A6A"/>
    <w:rsid w:val="794003C3"/>
    <w:rsid w:val="79A1098E"/>
    <w:rsid w:val="79EB464D"/>
    <w:rsid w:val="7B15348E"/>
    <w:rsid w:val="7B2D7344"/>
    <w:rsid w:val="7BB34023"/>
    <w:rsid w:val="7C984EEE"/>
    <w:rsid w:val="7D111724"/>
    <w:rsid w:val="7D214417"/>
    <w:rsid w:val="7D32339D"/>
    <w:rsid w:val="7D3645F1"/>
    <w:rsid w:val="7D6C3C6D"/>
    <w:rsid w:val="7DBE7491"/>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936D"/>
  <w15:docId w15:val="{06131C16-EBCE-4469-B8B4-E4CCDFF4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CommentText">
    <w:name w:val="annotation text"/>
    <w:basedOn w:val="Normal"/>
    <w:link w:val="CommentTextChar"/>
    <w:unhideWhenUsed/>
    <w:qFormat/>
    <w:rPr>
      <w:rFonts w:asciiTheme="minorHAnsi" w:eastAsia="宋体"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paragraph" w:styleId="ListParagraph">
    <w:name w:val="List Paragraph"/>
    <w:basedOn w:val="Normal"/>
    <w:link w:val="ListParagraphChar"/>
    <w:uiPriority w:val="34"/>
    <w:qFormat/>
    <w:pPr>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宋体"/>
      <w:kern w:val="2"/>
      <w:sz w:val="21"/>
      <w:szCs w:val="20"/>
      <w:lang w:eastAsia="zh-CN"/>
    </w:rPr>
  </w:style>
  <w:style w:type="paragraph" w:customStyle="1" w:styleId="a0">
    <w:name w:val="表格文字居左"/>
    <w:basedOn w:val="Normal"/>
    <w:next w:val="Normal"/>
    <w:qFormat/>
    <w:pPr>
      <w:widowControl w:val="0"/>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CC7565-3D68-440E-B617-7BAC92D16A5B}">
  <ds:schemaRefs>
    <ds:schemaRef ds:uri="http://schemas.openxmlformats.org/officeDocument/2006/bibliography"/>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WANG Guotong</cp:lastModifiedBy>
  <cp:revision>10</cp:revision>
  <dcterms:created xsi:type="dcterms:W3CDTF">2022-11-10T23:37:00Z</dcterms:created>
  <dcterms:modified xsi:type="dcterms:W3CDTF">2022-11-11T14:13:00Z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