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w:t>
      </w:r>
      <w:proofErr w:type="gramStart"/>
      <w:r w:rsidRPr="0097424D">
        <w:rPr>
          <w:rFonts w:ascii="Times New Roman" w:eastAsia="Yu Mincho" w:hAnsi="Times New Roman"/>
          <w:sz w:val="21"/>
          <w:szCs w:val="21"/>
          <w:lang w:val="en-US" w:eastAsia="ja-JP"/>
        </w:rPr>
        <w:t>be based on the assumption</w:t>
      </w:r>
      <w:proofErr w:type="gramEnd"/>
      <w:r w:rsidRPr="0097424D">
        <w:rPr>
          <w:rFonts w:ascii="Times New Roman" w:eastAsia="Yu Mincho" w:hAnsi="Times New Roman"/>
          <w:sz w:val="21"/>
          <w:szCs w:val="21"/>
          <w:lang w:val="en-US" w:eastAsia="ja-JP"/>
        </w:rPr>
        <w:t xml:space="preserve"> that the </w:t>
      </w:r>
      <w:proofErr w:type="spellStart"/>
      <w:r w:rsidRPr="0097424D">
        <w:rPr>
          <w:rFonts w:ascii="Times New Roman" w:eastAsia="Yu Mincho" w:hAnsi="Times New Roman"/>
          <w:sz w:val="21"/>
          <w:szCs w:val="21"/>
          <w:lang w:val="en-US" w:eastAsia="ja-JP"/>
        </w:rPr>
        <w:t>gNB</w:t>
      </w:r>
      <w:proofErr w:type="spellEnd"/>
      <w:r w:rsidRPr="0097424D">
        <w:rPr>
          <w:rFonts w:ascii="Times New Roman" w:eastAsia="Yu Mincho" w:hAnsi="Times New Roman"/>
          <w:sz w:val="21"/>
          <w:szCs w:val="21"/>
          <w:lang w:val="en-US" w:eastAsia="ja-JP"/>
        </w:rPr>
        <w:t xml:space="preserve">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BodyText"/>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BodyText"/>
              <w:jc w:val="both"/>
              <w:rPr>
                <w:rFonts w:eastAsia="MS Mincho"/>
                <w:sz w:val="21"/>
                <w:szCs w:val="21"/>
                <w:lang w:eastAsia="ja-JP"/>
              </w:rPr>
            </w:pPr>
            <w:r>
              <w:rPr>
                <w:rFonts w:eastAsia="MS Mincho"/>
                <w:sz w:val="21"/>
                <w:szCs w:val="21"/>
                <w:lang w:eastAsia="ja-JP"/>
              </w:rPr>
              <w:t>Okay with FL’s assessment on all 3 issues.</w:t>
            </w:r>
          </w:p>
        </w:tc>
      </w:tr>
      <w:tr w:rsidR="00DE7C74" w14:paraId="164A223F" w14:textId="77777777" w:rsidTr="00336B02">
        <w:tc>
          <w:tcPr>
            <w:tcW w:w="2200" w:type="dxa"/>
            <w:shd w:val="clear" w:color="auto" w:fill="auto"/>
          </w:tcPr>
          <w:p w14:paraId="2EA7027E" w14:textId="5AC0F639" w:rsidR="00DE7C74" w:rsidRDefault="00DE7C74" w:rsidP="004B2102">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shd w:val="clear" w:color="auto" w:fill="auto"/>
          </w:tcPr>
          <w:p w14:paraId="581770AB" w14:textId="11DC11CB" w:rsidR="00DE7C74" w:rsidRDefault="00DE7C74" w:rsidP="00515A6B">
            <w:pPr>
              <w:pStyle w:val="BodyText"/>
              <w:jc w:val="both"/>
              <w:rPr>
                <w:rFonts w:eastAsia="MS Mincho"/>
                <w:sz w:val="21"/>
                <w:szCs w:val="21"/>
                <w:lang w:eastAsia="ja-JP"/>
              </w:rPr>
            </w:pPr>
            <w:r>
              <w:rPr>
                <w:rFonts w:eastAsia="MS Mincho"/>
                <w:sz w:val="21"/>
                <w:szCs w:val="21"/>
                <w:lang w:eastAsia="ja-JP"/>
              </w:rPr>
              <w:t>Agree with FL’s assessment on all 3 issues.</w:t>
            </w:r>
          </w:p>
        </w:tc>
      </w:tr>
      <w:tr w:rsidR="00850D09" w14:paraId="2C740560" w14:textId="77777777" w:rsidTr="00336B02">
        <w:tc>
          <w:tcPr>
            <w:tcW w:w="2200" w:type="dxa"/>
            <w:shd w:val="clear" w:color="auto" w:fill="auto"/>
          </w:tcPr>
          <w:p w14:paraId="293DDCB9" w14:textId="65CCCAAF" w:rsidR="00850D09" w:rsidRDefault="00850D09" w:rsidP="004B2102">
            <w:pPr>
              <w:pStyle w:val="BodyText"/>
              <w:jc w:val="both"/>
              <w:rPr>
                <w:rFonts w:eastAsia="MS Mincho"/>
                <w:sz w:val="21"/>
                <w:szCs w:val="21"/>
                <w:lang w:val="en-US" w:eastAsia="ja-JP"/>
              </w:rPr>
            </w:pPr>
            <w:r>
              <w:rPr>
                <w:rFonts w:eastAsia="MS Mincho"/>
                <w:sz w:val="21"/>
                <w:szCs w:val="21"/>
                <w:lang w:val="en-US" w:eastAsia="ja-JP"/>
              </w:rPr>
              <w:t>Huawei, HiSilicon</w:t>
            </w:r>
          </w:p>
        </w:tc>
        <w:tc>
          <w:tcPr>
            <w:tcW w:w="7429" w:type="dxa"/>
            <w:shd w:val="clear" w:color="auto" w:fill="auto"/>
          </w:tcPr>
          <w:p w14:paraId="454969FE" w14:textId="367B66AC" w:rsidR="00850D09" w:rsidRDefault="00850D09" w:rsidP="00515A6B">
            <w:pPr>
              <w:pStyle w:val="BodyText"/>
              <w:jc w:val="both"/>
              <w:rPr>
                <w:rFonts w:eastAsia="MS Mincho"/>
                <w:sz w:val="21"/>
                <w:szCs w:val="21"/>
                <w:lang w:eastAsia="ja-JP"/>
              </w:rPr>
            </w:pPr>
            <w:r>
              <w:rPr>
                <w:rFonts w:eastAsia="MS Mincho"/>
                <w:sz w:val="21"/>
                <w:szCs w:val="21"/>
                <w:lang w:eastAsia="ja-JP"/>
              </w:rPr>
              <w:t>OK.</w:t>
            </w:r>
            <w:bookmarkStart w:id="2" w:name="_GoBack"/>
            <w:bookmarkEnd w:id="2"/>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lastRenderedPageBreak/>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lastRenderedPageBreak/>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BodyText"/>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79DF5632" w14:textId="1938DD3C" w:rsidR="006B3813" w:rsidRDefault="006B3813" w:rsidP="000A442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DFCFED6" w14:textId="77777777" w:rsidTr="00267151">
        <w:tc>
          <w:tcPr>
            <w:tcW w:w="2200" w:type="dxa"/>
            <w:shd w:val="clear" w:color="auto" w:fill="auto"/>
          </w:tcPr>
          <w:p w14:paraId="4453D686" w14:textId="38061EEC" w:rsidR="00DE7C74" w:rsidRDefault="00DE7C74" w:rsidP="00267151">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shd w:val="clear" w:color="auto" w:fill="auto"/>
          </w:tcPr>
          <w:p w14:paraId="5F59AADE" w14:textId="50534ED7" w:rsidR="00DE7C74" w:rsidRDefault="00DE7C74" w:rsidP="000A4421">
            <w:pPr>
              <w:pStyle w:val="BodyText"/>
              <w:jc w:val="both"/>
              <w:rPr>
                <w:rFonts w:eastAsia="MS Mincho"/>
                <w:sz w:val="21"/>
                <w:szCs w:val="21"/>
                <w:lang w:eastAsia="ja-JP"/>
              </w:rPr>
            </w:pPr>
            <w:r>
              <w:rPr>
                <w:rFonts w:eastAsia="MS Mincho"/>
                <w:sz w:val="21"/>
                <w:szCs w:val="21"/>
                <w:lang w:eastAsia="ja-JP"/>
              </w:rPr>
              <w:t>Agree with FL’s assessment</w:t>
            </w:r>
          </w:p>
        </w:tc>
      </w:tr>
      <w:tr w:rsidR="00E52E92" w14:paraId="57967BCB" w14:textId="77777777" w:rsidTr="00267151">
        <w:tc>
          <w:tcPr>
            <w:tcW w:w="2200" w:type="dxa"/>
            <w:shd w:val="clear" w:color="auto" w:fill="auto"/>
          </w:tcPr>
          <w:p w14:paraId="40B98716" w14:textId="214B4BE6" w:rsidR="00E52E92" w:rsidRDefault="00E52E92" w:rsidP="00267151">
            <w:pPr>
              <w:pStyle w:val="BodyText"/>
              <w:jc w:val="both"/>
              <w:rPr>
                <w:rFonts w:eastAsia="MS Mincho"/>
                <w:sz w:val="21"/>
                <w:szCs w:val="21"/>
                <w:lang w:val="en-US" w:eastAsia="ja-JP"/>
              </w:rPr>
            </w:pPr>
            <w:proofErr w:type="gramStart"/>
            <w:r>
              <w:rPr>
                <w:rFonts w:eastAsia="MS Mincho"/>
                <w:sz w:val="21"/>
                <w:szCs w:val="21"/>
                <w:lang w:val="en-US" w:eastAsia="ja-JP"/>
              </w:rPr>
              <w:t>Huawei,,</w:t>
            </w:r>
            <w:proofErr w:type="gramEnd"/>
            <w:r>
              <w:rPr>
                <w:rFonts w:eastAsia="MS Mincho"/>
                <w:sz w:val="21"/>
                <w:szCs w:val="21"/>
                <w:lang w:val="en-US" w:eastAsia="ja-JP"/>
              </w:rPr>
              <w:t xml:space="preserve"> HiSilicon</w:t>
            </w:r>
          </w:p>
        </w:tc>
        <w:tc>
          <w:tcPr>
            <w:tcW w:w="7429" w:type="dxa"/>
            <w:shd w:val="clear" w:color="auto" w:fill="auto"/>
          </w:tcPr>
          <w:p w14:paraId="2880284B" w14:textId="229BA6E4" w:rsidR="00E52E92" w:rsidRDefault="00E52E92" w:rsidP="000A4421">
            <w:pPr>
              <w:pStyle w:val="BodyText"/>
              <w:jc w:val="both"/>
              <w:rPr>
                <w:rFonts w:eastAsia="MS Mincho"/>
                <w:sz w:val="21"/>
                <w:szCs w:val="21"/>
                <w:lang w:eastAsia="ja-JP"/>
              </w:rPr>
            </w:pPr>
            <w:r>
              <w:rPr>
                <w:rFonts w:eastAsia="MS Mincho"/>
                <w:sz w:val="21"/>
                <w:szCs w:val="21"/>
                <w:lang w:eastAsia="ja-JP"/>
              </w:rPr>
              <w:t>OK with the arrangement except for the priority. Suggest to remove the priority because it is unclear how to handle priority in the CR email thread.</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3" w:name="_Toc86838782"/>
      <w:r>
        <w:lastRenderedPageBreak/>
        <w:t>Type A PUSCH repetitions for Msg3</w:t>
      </w:r>
      <w:bookmarkEnd w:id="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BodyText"/>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539E6D4"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3B459E53" w14:textId="642C1F7D" w:rsidR="00DE7C74" w:rsidRDefault="00DE7C74" w:rsidP="00267151">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8D7ADF7" w14:textId="1E633A53" w:rsidR="00DE7C74" w:rsidRDefault="00DE7C74" w:rsidP="00267151">
            <w:pPr>
              <w:pStyle w:val="BodyText"/>
              <w:jc w:val="both"/>
              <w:rPr>
                <w:rFonts w:eastAsia="MS Mincho"/>
                <w:sz w:val="21"/>
                <w:szCs w:val="21"/>
                <w:lang w:eastAsia="ja-JP"/>
              </w:rPr>
            </w:pPr>
            <w:r>
              <w:rPr>
                <w:rFonts w:eastAsia="MS Mincho"/>
                <w:sz w:val="21"/>
                <w:szCs w:val="21"/>
                <w:lang w:eastAsia="ja-JP"/>
              </w:rPr>
              <w:t>Agree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lastRenderedPageBreak/>
        <w:t>References</w:t>
      </w:r>
    </w:p>
    <w:p w14:paraId="757BB1A3"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D8131B"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FC52" w14:textId="77777777" w:rsidR="00D8131B" w:rsidRDefault="00D8131B">
      <w:pPr>
        <w:spacing w:after="0" w:line="240" w:lineRule="auto"/>
      </w:pPr>
      <w:r>
        <w:separator/>
      </w:r>
    </w:p>
  </w:endnote>
  <w:endnote w:type="continuationSeparator" w:id="0">
    <w:p w14:paraId="1CB9C981" w14:textId="77777777" w:rsidR="00D8131B" w:rsidRDefault="00D8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EB36" w14:textId="77777777" w:rsidR="00D8131B" w:rsidRDefault="00D8131B">
      <w:pPr>
        <w:spacing w:after="0" w:line="240" w:lineRule="auto"/>
      </w:pPr>
      <w:r>
        <w:separator/>
      </w:r>
    </w:p>
  </w:footnote>
  <w:footnote w:type="continuationSeparator" w:id="0">
    <w:p w14:paraId="4A3924B0" w14:textId="77777777" w:rsidR="00D8131B" w:rsidRDefault="00D81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D09"/>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248"/>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31B"/>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E7C74"/>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E92"/>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5F06064-4AF8-4D69-B9DE-D6C2A083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6</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 HiSilicon</cp:lastModifiedBy>
  <cp:revision>4</cp:revision>
  <cp:lastPrinted>2004-04-14T09:17:00Z</cp:lastPrinted>
  <dcterms:created xsi:type="dcterms:W3CDTF">2022-10-10T16:43:00Z</dcterms:created>
  <dcterms:modified xsi:type="dcterms:W3CDTF">2022-10-10T18:01:00Z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