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2F74F6B1" w:rsidR="000D7C96" w:rsidRDefault="00607BA4">
      <w:pPr>
        <w:pStyle w:val="a0"/>
        <w:tabs>
          <w:tab w:val="right" w:pos="9639"/>
        </w:tabs>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w:t>
            </w:r>
            <w:r w:rsidR="00A14D66">
              <w:rPr>
                <w:rFonts w:eastAsia="MS Mincho"/>
                <w:sz w:val="21"/>
                <w:szCs w:val="21"/>
                <w:lang w:eastAsia="ja-JP"/>
              </w:rPr>
              <w:t xml:space="preserve">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w:t>
            </w:r>
            <w:r w:rsidR="00A14D66">
              <w:rPr>
                <w:rFonts w:eastAsia="MS Mincho"/>
                <w:sz w:val="21"/>
                <w:szCs w:val="21"/>
                <w:lang w:eastAsia="ja-JP"/>
              </w:rPr>
              <w:t xml:space="preserve">Support FL’s </w:t>
            </w:r>
            <w:r w:rsidR="00A14D66" w:rsidRPr="00A14D66">
              <w:rPr>
                <w:rFonts w:eastAsia="MS Mincho"/>
                <w:sz w:val="21"/>
                <w:szCs w:val="21"/>
                <w:lang w:eastAsia="ja-JP"/>
              </w:rPr>
              <w:t>assessment</w:t>
            </w:r>
          </w:p>
        </w:tc>
      </w:tr>
      <w:tr w:rsidR="005A242F" w14:paraId="3900B7A5" w14:textId="77777777" w:rsidTr="00336B02">
        <w:tc>
          <w:tcPr>
            <w:tcW w:w="2200" w:type="dxa"/>
            <w:shd w:val="clear" w:color="auto" w:fill="auto"/>
          </w:tcPr>
          <w:p w14:paraId="2B3330AC" w14:textId="77777777" w:rsidR="005A242F" w:rsidRDefault="005A242F" w:rsidP="00336B02">
            <w:pPr>
              <w:pStyle w:val="ad"/>
              <w:jc w:val="both"/>
              <w:rPr>
                <w:rFonts w:eastAsia="MS Mincho"/>
                <w:sz w:val="21"/>
                <w:szCs w:val="21"/>
                <w:lang w:eastAsia="ja-JP"/>
              </w:rPr>
            </w:pPr>
          </w:p>
        </w:tc>
        <w:tc>
          <w:tcPr>
            <w:tcW w:w="7429" w:type="dxa"/>
            <w:shd w:val="clear" w:color="auto" w:fill="auto"/>
          </w:tcPr>
          <w:p w14:paraId="65DF0CF3" w14:textId="77777777" w:rsidR="005A242F" w:rsidRDefault="005A242F" w:rsidP="00336B02">
            <w:pPr>
              <w:pStyle w:val="ad"/>
              <w:jc w:val="both"/>
              <w:rPr>
                <w:rFonts w:eastAsia="MS Mincho"/>
                <w:sz w:val="21"/>
                <w:szCs w:val="21"/>
                <w:lang w:eastAsia="ja-JP"/>
              </w:rPr>
            </w:pPr>
          </w:p>
        </w:tc>
      </w:tr>
      <w:tr w:rsidR="005A242F" w14:paraId="5C9C2BEE" w14:textId="77777777" w:rsidTr="00336B02">
        <w:tc>
          <w:tcPr>
            <w:tcW w:w="2200" w:type="dxa"/>
            <w:shd w:val="clear" w:color="auto" w:fill="auto"/>
          </w:tcPr>
          <w:p w14:paraId="6B9207F6" w14:textId="77777777" w:rsidR="005A242F" w:rsidRDefault="005A242F" w:rsidP="00336B02">
            <w:pPr>
              <w:pStyle w:val="ad"/>
              <w:jc w:val="both"/>
              <w:rPr>
                <w:sz w:val="21"/>
                <w:szCs w:val="21"/>
                <w:lang w:val="en-US" w:eastAsia="ja-JP"/>
              </w:rPr>
            </w:pPr>
          </w:p>
        </w:tc>
        <w:tc>
          <w:tcPr>
            <w:tcW w:w="7429" w:type="dxa"/>
            <w:shd w:val="clear" w:color="auto" w:fill="auto"/>
          </w:tcPr>
          <w:p w14:paraId="5C484C18" w14:textId="77777777" w:rsidR="005A242F" w:rsidRDefault="005A242F" w:rsidP="00336B02">
            <w:pPr>
              <w:pStyle w:val="ad"/>
              <w:jc w:val="both"/>
              <w:rPr>
                <w:sz w:val="21"/>
                <w:szCs w:val="21"/>
                <w:lang w:val="en-US" w:eastAsia="zh-CN"/>
              </w:rPr>
            </w:pP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 xml:space="preserve">R1-2209707, </w:t>
            </w:r>
            <w:r w:rsidR="00431DDF" w:rsidRPr="00431DDF">
              <w:rPr>
                <w:sz w:val="21"/>
                <w:szCs w:val="21"/>
              </w:rPr>
              <w:lastRenderedPageBreak/>
              <w:t>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lastRenderedPageBreak/>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7D5373" w14:paraId="46FC974A" w14:textId="77777777" w:rsidTr="00FC7625">
        <w:tc>
          <w:tcPr>
            <w:tcW w:w="2200" w:type="dxa"/>
            <w:shd w:val="clear" w:color="auto" w:fill="auto"/>
          </w:tcPr>
          <w:p w14:paraId="4191E13E" w14:textId="77777777" w:rsidR="007D5373" w:rsidRDefault="007D5373" w:rsidP="00FC7625">
            <w:pPr>
              <w:pStyle w:val="ad"/>
              <w:jc w:val="both"/>
              <w:rPr>
                <w:rFonts w:eastAsia="MS Mincho"/>
                <w:sz w:val="21"/>
                <w:szCs w:val="21"/>
                <w:lang w:eastAsia="ja-JP"/>
              </w:rPr>
            </w:pPr>
          </w:p>
        </w:tc>
        <w:tc>
          <w:tcPr>
            <w:tcW w:w="7429" w:type="dxa"/>
            <w:shd w:val="clear" w:color="auto" w:fill="auto"/>
          </w:tcPr>
          <w:p w14:paraId="147AD2FB" w14:textId="77777777" w:rsidR="007D5373" w:rsidRDefault="007D5373" w:rsidP="00FC7625">
            <w:pPr>
              <w:pStyle w:val="ad"/>
              <w:jc w:val="both"/>
              <w:rPr>
                <w:rFonts w:eastAsia="MS Mincho"/>
                <w:sz w:val="21"/>
                <w:szCs w:val="21"/>
                <w:lang w:eastAsia="ja-JP"/>
              </w:rPr>
            </w:pPr>
          </w:p>
        </w:tc>
      </w:tr>
      <w:tr w:rsidR="007D5373" w14:paraId="62D12FC6" w14:textId="77777777" w:rsidTr="00FC7625">
        <w:tc>
          <w:tcPr>
            <w:tcW w:w="2200" w:type="dxa"/>
            <w:shd w:val="clear" w:color="auto" w:fill="auto"/>
          </w:tcPr>
          <w:p w14:paraId="6344BCE2" w14:textId="77777777" w:rsidR="007D5373" w:rsidRDefault="007D5373" w:rsidP="00FC7625">
            <w:pPr>
              <w:pStyle w:val="ad"/>
              <w:jc w:val="both"/>
              <w:rPr>
                <w:sz w:val="21"/>
                <w:szCs w:val="21"/>
                <w:lang w:val="en-US" w:eastAsia="ja-JP"/>
              </w:rPr>
            </w:pPr>
          </w:p>
        </w:tc>
        <w:tc>
          <w:tcPr>
            <w:tcW w:w="7429" w:type="dxa"/>
            <w:shd w:val="clear" w:color="auto" w:fill="auto"/>
          </w:tcPr>
          <w:p w14:paraId="5F0F237C" w14:textId="77777777" w:rsidR="007D5373" w:rsidRDefault="007D5373" w:rsidP="00FC7625">
            <w:pPr>
              <w:pStyle w:val="ad"/>
              <w:jc w:val="both"/>
              <w:rPr>
                <w:sz w:val="21"/>
                <w:szCs w:val="21"/>
                <w:lang w:val="en-US" w:eastAsia="zh-CN"/>
              </w:rPr>
            </w:pP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bookmarkStart w:id="3" w:name="_GoBack"/>
            <w:bookmarkEnd w:id="3"/>
          </w:p>
        </w:tc>
      </w:tr>
      <w:tr w:rsidR="00A14D66" w14:paraId="5BE6A8FA" w14:textId="77777777" w:rsidTr="00FC7625">
        <w:tc>
          <w:tcPr>
            <w:tcW w:w="2200" w:type="dxa"/>
            <w:shd w:val="clear" w:color="auto" w:fill="auto"/>
          </w:tcPr>
          <w:p w14:paraId="43B625EB" w14:textId="77777777" w:rsidR="00A14D66" w:rsidRDefault="00A14D66" w:rsidP="00A14D66">
            <w:pPr>
              <w:pStyle w:val="ad"/>
              <w:jc w:val="both"/>
              <w:rPr>
                <w:rFonts w:eastAsia="MS Mincho"/>
                <w:sz w:val="21"/>
                <w:szCs w:val="21"/>
                <w:lang w:eastAsia="ja-JP"/>
              </w:rPr>
            </w:pPr>
          </w:p>
        </w:tc>
        <w:tc>
          <w:tcPr>
            <w:tcW w:w="7429" w:type="dxa"/>
            <w:shd w:val="clear" w:color="auto" w:fill="auto"/>
          </w:tcPr>
          <w:p w14:paraId="3DD97EEA" w14:textId="77777777" w:rsidR="00A14D66" w:rsidRDefault="00A14D66" w:rsidP="00A14D66">
            <w:pPr>
              <w:pStyle w:val="ad"/>
              <w:jc w:val="both"/>
              <w:rPr>
                <w:rFonts w:eastAsia="MS Mincho"/>
                <w:sz w:val="21"/>
                <w:szCs w:val="21"/>
                <w:lang w:eastAsia="ja-JP"/>
              </w:rPr>
            </w:pPr>
          </w:p>
        </w:tc>
      </w:tr>
      <w:tr w:rsidR="00A14D66" w14:paraId="7066528C" w14:textId="77777777" w:rsidTr="00FC7625">
        <w:tc>
          <w:tcPr>
            <w:tcW w:w="2200" w:type="dxa"/>
            <w:shd w:val="clear" w:color="auto" w:fill="auto"/>
          </w:tcPr>
          <w:p w14:paraId="3AED7415" w14:textId="77777777" w:rsidR="00A14D66" w:rsidRDefault="00A14D66" w:rsidP="00A14D66">
            <w:pPr>
              <w:pStyle w:val="ad"/>
              <w:jc w:val="both"/>
              <w:rPr>
                <w:sz w:val="21"/>
                <w:szCs w:val="21"/>
                <w:lang w:val="en-US" w:eastAsia="ja-JP"/>
              </w:rPr>
            </w:pPr>
          </w:p>
        </w:tc>
        <w:tc>
          <w:tcPr>
            <w:tcW w:w="7429" w:type="dxa"/>
            <w:shd w:val="clear" w:color="auto" w:fill="auto"/>
          </w:tcPr>
          <w:p w14:paraId="428B2DBC" w14:textId="77777777" w:rsidR="00A14D66" w:rsidRDefault="00A14D66" w:rsidP="00A14D66">
            <w:pPr>
              <w:pStyle w:val="ad"/>
              <w:jc w:val="both"/>
              <w:rPr>
                <w:sz w:val="21"/>
                <w:szCs w:val="21"/>
                <w:lang w:val="en-US" w:eastAsia="zh-CN"/>
              </w:rPr>
            </w:pP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8D3132"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F06B" w14:textId="77777777" w:rsidR="008D3132" w:rsidRDefault="008D3132">
      <w:pPr>
        <w:spacing w:after="0" w:line="240" w:lineRule="auto"/>
      </w:pPr>
      <w:r>
        <w:separator/>
      </w:r>
    </w:p>
  </w:endnote>
  <w:endnote w:type="continuationSeparator" w:id="0">
    <w:p w14:paraId="205A11C1" w14:textId="77777777" w:rsidR="008D3132" w:rsidRDefault="008D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1A1BC1CF"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76F2">
      <w:rPr>
        <w:rFonts w:ascii="Arial" w:hAnsi="Arial" w:cs="Arial"/>
        <w:b/>
        <w:noProof/>
        <w:sz w:val="18"/>
        <w:szCs w:val="18"/>
      </w:rPr>
      <w:t>2</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ACB9" w14:textId="77777777" w:rsidR="008D3132" w:rsidRDefault="008D3132">
      <w:pPr>
        <w:spacing w:after="0" w:line="240" w:lineRule="auto"/>
      </w:pPr>
      <w:r>
        <w:separator/>
      </w:r>
    </w:p>
  </w:footnote>
  <w:footnote w:type="continuationSeparator" w:id="0">
    <w:p w14:paraId="06835C90" w14:textId="77777777" w:rsidR="008D3132" w:rsidRDefault="008D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CD976A-2555-454A-BD86-E59B414A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Spreadtrum</cp:lastModifiedBy>
  <cp:revision>4</cp:revision>
  <cp:lastPrinted>2004-04-14T09:17:00Z</cp:lastPrinted>
  <dcterms:created xsi:type="dcterms:W3CDTF">2022-10-10T03:13:00Z</dcterms:created>
  <dcterms:modified xsi:type="dcterms:W3CDTF">2022-10-10T03:16:00Z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