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The name of the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is called K-Mac in TS 38.213. While in TS 38.331, the name of the scheduling offset is called </w:t>
            </w:r>
            <w:proofErr w:type="spellStart"/>
            <w:r w:rsidRPr="002715E2">
              <w:rPr>
                <w:rFonts w:eastAsia="DengXian"/>
                <w:szCs w:val="18"/>
                <w:lang w:eastAsia="zh-CN"/>
              </w:rPr>
              <w:t>kmac</w:t>
            </w:r>
            <w:proofErr w:type="spellEnd"/>
            <w:r w:rsidRPr="002715E2">
              <w:rPr>
                <w:rFonts w:eastAsia="DengXian"/>
                <w:szCs w:val="18"/>
                <w:lang w:eastAsia="zh-CN"/>
              </w:rPr>
              <w:t>.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Align the name of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w:t>
            </w:r>
            <w:proofErr w:type="gramStart"/>
            <w:r>
              <w:rPr>
                <w:iCs/>
                <w:szCs w:val="32"/>
              </w:rPr>
              <w:t xml:space="preserve">a </w:t>
            </w:r>
            <w:r w:rsidRPr="00326475">
              <w:rPr>
                <w:iCs/>
                <w:szCs w:val="32"/>
              </w:rPr>
              <w:t>number of</w:t>
            </w:r>
            <w:proofErr w:type="gramEnd"/>
            <w:r w:rsidRPr="00326475">
              <w:rPr>
                <w:iCs/>
                <w:szCs w:val="32"/>
              </w:rPr>
              <w:t xml:space="preserve">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SimSun"/>
                <w:bCs/>
                <w:lang w:eastAsia="zh-CN"/>
              </w:rPr>
            </w:pPr>
            <w:r>
              <w:rPr>
                <w:rFonts w:eastAsia="SimSun"/>
                <w:bCs/>
                <w:lang w:eastAsia="zh-CN"/>
              </w:rPr>
              <w:t>Ericsson</w:t>
            </w:r>
          </w:p>
        </w:tc>
        <w:tc>
          <w:tcPr>
            <w:tcW w:w="4069" w:type="pct"/>
          </w:tcPr>
          <w:p w14:paraId="05F84F89" w14:textId="69EA1137" w:rsidR="006D633B" w:rsidRDefault="00BF3396" w:rsidP="000524B4">
            <w:pPr>
              <w:adjustRightInd w:val="0"/>
              <w:snapToGrid w:val="0"/>
              <w:spacing w:after="120"/>
              <w:rPr>
                <w:rFonts w:eastAsia="DengXian"/>
                <w:bCs/>
                <w:lang w:eastAsia="zh-CN"/>
              </w:rPr>
            </w:pPr>
            <w:r>
              <w:rPr>
                <w:rFonts w:eastAsia="DengXian"/>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Heading2"/>
        <w:numPr>
          <w:ilvl w:val="1"/>
          <w:numId w:val="33"/>
        </w:numPr>
      </w:pPr>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w:t>
            </w:r>
            <w:proofErr w:type="gramStart"/>
            <w:r w:rsidRPr="00D6709D">
              <w:rPr>
                <w:bCs/>
              </w:rPr>
              <w:t>at the moment</w:t>
            </w:r>
            <w:proofErr w:type="gramEnd"/>
            <w:r w:rsidRPr="00D6709D">
              <w:rPr>
                <w:bCs/>
              </w:rPr>
              <w:t xml:space="preserve">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UEs may implement different solutions in compliance with the text, but yielding to different </w:t>
            </w:r>
            <w:proofErr w:type="spellStart"/>
            <w:r w:rsidRPr="00917CC2">
              <w:rPr>
                <w:rFonts w:eastAsia="DengXian"/>
                <w:szCs w:val="18"/>
                <w:lang w:eastAsia="zh-CN"/>
              </w:rPr>
              <w:t>behaviour</w:t>
            </w:r>
            <w:proofErr w:type="spellEnd"/>
            <w:r w:rsidRPr="00917CC2">
              <w:rPr>
                <w:rFonts w:eastAsia="DengXian"/>
                <w:szCs w:val="18"/>
                <w:lang w:eastAsia="zh-CN"/>
              </w:rPr>
              <w:t xml:space="preserve">, making the conformance testing and </w:t>
            </w:r>
            <w:proofErr w:type="spellStart"/>
            <w:r w:rsidRPr="00917CC2">
              <w:rPr>
                <w:rFonts w:eastAsia="DengXian"/>
                <w:szCs w:val="18"/>
                <w:lang w:eastAsia="zh-CN"/>
              </w:rPr>
              <w:t>gNB</w:t>
            </w:r>
            <w:proofErr w:type="spellEnd"/>
            <w:r w:rsidRPr="00917CC2">
              <w:rPr>
                <w:rFonts w:eastAsia="DengXian"/>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 xml:space="preserve">think this is </w:t>
            </w:r>
            <w:proofErr w:type="gramStart"/>
            <w:r w:rsidR="00630819" w:rsidRPr="00917CC2">
              <w:rPr>
                <w:szCs w:val="18"/>
              </w:rPr>
              <w:t>Non-essential</w:t>
            </w:r>
            <w:proofErr w:type="gramEnd"/>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spellStart"/>
                  <w:proofErr w:type="gramStart"/>
                  <m:r>
                    <m:rPr>
                      <m:nor/>
                    </m:rPr>
                    <m:t>TA,adj</m:t>
                  </m:r>
                  <w:proofErr w:type="spellEnd"/>
                  <w:proofErr w:type="gramEnd"/>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000000"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w:proofErr w:type="gramStart"/>
                  <m:r>
                    <w:ins w:id="127" w:author="Author">
                      <m:rPr>
                        <m:nor/>
                      </m:rPr>
                      <m:t>TA,adj</m:t>
                    </w:ins>
                  </m:r>
                  <w:proofErr w:type="gramEnd"/>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000000"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 xml:space="preserve">ot support. In previous meetings, how to </w:t>
            </w:r>
            <w:proofErr w:type="gramStart"/>
            <w:r>
              <w:rPr>
                <w:bCs/>
                <w:lang w:eastAsia="zh-CN"/>
              </w:rPr>
              <w:t>derived</w:t>
            </w:r>
            <w:proofErr w:type="gramEnd"/>
            <w:r>
              <w:rPr>
                <w:bCs/>
                <w:lang w:eastAsia="zh-CN"/>
              </w:rPr>
              <w:t xml:space="preserve">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 xml:space="preserve">We are not </w:t>
            </w:r>
            <w:proofErr w:type="gramStart"/>
            <w:r>
              <w:rPr>
                <w:rFonts w:eastAsia="DengXian"/>
                <w:bCs/>
                <w:lang w:eastAsia="zh-CN"/>
              </w:rPr>
              <w:t>really sure</w:t>
            </w:r>
            <w:proofErr w:type="gramEnd"/>
            <w:r>
              <w:rPr>
                <w:rFonts w:eastAsia="DengXian"/>
                <w:bCs/>
                <w:lang w:eastAsia="zh-CN"/>
              </w:rPr>
              <w:t xml:space="preserv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SimSun"/>
                <w:bCs/>
                <w:lang w:eastAsia="zh-CN"/>
              </w:rPr>
            </w:pPr>
            <w:proofErr w:type="spellStart"/>
            <w:r>
              <w:rPr>
                <w:rFonts w:eastAsia="SimSun"/>
                <w:bCs/>
                <w:lang w:eastAsia="zh-CN"/>
              </w:rPr>
              <w:t>Ericsosn</w:t>
            </w:r>
            <w:proofErr w:type="spellEnd"/>
          </w:p>
        </w:tc>
        <w:tc>
          <w:tcPr>
            <w:tcW w:w="4069" w:type="pct"/>
          </w:tcPr>
          <w:p w14:paraId="61A72FE2" w14:textId="4538B425" w:rsidR="00BF3396" w:rsidRDefault="00CD4DA7" w:rsidP="00503202">
            <w:pPr>
              <w:adjustRightInd w:val="0"/>
              <w:snapToGrid w:val="0"/>
              <w:spacing w:after="120"/>
              <w:rPr>
                <w:rFonts w:eastAsia="DengXian"/>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xml:space="preserve">. It is implicitly understood that the provided parameters need to be valid but the details of this (handling of the validity timer T430, </w:t>
            </w:r>
            <w:proofErr w:type="spellStart"/>
            <w:r>
              <w:rPr>
                <w:bCs/>
                <w:lang w:eastAsia="zh-CN"/>
              </w:rPr>
              <w:t>etc</w:t>
            </w:r>
            <w:proofErr w:type="spellEnd"/>
            <w:r>
              <w:rPr>
                <w:bCs/>
                <w:lang w:eastAsia="zh-CN"/>
              </w:rPr>
              <w:t>)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Heading2"/>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4BA20361" w:rsidR="00A85BD3" w:rsidRDefault="00443696" w:rsidP="00A85BD3">
            <w:pPr>
              <w:rPr>
                <w:rFonts w:eastAsia="SimSun"/>
                <w:bCs/>
                <w:lang w:eastAsia="zh-CN"/>
              </w:rPr>
            </w:pPr>
            <w:r>
              <w:rPr>
                <w:rFonts w:eastAsia="SimSun"/>
                <w:bCs/>
                <w:lang w:eastAsia="zh-CN"/>
              </w:rPr>
              <w:t>QC</w:t>
            </w:r>
          </w:p>
        </w:tc>
        <w:tc>
          <w:tcPr>
            <w:tcW w:w="4069" w:type="pct"/>
          </w:tcPr>
          <w:p w14:paraId="549D8C6F" w14:textId="3AE1C8A8" w:rsidR="00A85BD3" w:rsidRDefault="002B1F7D" w:rsidP="00A85BD3">
            <w:pPr>
              <w:pStyle w:val="ListParagraph"/>
              <w:adjustRightInd w:val="0"/>
              <w:snapToGrid w:val="0"/>
              <w:spacing w:after="120"/>
              <w:ind w:left="0"/>
              <w:rPr>
                <w:rFonts w:cs="Times New Roman"/>
                <w:bCs/>
                <w:lang w:eastAsia="zh-CN"/>
              </w:rPr>
            </w:pPr>
            <w:r>
              <w:rPr>
                <w:rFonts w:cs="Times New Roman"/>
                <w:bCs/>
                <w:lang w:eastAsia="zh-CN"/>
              </w:rPr>
              <w:t xml:space="preserve">We don’t support the CR. </w:t>
            </w:r>
            <w:r w:rsidR="00A64EBF">
              <w:rPr>
                <w:rFonts w:cs="Times New Roman"/>
                <w:bCs/>
                <w:lang w:eastAsia="zh-CN"/>
              </w:rPr>
              <w:t xml:space="preserve">The physical meaning of signaled common TA parameter is already clearly defined. Implementation of </w:t>
            </w:r>
            <w:r w:rsidR="006378D9">
              <w:rPr>
                <w:rFonts w:cs="Times New Roman"/>
                <w:bCs/>
                <w:lang w:eastAsia="zh-CN"/>
              </w:rPr>
              <w:t>open-loop TA is up to UE implementation</w:t>
            </w:r>
            <w:r w:rsidR="00A64EBF">
              <w:rPr>
                <w:rFonts w:cs="Times New Roman"/>
                <w:bCs/>
                <w:lang w:eastAsia="zh-CN"/>
              </w:rPr>
              <w:t xml:space="preserve"> and subject to RAN4 timing requirement. The proposed text imposes unnecessary </w:t>
            </w:r>
            <w:r w:rsidR="00E119D6">
              <w:rPr>
                <w:rFonts w:cs="Times New Roman"/>
                <w:bCs/>
                <w:lang w:eastAsia="zh-CN"/>
              </w:rPr>
              <w:t>limitation on UE implementation.</w:t>
            </w:r>
          </w:p>
        </w:tc>
      </w:tr>
      <w:tr w:rsidR="00A85BD3" w14:paraId="6D5ECF77" w14:textId="77777777" w:rsidTr="00A85BD3">
        <w:tc>
          <w:tcPr>
            <w:tcW w:w="931" w:type="pct"/>
          </w:tcPr>
          <w:p w14:paraId="3882C18E" w14:textId="77777777" w:rsidR="00A85BD3" w:rsidRDefault="00A85BD3" w:rsidP="00A85BD3">
            <w:pPr>
              <w:rPr>
                <w:rFonts w:eastAsia="SimSun"/>
                <w:bCs/>
                <w:lang w:eastAsia="zh-CN"/>
              </w:rPr>
            </w:pPr>
          </w:p>
        </w:tc>
        <w:tc>
          <w:tcPr>
            <w:tcW w:w="4069" w:type="pct"/>
          </w:tcPr>
          <w:p w14:paraId="0B483D28" w14:textId="77777777" w:rsidR="00A85BD3" w:rsidRDefault="00A85BD3" w:rsidP="00A85BD3">
            <w:pPr>
              <w:pStyle w:val="ListParagraph"/>
              <w:adjustRightInd w:val="0"/>
              <w:snapToGrid w:val="0"/>
              <w:spacing w:after="120"/>
              <w:ind w:left="0"/>
              <w:rPr>
                <w:rFonts w:cs="Times New Roman"/>
                <w:bCs/>
                <w:lang w:eastAsia="zh-CN"/>
              </w:rPr>
            </w:pPr>
          </w:p>
        </w:tc>
      </w:tr>
    </w:tbl>
    <w:p w14:paraId="1A8BF381" w14:textId="77777777" w:rsidR="00A85BD3" w:rsidRDefault="00A85BD3"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 xml:space="preserve">backward </w:t>
      </w:r>
      <w:proofErr w:type="gramStart"/>
      <w:r w:rsidRPr="0085653C">
        <w:rPr>
          <w:rFonts w:ascii="Times New Roman" w:eastAsia="DengXian" w:hAnsi="Times New Roman" w:cs="Times New Roman"/>
          <w:szCs w:val="18"/>
          <w:lang w:eastAsia="zh-CN"/>
        </w:rPr>
        <w:t>propagation :</w:t>
      </w:r>
      <w:proofErr w:type="gramEnd"/>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 xml:space="preserve">Proposal 4: The </w:t>
            </w:r>
            <w:proofErr w:type="spellStart"/>
            <w:r w:rsidRPr="009123BF">
              <w:rPr>
                <w:rFonts w:ascii="Times New Roman" w:eastAsia="DengXian" w:hAnsi="Times New Roman" w:cs="Times New Roman"/>
                <w:szCs w:val="18"/>
                <w:lang w:eastAsia="zh-CN"/>
              </w:rPr>
              <w:t>gNB</w:t>
            </w:r>
            <w:proofErr w:type="spellEnd"/>
            <w:r w:rsidRPr="009123BF">
              <w:rPr>
                <w:rFonts w:ascii="Times New Roman" w:eastAsia="DengXian" w:hAnsi="Times New Roman" w:cs="Times New Roman"/>
                <w:szCs w:val="18"/>
                <w:lang w:eastAsia="zh-CN"/>
              </w:rPr>
              <w:t xml:space="preserve"> may assume that the UE supports backwards propagation of the serving satellite </w:t>
            </w:r>
            <w:proofErr w:type="spellStart"/>
            <w:r w:rsidRPr="009123BF">
              <w:rPr>
                <w:rFonts w:ascii="Times New Roman" w:eastAsia="DengXian" w:hAnsi="Times New Roman" w:cs="Times New Roman"/>
                <w:szCs w:val="18"/>
                <w:lang w:eastAsia="zh-CN"/>
              </w:rPr>
              <w:t>ephemrsis</w:t>
            </w:r>
            <w:proofErr w:type="spellEnd"/>
            <w:r w:rsidRPr="009123BF">
              <w:rPr>
                <w:rFonts w:ascii="Times New Roman" w:eastAsia="DengXian" w:hAnsi="Times New Roman" w:cs="Times New Roman"/>
                <w:szCs w:val="18"/>
                <w:lang w:eastAsia="zh-CN"/>
              </w:rPr>
              <w:t xml:space="preserve">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w:t>
      </w:r>
      <w:proofErr w:type="gramStart"/>
      <w:r w:rsidRPr="00023D26">
        <w:rPr>
          <w:rFonts w:eastAsia="SimSun"/>
          <w:iCs/>
          <w:szCs w:val="22"/>
          <w:lang w:eastAsia="zh-CN"/>
        </w:rPr>
        <w:t>in particular when</w:t>
      </w:r>
      <w:proofErr w:type="gramEnd"/>
      <w:r w:rsidRPr="00023D26">
        <w:rPr>
          <w:rFonts w:eastAsia="SimSun"/>
          <w:iCs/>
          <w:szCs w:val="22"/>
          <w:lang w:eastAsia="zh-CN"/>
        </w:rPr>
        <w:t xml:space="preserve"> many UE vendors expressed concerns in last meeting. Secondly, as discussed in RAN1#110 meeting, </w:t>
      </w:r>
      <w:proofErr w:type="spellStart"/>
      <w:r w:rsidRPr="00023D26">
        <w:rPr>
          <w:rFonts w:eastAsia="SimSun"/>
          <w:iCs/>
          <w:szCs w:val="22"/>
          <w:lang w:eastAsia="zh-CN"/>
        </w:rPr>
        <w:t>gNB</w:t>
      </w:r>
      <w:proofErr w:type="spellEnd"/>
      <w:r w:rsidRPr="00023D26">
        <w:rPr>
          <w:rFonts w:eastAsia="SimSun"/>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SimSun"/>
          <w:iCs/>
          <w:szCs w:val="22"/>
          <w:lang w:eastAsia="zh-CN"/>
        </w:rPr>
        <w:t>gNB</w:t>
      </w:r>
      <w:proofErr w:type="spellEnd"/>
      <w:r w:rsidRPr="00023D26">
        <w:rPr>
          <w:rFonts w:eastAsia="SimSun"/>
          <w:iCs/>
          <w:szCs w:val="22"/>
          <w:lang w:eastAsia="zh-CN"/>
        </w:rPr>
        <w:t xml:space="preserve"> to reduce the validity duration </w:t>
      </w:r>
      <w:proofErr w:type="gramStart"/>
      <w:r w:rsidRPr="00023D26">
        <w:rPr>
          <w:rFonts w:eastAsia="SimSun"/>
          <w:iCs/>
          <w:szCs w:val="22"/>
          <w:lang w:eastAsia="zh-CN"/>
        </w:rPr>
        <w:t>in order to</w:t>
      </w:r>
      <w:proofErr w:type="gramEnd"/>
      <w:r w:rsidRPr="00023D26">
        <w:rPr>
          <w:rFonts w:eastAsia="SimSun"/>
          <w:iCs/>
          <w:szCs w:val="22"/>
          <w:lang w:eastAsia="zh-CN"/>
        </w:rPr>
        <w:t xml:space="preserve"> compensate for this error. As a result, the claimed benefit by forcing UE to implement backward propagation vanishes. </w:t>
      </w:r>
      <w:proofErr w:type="gramStart"/>
      <w:r w:rsidRPr="00023D26">
        <w:rPr>
          <w:rFonts w:eastAsia="SimSun"/>
          <w:iCs/>
          <w:szCs w:val="22"/>
          <w:lang w:eastAsia="zh-CN"/>
        </w:rPr>
        <w:t>Last but not least</w:t>
      </w:r>
      <w:proofErr w:type="gramEnd"/>
      <w:r w:rsidRPr="00023D26">
        <w:rPr>
          <w:rFonts w:eastAsia="SimSun"/>
          <w:iCs/>
          <w:szCs w:val="22"/>
          <w:lang w:eastAsia="zh-CN"/>
        </w:rPr>
        <w:t xml:space="preserve">, to mandate the UE to implement backward propagation would also require RAN1 to have much of spec impact, such as to define new UE behavior during the period between the end of the validity expiry and the next epoch time. Further, more RAN2 change would also </w:t>
      </w:r>
      <w:proofErr w:type="gramStart"/>
      <w:r w:rsidRPr="00023D26">
        <w:rPr>
          <w:rFonts w:eastAsia="SimSun"/>
          <w:iCs/>
          <w:szCs w:val="22"/>
          <w:lang w:eastAsia="zh-CN"/>
        </w:rPr>
        <w:t>needed</w:t>
      </w:r>
      <w:proofErr w:type="gramEnd"/>
      <w:r w:rsidRPr="00023D26">
        <w:rPr>
          <w:rFonts w:eastAsia="SimSun"/>
          <w:iCs/>
          <w:szCs w:val="22"/>
          <w:lang w:eastAsia="zh-CN"/>
        </w:rPr>
        <w:t xml:space="preserve">.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w:t>
      </w:r>
      <w:proofErr w:type="gramStart"/>
      <w:r w:rsidRPr="00023D26">
        <w:rPr>
          <w:rFonts w:eastAsia="DengXian"/>
          <w:szCs w:val="22"/>
          <w:lang w:eastAsia="zh-CN"/>
        </w:rPr>
        <w:t>e.g.</w:t>
      </w:r>
      <w:proofErr w:type="gramEnd"/>
      <w:r w:rsidRPr="00023D26">
        <w:rPr>
          <w:rFonts w:eastAsia="DengXian"/>
          <w:szCs w:val="22"/>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w:t>
      </w:r>
      <w:proofErr w:type="gramStart"/>
      <w:r w:rsidRPr="00023D26">
        <w:rPr>
          <w:rFonts w:eastAsia="DengXian"/>
          <w:szCs w:val="22"/>
          <w:lang w:eastAsia="zh-CN"/>
        </w:rPr>
        <w:t>specification:.</w:t>
      </w:r>
      <w:proofErr w:type="gramEnd"/>
      <w:r w:rsidRPr="00023D26">
        <w:rPr>
          <w:rFonts w:eastAsia="DengXian"/>
          <w:szCs w:val="22"/>
          <w:lang w:eastAsia="zh-CN"/>
        </w:rPr>
        <w:t xml:space="preserve">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DengXian" w:hAnsi="Times New Roman" w:cs="Times New Roman"/>
          <w:lang w:eastAsia="zh-CN"/>
        </w:rPr>
        <w:t>forwards  immediately</w:t>
      </w:r>
      <w:proofErr w:type="gramEnd"/>
      <w:r w:rsidRPr="00023D26">
        <w:rPr>
          <w:rFonts w:ascii="Times New Roman" w:eastAsia="DengXian"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and </w:t>
      </w:r>
      <w:proofErr w:type="spellStart"/>
      <w:r w:rsidRPr="00023D26">
        <w:rPr>
          <w:rFonts w:ascii="Times New Roman" w:eastAsia="DengXian" w:hAnsi="Times New Roman" w:cs="Times New Roman"/>
          <w:lang w:eastAsia="zh-CN"/>
        </w:rPr>
        <w:t>gNB</w:t>
      </w:r>
      <w:proofErr w:type="spellEnd"/>
      <w:r w:rsidRPr="00023D26">
        <w:rPr>
          <w:rFonts w:ascii="Times New Roman" w:eastAsia="DengXian"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w:t>
      </w:r>
      <w:proofErr w:type="gramStart"/>
      <w:r w:rsidRPr="00023D26">
        <w:rPr>
          <w:rFonts w:ascii="Times New Roman" w:hAnsi="Times New Roman" w:cs="Times New Roman"/>
          <w:i/>
          <w:iCs/>
        </w:rPr>
        <w:t>i.e.</w:t>
      </w:r>
      <w:proofErr w:type="gramEnd"/>
      <w:r w:rsidRPr="00023D26">
        <w:rPr>
          <w:rFonts w:ascii="Times New Roman" w:hAnsi="Times New Roman" w:cs="Times New Roman"/>
          <w:i/>
          <w:iCs/>
        </w:rPr>
        <w:t xml:space="preserv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w:t>
      </w:r>
      <w:proofErr w:type="gramStart"/>
      <w:r w:rsidRPr="00023D26">
        <w:rPr>
          <w:szCs w:val="22"/>
          <w:lang w:eastAsia="zh-CN"/>
        </w:rPr>
        <w:t>i.e.</w:t>
      </w:r>
      <w:proofErr w:type="gramEnd"/>
      <w:r w:rsidRPr="00023D26">
        <w:rPr>
          <w:szCs w:val="22"/>
          <w:lang w:eastAsia="zh-CN"/>
        </w:rPr>
        <w:t xml:space="preserv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w:t>
            </w:r>
            <w:proofErr w:type="gramStart"/>
            <w:r w:rsidRPr="00CC2576">
              <w:rPr>
                <w:rFonts w:ascii="Times New Roman" w:hAnsi="Times New Roman" w:cs="Times New Roman"/>
                <w:bCs/>
                <w:lang w:eastAsia="zh-CN"/>
              </w:rPr>
              <w:t>time period</w:t>
            </w:r>
            <w:proofErr w:type="gramEnd"/>
            <w:r w:rsidRPr="00CC2576">
              <w:rPr>
                <w:rFonts w:ascii="Times New Roman" w:hAnsi="Times New Roman" w:cs="Times New Roman"/>
                <w:bCs/>
                <w:lang w:eastAsia="zh-CN"/>
              </w:rPr>
              <w:t xml:space="preserve">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t>Leno</w:t>
            </w:r>
            <w:r>
              <w:rPr>
                <w:rFonts w:eastAsia="SimSun"/>
                <w:bCs/>
                <w:lang w:eastAsia="zh-CN"/>
              </w:rPr>
              <w:t>vo</w:t>
            </w:r>
          </w:p>
        </w:tc>
        <w:tc>
          <w:tcPr>
            <w:tcW w:w="4069" w:type="pct"/>
          </w:tcPr>
          <w:p w14:paraId="557D83F1" w14:textId="68DCCB6E" w:rsidR="005352A7" w:rsidRDefault="005352A7" w:rsidP="00503202">
            <w:pPr>
              <w:pStyle w:val="ListParagraph"/>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bCs/>
              </w:rPr>
            </w:pPr>
            <w:r>
              <w:rPr>
                <w:rFonts w:eastAsia="SimSun"/>
                <w:bCs/>
                <w:szCs w:val="22"/>
                <w:lang w:eastAsia="zh-CN"/>
              </w:rPr>
              <w:t>LG</w:t>
            </w:r>
          </w:p>
        </w:tc>
        <w:tc>
          <w:tcPr>
            <w:tcW w:w="4069" w:type="pct"/>
          </w:tcPr>
          <w:p w14:paraId="3016C269" w14:textId="4F32778F" w:rsidR="004E4EA8" w:rsidRDefault="004E4EA8" w:rsidP="004E4EA8">
            <w:pPr>
              <w:pStyle w:val="ListParagraph"/>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SimSun"/>
                <w:bCs/>
                <w:szCs w:val="22"/>
                <w:lang w:eastAsia="zh-CN"/>
              </w:rPr>
            </w:pPr>
            <w:r>
              <w:rPr>
                <w:rFonts w:eastAsia="SimSun"/>
                <w:bCs/>
                <w:szCs w:val="22"/>
                <w:lang w:eastAsia="zh-CN"/>
              </w:rPr>
              <w:t>Ericsson</w:t>
            </w:r>
          </w:p>
        </w:tc>
        <w:tc>
          <w:tcPr>
            <w:tcW w:w="4069" w:type="pct"/>
          </w:tcPr>
          <w:p w14:paraId="64FD6B5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DengXian" w:hAnsiTheme="minorHAnsi" w:cstheme="minorHAnsi"/>
              </w:rPr>
              <w:t xml:space="preserve">RAN1 has agreed that </w:t>
            </w:r>
            <w:r w:rsidRPr="001074EA">
              <w:rPr>
                <w:rFonts w:asciiTheme="minorHAnsi" w:eastAsia="DengXian"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DengXian" w:hAnsiTheme="minorHAnsi" w:cstheme="minorHAnsi"/>
              </w:rPr>
            </w:pPr>
          </w:p>
          <w:p w14:paraId="2F2506C7"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If RAN1 decides to prohibit backward propagation, this has strong implications:</w:t>
            </w:r>
          </w:p>
          <w:p w14:paraId="3A81C454"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Initial access delay will increase while the UE waits to reach the epoch time before accessing the serving cell</w:t>
            </w:r>
          </w:p>
          <w:p w14:paraId="1F55A1A9"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while the UE waits to reach the epoch time before accessing the target cell</w:t>
            </w:r>
          </w:p>
          <w:p w14:paraId="33278D63" w14:textId="371C7890"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RRC reestablishment delay will increase while the UE waits to reach the epoch time before accessing the target cell</w:t>
            </w:r>
          </w:p>
          <w:p w14:paraId="0F67E343"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w:t>
            </w:r>
            <w:proofErr w:type="gramStart"/>
            <w:r w:rsidRPr="001074EA">
              <w:rPr>
                <w:rFonts w:eastAsia="DengXian" w:cstheme="minorHAnsi"/>
              </w:rPr>
              <w:t>has to</w:t>
            </w:r>
            <w:proofErr w:type="gramEnd"/>
            <w:r w:rsidRPr="001074EA">
              <w:rPr>
                <w:rFonts w:eastAsia="DengXian" w:cstheme="minorHAnsi"/>
              </w:rPr>
              <w:t xml:space="preserve"> be re-acquired every </w:t>
            </w:r>
            <w:r>
              <w:rPr>
                <w:rFonts w:eastAsia="DengXian" w:cstheme="minorHAnsi"/>
              </w:rPr>
              <w:t>&lt;10</w:t>
            </w:r>
            <w:r w:rsidRPr="001074EA">
              <w:rPr>
                <w:rFonts w:eastAsia="DengXian" w:cstheme="minorHAnsi"/>
              </w:rPr>
              <w:t xml:space="preserve"> seconds.</w:t>
            </w:r>
          </w:p>
          <w:p w14:paraId="1F864215"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 xml:space="preserve">Explicit epoch time is useless. </w:t>
            </w:r>
            <w:r>
              <w:rPr>
                <w:rFonts w:eastAsia="DengXian" w:cstheme="minorHAnsi"/>
              </w:rPr>
              <w:t>Most of t</w:t>
            </w:r>
            <w:r w:rsidRPr="001074EA">
              <w:rPr>
                <w:rFonts w:eastAsia="DengXian" w:cstheme="minorHAnsi"/>
              </w:rPr>
              <w:t xml:space="preserve">he 14 bits indicating epoch time </w:t>
            </w:r>
            <w:r>
              <w:rPr>
                <w:rFonts w:eastAsia="DengXian" w:cstheme="minorHAnsi"/>
              </w:rPr>
              <w:t xml:space="preserve">in </w:t>
            </w:r>
            <w:r w:rsidRPr="001074EA">
              <w:rPr>
                <w:rFonts w:eastAsia="DengXian" w:cstheme="minorHAnsi"/>
              </w:rPr>
              <w:t>SIB19 and in dedicated signaling are wasted.</w:t>
            </w:r>
          </w:p>
          <w:p w14:paraId="66D0889E"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The SI window length must be limited to force the implicit epoch time to be in a near future.</w:t>
            </w:r>
          </w:p>
          <w:p w14:paraId="6915FFB8" w14:textId="77777777" w:rsidR="00FC31C3" w:rsidRDefault="00FC31C3" w:rsidP="00FC31C3">
            <w:pPr>
              <w:pStyle w:val="ListParagraph"/>
              <w:numPr>
                <w:ilvl w:val="1"/>
                <w:numId w:val="44"/>
              </w:numPr>
              <w:rPr>
                <w:rFonts w:eastAsia="DengXian" w:cstheme="minorHAnsi"/>
              </w:rPr>
            </w:pPr>
            <w:r>
              <w:rPr>
                <w:rFonts w:eastAsia="DengXian"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ListParagraph"/>
              <w:numPr>
                <w:ilvl w:val="1"/>
                <w:numId w:val="44"/>
              </w:numPr>
              <w:rPr>
                <w:rFonts w:eastAsia="DengXian" w:cstheme="minorHAnsi"/>
              </w:rPr>
            </w:pPr>
            <w:r>
              <w:rPr>
                <w:rFonts w:eastAsia="DengXian" w:cstheme="minorHAnsi"/>
              </w:rPr>
              <w:t>This may limit the TBS of other important SI, for example public warning systems (PWS), resulting in increased latency</w:t>
            </w:r>
          </w:p>
          <w:p w14:paraId="7DB36CB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RRC reestablishment delay will increase </w:t>
            </w:r>
            <w:r>
              <w:rPr>
                <w:rFonts w:eastAsia="DengXian" w:cstheme="minorHAnsi"/>
              </w:rPr>
              <w:t>if UE do not have valid SIB19 for the selected target cell</w:t>
            </w:r>
          </w:p>
          <w:p w14:paraId="2ED73FAE" w14:textId="77777777" w:rsidR="00FC31C3" w:rsidRDefault="00FC31C3" w:rsidP="00FC31C3">
            <w:pPr>
              <w:pStyle w:val="ListParagraph"/>
              <w:numPr>
                <w:ilvl w:val="0"/>
                <w:numId w:val="44"/>
              </w:numPr>
              <w:rPr>
                <w:rFonts w:eastAsia="DengXian" w:cstheme="minorHAnsi"/>
              </w:rPr>
            </w:pPr>
            <w:r w:rsidRPr="001074EA">
              <w:rPr>
                <w:rFonts w:eastAsia="DengXian"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DengXian" w:cstheme="minorHAnsi"/>
              </w:rPr>
              <w:t xml:space="preserve"> in the network</w:t>
            </w:r>
            <w:r w:rsidRPr="001074EA">
              <w:rPr>
                <w:rFonts w:eastAsia="DengXian" w:cstheme="minorHAnsi"/>
              </w:rPr>
              <w:t>.</w:t>
            </w:r>
          </w:p>
          <w:p w14:paraId="12B2BBE6" w14:textId="77777777" w:rsidR="00FC31C3" w:rsidRPr="001074EA" w:rsidRDefault="00FC31C3" w:rsidP="00FC31C3">
            <w:pPr>
              <w:pStyle w:val="ListParagraph"/>
              <w:numPr>
                <w:ilvl w:val="0"/>
                <w:numId w:val="44"/>
              </w:numPr>
              <w:rPr>
                <w:rFonts w:eastAsia="DengXian" w:cstheme="minorHAnsi"/>
              </w:rPr>
            </w:pPr>
            <w:r>
              <w:rPr>
                <w:rFonts w:eastAsia="DengXian" w:cstheme="minorHAnsi"/>
              </w:rPr>
              <w:t xml:space="preserve">Unless this restriction of the used epoch time is mandated in the specs, the UE still cannot rely on that the epoch time will not be in the future, and still </w:t>
            </w:r>
            <w:proofErr w:type="gramStart"/>
            <w:r>
              <w:rPr>
                <w:rFonts w:eastAsia="DengXian" w:cstheme="minorHAnsi"/>
              </w:rPr>
              <w:t>has to</w:t>
            </w:r>
            <w:proofErr w:type="gramEnd"/>
            <w:r>
              <w:rPr>
                <w:rFonts w:eastAsia="DengXian" w:cstheme="minorHAnsi"/>
              </w:rPr>
              <w:t xml:space="preserve"> reacquire SIB19 &gt;10 seconds prior to the validity timer expiry.</w:t>
            </w:r>
          </w:p>
          <w:p w14:paraId="6DDF172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This will affect the following KPIs, see 28.554:</w:t>
            </w:r>
          </w:p>
          <w:p w14:paraId="22893B7F"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Registration success rate</w:t>
            </w:r>
          </w:p>
          <w:p w14:paraId="05BC2D50"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success rate</w:t>
            </w:r>
          </w:p>
          <w:p w14:paraId="1F23160E"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time</w:t>
            </w:r>
          </w:p>
          <w:p w14:paraId="2011CF36"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w:t>
            </w:r>
          </w:p>
          <w:p w14:paraId="6646FFF7"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Mean time of inter-</w:t>
            </w:r>
            <w:proofErr w:type="spellStart"/>
            <w:r w:rsidRPr="001074EA">
              <w:rPr>
                <w:rFonts w:eastAsia="DengXian" w:cstheme="minorHAnsi"/>
              </w:rPr>
              <w:t>gNB</w:t>
            </w:r>
            <w:proofErr w:type="spellEnd"/>
            <w:r w:rsidRPr="001074EA">
              <w:rPr>
                <w:rFonts w:eastAsia="DengXian" w:cstheme="minorHAnsi"/>
              </w:rPr>
              <w:t xml:space="preserve"> handover execution</w:t>
            </w:r>
          </w:p>
          <w:p w14:paraId="4CD68D28"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Success rate of mobility registration update</w:t>
            </w:r>
          </w:p>
          <w:p w14:paraId="5DF21CFC"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 for all handover types</w:t>
            </w:r>
          </w:p>
          <w:p w14:paraId="2C4EC724"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DRB Retainability</w:t>
            </w:r>
          </w:p>
          <w:p w14:paraId="653A7084"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These aspects may be more important to RAN2 but should not be ignored by RAN1. Therefore, we strongly suggest that </w:t>
            </w:r>
            <w:r w:rsidRPr="001074EA">
              <w:rPr>
                <w:rFonts w:asciiTheme="minorHAnsi" w:eastAsia="DengXian" w:hAnsiTheme="minorHAnsi" w:cstheme="minorHAnsi"/>
                <w:b/>
                <w:bCs/>
              </w:rPr>
              <w:t>RAN1 does not prohibit backward propagation but instead sends an</w:t>
            </w:r>
            <w:r w:rsidRPr="001074EA">
              <w:rPr>
                <w:rFonts w:asciiTheme="minorHAnsi" w:eastAsia="DengXian"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DengXian" w:hAnsiTheme="minorHAnsi" w:cstheme="minorHAnsi"/>
              </w:rPr>
            </w:pPr>
          </w:p>
          <w:p w14:paraId="47D10678" w14:textId="7EB41C72" w:rsidR="00CD4DA7" w:rsidRDefault="00FC31C3" w:rsidP="00FC31C3">
            <w:pPr>
              <w:pStyle w:val="ListParagraph"/>
              <w:adjustRightInd w:val="0"/>
              <w:snapToGrid w:val="0"/>
              <w:spacing w:after="120"/>
              <w:ind w:left="0"/>
              <w:rPr>
                <w:rFonts w:ascii="Times New Roman" w:hAnsi="Times New Roman" w:cs="Times New Roman"/>
                <w:bCs/>
                <w:lang w:eastAsia="zh-CN"/>
              </w:rPr>
            </w:pPr>
            <w:r>
              <w:rPr>
                <w:rFonts w:eastAsia="DengXian" w:cstheme="minorHAnsi"/>
              </w:rPr>
              <w:t>Note that t</w:t>
            </w:r>
            <w:r w:rsidRPr="001074EA">
              <w:rPr>
                <w:rFonts w:eastAsia="DengXian" w:cstheme="minorHAnsi"/>
              </w:rPr>
              <w:t>here is nothing in RAN1 spec today that prohibit</w:t>
            </w:r>
            <w:r>
              <w:rPr>
                <w:rFonts w:eastAsia="DengXian" w:cstheme="minorHAnsi"/>
              </w:rPr>
              <w:t>s</w:t>
            </w:r>
            <w:r w:rsidRPr="001074EA">
              <w:rPr>
                <w:rFonts w:eastAsia="DengXian" w:cstheme="minorHAnsi"/>
              </w:rPr>
              <w:t xml:space="preserve"> backward propagation</w:t>
            </w:r>
            <w:r>
              <w:rPr>
                <w:rFonts w:eastAsia="DengXian" w:cstheme="minorHAnsi"/>
              </w:rPr>
              <w:t>. Further, backward propagation has been shown to work with the same accuracy as 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Heading2"/>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4FFD58DE" w:rsidR="00A85BD3" w:rsidRDefault="003D552F" w:rsidP="00A85BD3">
            <w:pPr>
              <w:rPr>
                <w:rFonts w:eastAsia="SimSun"/>
                <w:bCs/>
                <w:lang w:eastAsia="zh-CN"/>
              </w:rPr>
            </w:pPr>
            <w:r>
              <w:rPr>
                <w:rFonts w:eastAsia="SimSun"/>
                <w:bCs/>
                <w:lang w:eastAsia="zh-CN"/>
              </w:rPr>
              <w:t>QC</w:t>
            </w:r>
          </w:p>
        </w:tc>
        <w:tc>
          <w:tcPr>
            <w:tcW w:w="4069" w:type="pct"/>
          </w:tcPr>
          <w:p w14:paraId="52CC230F" w14:textId="77777777" w:rsidR="00A85BD3" w:rsidRDefault="003D552F" w:rsidP="00A85BD3">
            <w:pPr>
              <w:pStyle w:val="ListParagraph"/>
              <w:adjustRightInd w:val="0"/>
              <w:snapToGrid w:val="0"/>
              <w:spacing w:after="120"/>
              <w:ind w:left="0"/>
              <w:rPr>
                <w:rFonts w:cs="Times New Roman"/>
                <w:bCs/>
                <w:lang w:eastAsia="zh-CN"/>
              </w:rPr>
            </w:pPr>
            <w:r>
              <w:rPr>
                <w:rFonts w:cs="Times New Roman"/>
                <w:bCs/>
                <w:lang w:eastAsia="zh-CN"/>
              </w:rPr>
              <w:t xml:space="preserve">We don’t support </w:t>
            </w:r>
            <w:r w:rsidR="000A74D3">
              <w:rPr>
                <w:rFonts w:cs="Times New Roman"/>
                <w:bCs/>
                <w:lang w:eastAsia="zh-CN"/>
              </w:rPr>
              <w:t>the proposal.</w:t>
            </w:r>
            <w:r w:rsidR="00F02744">
              <w:rPr>
                <w:rFonts w:cs="Times New Roman"/>
                <w:bCs/>
                <w:lang w:eastAsia="zh-CN"/>
              </w:rPr>
              <w:t xml:space="preserve"> The issues mentioned by the proponents of backward propag</w:t>
            </w:r>
            <w:r w:rsidR="00FC55F2">
              <w:rPr>
                <w:rFonts w:cs="Times New Roman"/>
                <w:bCs/>
                <w:lang w:eastAsia="zh-CN"/>
              </w:rPr>
              <w:t xml:space="preserve">ation </w:t>
            </w:r>
            <w:r w:rsidR="00BB0EF4">
              <w:rPr>
                <w:rFonts w:cs="Times New Roman"/>
                <w:bCs/>
                <w:lang w:eastAsia="zh-CN"/>
              </w:rPr>
              <w:t xml:space="preserve">(BP) </w:t>
            </w:r>
            <w:r w:rsidR="00FC55F2">
              <w:rPr>
                <w:rFonts w:cs="Times New Roman"/>
                <w:bCs/>
                <w:lang w:eastAsia="zh-CN"/>
              </w:rPr>
              <w:t xml:space="preserve">don’t exist </w:t>
            </w:r>
            <w:proofErr w:type="gramStart"/>
            <w:r w:rsidR="00FC55F2">
              <w:rPr>
                <w:rFonts w:cs="Times New Roman"/>
                <w:bCs/>
                <w:lang w:eastAsia="zh-CN"/>
              </w:rPr>
              <w:t>as long as</w:t>
            </w:r>
            <w:proofErr w:type="gramEnd"/>
            <w:r w:rsidR="00FC55F2">
              <w:rPr>
                <w:rFonts w:cs="Times New Roman"/>
                <w:bCs/>
                <w:lang w:eastAsia="zh-CN"/>
              </w:rPr>
              <w:t xml:space="preserve"> </w:t>
            </w:r>
            <w:r w:rsidR="00A361D6">
              <w:rPr>
                <w:rFonts w:cs="Times New Roman"/>
                <w:bCs/>
                <w:lang w:eastAsia="zh-CN"/>
              </w:rPr>
              <w:t>the new epoch time is</w:t>
            </w:r>
            <w:r w:rsidR="00355A1E">
              <w:rPr>
                <w:rFonts w:cs="Times New Roman"/>
                <w:bCs/>
                <w:lang w:eastAsia="zh-CN"/>
              </w:rPr>
              <w:t xml:space="preserve"> </w:t>
            </w:r>
            <w:r w:rsidR="00855A19">
              <w:rPr>
                <w:rFonts w:cs="Times New Roman"/>
                <w:bCs/>
                <w:lang w:eastAsia="zh-CN"/>
              </w:rPr>
              <w:t xml:space="preserve">a few </w:t>
            </w:r>
            <w:r w:rsidR="00760799">
              <w:rPr>
                <w:rFonts w:cs="Times New Roman"/>
                <w:bCs/>
                <w:lang w:eastAsia="zh-CN"/>
              </w:rPr>
              <w:t xml:space="preserve">hundred </w:t>
            </w:r>
            <w:proofErr w:type="spellStart"/>
            <w:r w:rsidR="00760799">
              <w:rPr>
                <w:rFonts w:cs="Times New Roman"/>
                <w:bCs/>
                <w:lang w:eastAsia="zh-CN"/>
              </w:rPr>
              <w:t>ms</w:t>
            </w:r>
            <w:proofErr w:type="spellEnd"/>
            <w:r w:rsidR="00760799">
              <w:rPr>
                <w:rFonts w:cs="Times New Roman"/>
                <w:bCs/>
                <w:lang w:eastAsia="zh-CN"/>
              </w:rPr>
              <w:t xml:space="preserve"> </w:t>
            </w:r>
            <w:r w:rsidR="00355A1E">
              <w:rPr>
                <w:rFonts w:cs="Times New Roman"/>
                <w:bCs/>
                <w:lang w:eastAsia="zh-CN"/>
              </w:rPr>
              <w:t xml:space="preserve">before </w:t>
            </w:r>
            <w:r w:rsidR="00447623">
              <w:rPr>
                <w:rFonts w:cs="Times New Roman"/>
                <w:bCs/>
                <w:lang w:eastAsia="zh-CN"/>
              </w:rPr>
              <w:t xml:space="preserve">the expiration of </w:t>
            </w:r>
            <w:r w:rsidR="00A361D6">
              <w:rPr>
                <w:rFonts w:cs="Times New Roman"/>
                <w:bCs/>
                <w:lang w:eastAsia="zh-CN"/>
              </w:rPr>
              <w:t xml:space="preserve">the </w:t>
            </w:r>
            <w:r w:rsidR="00870616">
              <w:rPr>
                <w:rFonts w:cs="Times New Roman"/>
                <w:bCs/>
                <w:lang w:eastAsia="zh-CN"/>
              </w:rPr>
              <w:t xml:space="preserve">current </w:t>
            </w:r>
            <w:r w:rsidR="00A361D6">
              <w:rPr>
                <w:rFonts w:cs="Times New Roman"/>
                <w:bCs/>
                <w:lang w:eastAsia="zh-CN"/>
              </w:rPr>
              <w:t>assistance information</w:t>
            </w:r>
            <w:r w:rsidR="00870616">
              <w:rPr>
                <w:rFonts w:cs="Times New Roman"/>
                <w:bCs/>
                <w:lang w:eastAsia="zh-CN"/>
              </w:rPr>
              <w:t xml:space="preserve">. </w:t>
            </w:r>
            <w:r w:rsidR="00B34627">
              <w:rPr>
                <w:rFonts w:cs="Times New Roman"/>
                <w:bCs/>
                <w:lang w:eastAsia="zh-CN"/>
              </w:rPr>
              <w:t xml:space="preserve"> </w:t>
            </w:r>
            <w:r w:rsidR="00A62BFB">
              <w:rPr>
                <w:rFonts w:cs="Times New Roman"/>
                <w:bCs/>
                <w:lang w:eastAsia="zh-CN"/>
              </w:rPr>
              <w:t xml:space="preserve">Due to SFN ambiguity issue, the epoch time has to be updated </w:t>
            </w:r>
            <w:r w:rsidR="000A112A">
              <w:rPr>
                <w:rFonts w:cs="Times New Roman"/>
                <w:bCs/>
                <w:lang w:eastAsia="zh-CN"/>
              </w:rPr>
              <w:t xml:space="preserve">at least </w:t>
            </w:r>
            <w:r w:rsidR="00A62BFB">
              <w:rPr>
                <w:rFonts w:cs="Times New Roman"/>
                <w:bCs/>
                <w:lang w:eastAsia="zh-CN"/>
              </w:rPr>
              <w:t xml:space="preserve">once every </w:t>
            </w:r>
            <w:r w:rsidR="00BB0EF4">
              <w:rPr>
                <w:rFonts w:cs="Times New Roman"/>
                <w:bCs/>
                <w:lang w:eastAsia="zh-CN"/>
              </w:rPr>
              <w:t xml:space="preserve">10s </w:t>
            </w:r>
            <w:proofErr w:type="gramStart"/>
            <w:r w:rsidR="00BB0EF4">
              <w:rPr>
                <w:rFonts w:cs="Times New Roman"/>
                <w:bCs/>
                <w:lang w:eastAsia="zh-CN"/>
              </w:rPr>
              <w:t>regardless</w:t>
            </w:r>
            <w:proofErr w:type="gramEnd"/>
            <w:r w:rsidR="00BB0EF4">
              <w:rPr>
                <w:rFonts w:cs="Times New Roman"/>
                <w:bCs/>
                <w:lang w:eastAsia="zh-CN"/>
              </w:rPr>
              <w:t xml:space="preserve"> if BP is supported or not. </w:t>
            </w:r>
            <w:r w:rsidR="0033351A">
              <w:rPr>
                <w:rFonts w:cs="Times New Roman"/>
                <w:bCs/>
                <w:lang w:eastAsia="zh-CN"/>
              </w:rPr>
              <w:t xml:space="preserve">If the validity duration is longer than 10s, we don’t see any issue. If the validity duration is shorter, the network </w:t>
            </w:r>
            <w:proofErr w:type="gramStart"/>
            <w:r w:rsidR="0033351A">
              <w:rPr>
                <w:rFonts w:cs="Times New Roman"/>
                <w:bCs/>
                <w:lang w:eastAsia="zh-CN"/>
              </w:rPr>
              <w:t>has to</w:t>
            </w:r>
            <w:proofErr w:type="gramEnd"/>
            <w:r w:rsidR="0033351A">
              <w:rPr>
                <w:rFonts w:cs="Times New Roman"/>
                <w:bCs/>
                <w:lang w:eastAsia="zh-CN"/>
              </w:rPr>
              <w:t xml:space="preserve"> update the assistance information frequently</w:t>
            </w:r>
            <w:r w:rsidR="008123DC">
              <w:rPr>
                <w:rFonts w:cs="Times New Roman"/>
                <w:bCs/>
                <w:lang w:eastAsia="zh-CN"/>
              </w:rPr>
              <w:t>, and we don’t see any issue either.</w:t>
            </w:r>
          </w:p>
          <w:p w14:paraId="5F1E6042" w14:textId="76ED0A86" w:rsidR="007A20A2" w:rsidRDefault="007A20A2" w:rsidP="00A85BD3">
            <w:pPr>
              <w:pStyle w:val="ListParagraph"/>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77777777" w:rsidR="00A85BD3" w:rsidRDefault="00A85BD3" w:rsidP="00A85BD3">
            <w:pPr>
              <w:rPr>
                <w:rFonts w:eastAsia="SimSun"/>
                <w:bCs/>
                <w:lang w:eastAsia="zh-CN"/>
              </w:rPr>
            </w:pPr>
          </w:p>
        </w:tc>
        <w:tc>
          <w:tcPr>
            <w:tcW w:w="4069" w:type="pct"/>
          </w:tcPr>
          <w:p w14:paraId="50F27214" w14:textId="77777777" w:rsidR="00A85BD3" w:rsidRDefault="00A85BD3" w:rsidP="00A85BD3">
            <w:pPr>
              <w:pStyle w:val="ListParagraph"/>
              <w:adjustRightInd w:val="0"/>
              <w:snapToGrid w:val="0"/>
              <w:spacing w:after="120"/>
              <w:ind w:left="0"/>
              <w:rPr>
                <w:rFonts w:cs="Times New Roman"/>
                <w:bCs/>
                <w:lang w:eastAsia="zh-CN"/>
              </w:rPr>
            </w:pPr>
          </w:p>
        </w:tc>
      </w:tr>
    </w:tbl>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300F" w14:textId="77777777" w:rsidR="002C67CE" w:rsidRDefault="002C67CE" w:rsidP="00C95F72">
      <w:r>
        <w:separator/>
      </w:r>
    </w:p>
  </w:endnote>
  <w:endnote w:type="continuationSeparator" w:id="0">
    <w:p w14:paraId="0A1007BD" w14:textId="77777777" w:rsidR="002C67CE" w:rsidRDefault="002C67CE"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BC15" w14:textId="77777777" w:rsidR="002C67CE" w:rsidRDefault="002C67CE" w:rsidP="00C95F72">
      <w:r>
        <w:separator/>
      </w:r>
    </w:p>
  </w:footnote>
  <w:footnote w:type="continuationSeparator" w:id="0">
    <w:p w14:paraId="3B1AF996" w14:textId="77777777" w:rsidR="002C67CE" w:rsidRDefault="002C67CE"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3662856">
    <w:abstractNumId w:val="17"/>
  </w:num>
  <w:num w:numId="2" w16cid:durableId="275257429">
    <w:abstractNumId w:val="9"/>
  </w:num>
  <w:num w:numId="3" w16cid:durableId="1532837743">
    <w:abstractNumId w:val="29"/>
  </w:num>
  <w:num w:numId="4" w16cid:durableId="1324970603">
    <w:abstractNumId w:val="42"/>
  </w:num>
  <w:num w:numId="5" w16cid:durableId="154145884">
    <w:abstractNumId w:val="1"/>
  </w:num>
  <w:num w:numId="6" w16cid:durableId="339700029">
    <w:abstractNumId w:val="0"/>
  </w:num>
  <w:num w:numId="7" w16cid:durableId="352608874">
    <w:abstractNumId w:val="26"/>
  </w:num>
  <w:num w:numId="8" w16cid:durableId="1441073078">
    <w:abstractNumId w:val="24"/>
  </w:num>
  <w:num w:numId="9" w16cid:durableId="880362153">
    <w:abstractNumId w:val="36"/>
  </w:num>
  <w:num w:numId="10" w16cid:durableId="21140155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795370784">
    <w:abstractNumId w:val="3"/>
  </w:num>
  <w:num w:numId="12" w16cid:durableId="900746536">
    <w:abstractNumId w:val="12"/>
  </w:num>
  <w:num w:numId="13" w16cid:durableId="334575463">
    <w:abstractNumId w:val="7"/>
  </w:num>
  <w:num w:numId="14" w16cid:durableId="1416047180">
    <w:abstractNumId w:val="6"/>
  </w:num>
  <w:num w:numId="15" w16cid:durableId="581523882">
    <w:abstractNumId w:val="4"/>
  </w:num>
  <w:num w:numId="16" w16cid:durableId="2041541498">
    <w:abstractNumId w:val="34"/>
  </w:num>
  <w:num w:numId="17" w16cid:durableId="87124335">
    <w:abstractNumId w:val="32"/>
  </w:num>
  <w:num w:numId="18" w16cid:durableId="1637367906">
    <w:abstractNumId w:val="41"/>
  </w:num>
  <w:num w:numId="19" w16cid:durableId="1593659174">
    <w:abstractNumId w:val="16"/>
  </w:num>
  <w:num w:numId="20" w16cid:durableId="1975865821">
    <w:abstractNumId w:val="30"/>
  </w:num>
  <w:num w:numId="21" w16cid:durableId="1673296568">
    <w:abstractNumId w:val="43"/>
  </w:num>
  <w:num w:numId="22" w16cid:durableId="934750044">
    <w:abstractNumId w:val="25"/>
  </w:num>
  <w:num w:numId="23" w16cid:durableId="1826972487">
    <w:abstractNumId w:val="18"/>
  </w:num>
  <w:num w:numId="24" w16cid:durableId="484661848">
    <w:abstractNumId w:val="21"/>
  </w:num>
  <w:num w:numId="25" w16cid:durableId="1317563335">
    <w:abstractNumId w:val="19"/>
  </w:num>
  <w:num w:numId="26" w16cid:durableId="1764834394">
    <w:abstractNumId w:val="15"/>
  </w:num>
  <w:num w:numId="27" w16cid:durableId="1379626867">
    <w:abstractNumId w:val="5"/>
  </w:num>
  <w:num w:numId="28" w16cid:durableId="1715159850">
    <w:abstractNumId w:val="44"/>
  </w:num>
  <w:num w:numId="29" w16cid:durableId="300040873">
    <w:abstractNumId w:val="39"/>
  </w:num>
  <w:num w:numId="30" w16cid:durableId="1442846735">
    <w:abstractNumId w:val="13"/>
  </w:num>
  <w:num w:numId="31" w16cid:durableId="116683612">
    <w:abstractNumId w:val="35"/>
  </w:num>
  <w:num w:numId="32" w16cid:durableId="931204712">
    <w:abstractNumId w:val="23"/>
  </w:num>
  <w:num w:numId="33" w16cid:durableId="1436363549">
    <w:abstractNumId w:val="38"/>
  </w:num>
  <w:num w:numId="34" w16cid:durableId="1800493809">
    <w:abstractNumId w:val="10"/>
  </w:num>
  <w:num w:numId="35" w16cid:durableId="971444158">
    <w:abstractNumId w:val="40"/>
  </w:num>
  <w:num w:numId="36" w16cid:durableId="1534146436">
    <w:abstractNumId w:val="8"/>
  </w:num>
  <w:num w:numId="37" w16cid:durableId="426577607">
    <w:abstractNumId w:val="31"/>
  </w:num>
  <w:num w:numId="38" w16cid:durableId="879366931">
    <w:abstractNumId w:val="11"/>
  </w:num>
  <w:num w:numId="39" w16cid:durableId="735200596">
    <w:abstractNumId w:val="33"/>
  </w:num>
  <w:num w:numId="40" w16cid:durableId="1118067730">
    <w:abstractNumId w:val="27"/>
  </w:num>
  <w:num w:numId="41" w16cid:durableId="10575040">
    <w:abstractNumId w:val="20"/>
  </w:num>
  <w:num w:numId="42" w16cid:durableId="364670769">
    <w:abstractNumId w:val="22"/>
  </w:num>
  <w:num w:numId="43" w16cid:durableId="102238488">
    <w:abstractNumId w:val="14"/>
  </w:num>
  <w:num w:numId="44" w16cid:durableId="144395788">
    <w:abstractNumId w:val="28"/>
  </w:num>
  <w:num w:numId="45" w16cid:durableId="67280210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12A"/>
    <w:rsid w:val="000A28DF"/>
    <w:rsid w:val="000A2E9E"/>
    <w:rsid w:val="000A5DD9"/>
    <w:rsid w:val="000A6970"/>
    <w:rsid w:val="000A7471"/>
    <w:rsid w:val="000A74D3"/>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733"/>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1F7D"/>
    <w:rsid w:val="002B32AB"/>
    <w:rsid w:val="002B3597"/>
    <w:rsid w:val="002B5507"/>
    <w:rsid w:val="002B7FF1"/>
    <w:rsid w:val="002C0540"/>
    <w:rsid w:val="002C06F9"/>
    <w:rsid w:val="002C28EE"/>
    <w:rsid w:val="002C2F10"/>
    <w:rsid w:val="002C32F3"/>
    <w:rsid w:val="002C3B9E"/>
    <w:rsid w:val="002C633F"/>
    <w:rsid w:val="002C67CE"/>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51A"/>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1E"/>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8B2"/>
    <w:rsid w:val="003C6AC9"/>
    <w:rsid w:val="003D0364"/>
    <w:rsid w:val="003D0538"/>
    <w:rsid w:val="003D0B14"/>
    <w:rsid w:val="003D173A"/>
    <w:rsid w:val="003D1F10"/>
    <w:rsid w:val="003D2A64"/>
    <w:rsid w:val="003D3204"/>
    <w:rsid w:val="003D3530"/>
    <w:rsid w:val="003D4D26"/>
    <w:rsid w:val="003D5203"/>
    <w:rsid w:val="003D552F"/>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696"/>
    <w:rsid w:val="0044371D"/>
    <w:rsid w:val="004448C4"/>
    <w:rsid w:val="00444D35"/>
    <w:rsid w:val="00444DEE"/>
    <w:rsid w:val="0044546A"/>
    <w:rsid w:val="0044599C"/>
    <w:rsid w:val="004460D4"/>
    <w:rsid w:val="00446936"/>
    <w:rsid w:val="00446CEE"/>
    <w:rsid w:val="00446F02"/>
    <w:rsid w:val="004470D2"/>
    <w:rsid w:val="004471FF"/>
    <w:rsid w:val="00447623"/>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326F"/>
    <w:rsid w:val="00554208"/>
    <w:rsid w:val="005545B3"/>
    <w:rsid w:val="005555CA"/>
    <w:rsid w:val="00556601"/>
    <w:rsid w:val="0055682C"/>
    <w:rsid w:val="00556CEB"/>
    <w:rsid w:val="00557CD2"/>
    <w:rsid w:val="00557FAB"/>
    <w:rsid w:val="00560450"/>
    <w:rsid w:val="005608A0"/>
    <w:rsid w:val="00561599"/>
    <w:rsid w:val="005618DF"/>
    <w:rsid w:val="00561CE2"/>
    <w:rsid w:val="00562031"/>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8D9"/>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0799"/>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20A2"/>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3DC"/>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A19"/>
    <w:rsid w:val="00855F26"/>
    <w:rsid w:val="00856773"/>
    <w:rsid w:val="0085682A"/>
    <w:rsid w:val="0086164B"/>
    <w:rsid w:val="00862BBF"/>
    <w:rsid w:val="00863129"/>
    <w:rsid w:val="008635E3"/>
    <w:rsid w:val="00867744"/>
    <w:rsid w:val="00867EAF"/>
    <w:rsid w:val="00870616"/>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65E2"/>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61D6"/>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2BFB"/>
    <w:rsid w:val="00A6306A"/>
    <w:rsid w:val="00A64158"/>
    <w:rsid w:val="00A64671"/>
    <w:rsid w:val="00A64EBF"/>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627"/>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0EF4"/>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37512"/>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095"/>
    <w:rsid w:val="00C828B4"/>
    <w:rsid w:val="00C82975"/>
    <w:rsid w:val="00C836B7"/>
    <w:rsid w:val="00C83AFF"/>
    <w:rsid w:val="00C83C1F"/>
    <w:rsid w:val="00C83C9F"/>
    <w:rsid w:val="00C83F07"/>
    <w:rsid w:val="00C83FAD"/>
    <w:rsid w:val="00C84213"/>
    <w:rsid w:val="00C843BD"/>
    <w:rsid w:val="00C846EA"/>
    <w:rsid w:val="00C8471E"/>
    <w:rsid w:val="00C84A2F"/>
    <w:rsid w:val="00C84FA5"/>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07F1"/>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19D6"/>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B4D"/>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744"/>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5A"/>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55F2"/>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095E56-5349-4925-8A05-F65E559534D4}">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Xiao feng Wang</cp:lastModifiedBy>
  <cp:revision>34</cp:revision>
  <dcterms:created xsi:type="dcterms:W3CDTF">2022-10-14T16:04:00Z</dcterms:created>
  <dcterms:modified xsi:type="dcterms:W3CDTF">2022-10-14T16:31:00Z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