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PDSCH-</w:t>
            </w:r>
            <w:proofErr w:type="spellStart"/>
            <w:r w:rsidRPr="00CC391E">
              <w:rPr>
                <w:i/>
                <w:iCs/>
                <w:lang w:val="en-US" w:eastAsia="ko-KR"/>
              </w:rPr>
              <w:t>TimeDomainResourceAllocationListForMultiPDSCH</w:t>
            </w:r>
            <w:proofErr w:type="spellEnd"/>
            <w:r w:rsidRPr="00CC391E">
              <w:rPr>
                <w:i/>
                <w:iCs/>
                <w:lang w:val="en-US" w:eastAsia="ko-KR"/>
              </w:rPr>
              <w:t xml:space="preserve">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ConfigurationCommon</w:t>
            </w:r>
            <w:proofErr w:type="spellEnd"/>
            <w:r w:rsidRPr="00CC391E">
              <w:rPr>
                <w:i/>
                <w:lang w:val="en-US" w:eastAsia="ko-KR"/>
              </w:rPr>
              <w:t xml:space="preserve"> </w:t>
            </w:r>
            <w:r w:rsidRPr="00CC391E">
              <w:rPr>
                <w:lang w:val="en-US" w:eastAsia="ko-KR"/>
              </w:rPr>
              <w:t>or</w:t>
            </w:r>
            <w:r w:rsidRPr="00CC391E">
              <w:rPr>
                <w:i/>
                <w:lang w:val="en-US" w:eastAsia="ko-KR"/>
              </w:rPr>
              <w:t xml:space="preserve">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ConfigurationDedicated</w:t>
            </w:r>
            <w:proofErr w:type="spellEnd"/>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2"/>
        <w:numPr>
          <w:ilvl w:val="0"/>
          <w:numId w:val="0"/>
        </w:numPr>
        <w:ind w:firstLine="284"/>
        <w:rPr>
          <w:rFonts w:ascii="Times" w:hAnsi="Times" w:cs="Times"/>
          <w:b w:val="0"/>
          <w:i w:val="0"/>
          <w:sz w:val="20"/>
          <w:szCs w:val="20"/>
          <w:lang w:eastAsia="ko-KR"/>
        </w:rPr>
      </w:pPr>
      <w:bookmarkStart w:id="1" w:name="_GoBack"/>
      <w:bookmarkEnd w:id="1"/>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proofErr w:type="spellStart"/>
      <w:r w:rsidR="000457ED" w:rsidRPr="00621EC3">
        <w:rPr>
          <w:rFonts w:ascii="Times" w:hAnsi="Times" w:cs="Times"/>
          <w:b w:val="0"/>
          <w:color w:val="FF0000"/>
          <w:sz w:val="20"/>
          <w:szCs w:val="20"/>
          <w:lang w:eastAsia="ko-KR"/>
        </w:rPr>
        <w:t>pdsch-AggregationFactor</w:t>
      </w:r>
      <w:proofErr w:type="spellEnd"/>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w:t>
      </w:r>
      <w:proofErr w:type="gramStart"/>
      <w:r w:rsidR="000457ED">
        <w:rPr>
          <w:rFonts w:ascii="Times" w:hAnsi="Times" w:cs="Times"/>
          <w:b w:val="0"/>
          <w:i w:val="0"/>
          <w:sz w:val="20"/>
          <w:szCs w:val="20"/>
          <w:lang w:eastAsia="ko-KR"/>
        </w:rPr>
        <w:t>seems</w:t>
      </w:r>
      <w:proofErr w:type="gramEnd"/>
      <w:r w:rsidR="000457ED">
        <w:rPr>
          <w:rFonts w:ascii="Times" w:hAnsi="Times" w:cs="Times"/>
          <w:b w:val="0"/>
          <w:i w:val="0"/>
          <w:sz w:val="20"/>
          <w:szCs w:val="20"/>
          <w:lang w:eastAsia="ko-KR"/>
        </w:rPr>
        <w:t xml:space="preserve">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42570D">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42570D">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宋体"/>
                <w:iCs/>
                <w:lang w:val="en-US" w:eastAsia="zh-CN"/>
              </w:rPr>
            </w:pPr>
            <w:r>
              <w:rPr>
                <w:rFonts w:eastAsia="宋体"/>
                <w:iCs/>
                <w:lang w:val="en-US" w:eastAsia="zh-CN"/>
              </w:rPr>
              <w:t>T</w:t>
            </w:r>
            <w:r w:rsidR="003462CC">
              <w:rPr>
                <w:rFonts w:eastAsia="宋体"/>
                <w:iCs/>
                <w:lang w:val="en-US" w:eastAsia="zh-CN"/>
              </w:rPr>
              <w:t>h</w:t>
            </w:r>
            <w:r>
              <w:rPr>
                <w:rFonts w:eastAsia="宋体"/>
                <w:iCs/>
                <w:lang w:val="en-US" w:eastAsia="zh-CN"/>
              </w:rPr>
              <w:t>is</w:t>
            </w:r>
            <w:r w:rsidR="003462CC">
              <w:rPr>
                <w:rFonts w:eastAsia="宋体"/>
                <w:iCs/>
                <w:lang w:val="en-US" w:eastAsia="zh-CN"/>
              </w:rPr>
              <w:t xml:space="preserve"> issue </w:t>
            </w:r>
            <w:r>
              <w:rPr>
                <w:rFonts w:eastAsia="宋体"/>
                <w:iCs/>
                <w:lang w:val="en-US" w:eastAsia="zh-CN"/>
              </w:rPr>
              <w:t xml:space="preserve">does not </w:t>
            </w:r>
            <w:r w:rsidR="003462CC">
              <w:rPr>
                <w:rFonts w:eastAsia="宋体"/>
                <w:iCs/>
                <w:lang w:val="en-US" w:eastAsia="zh-CN"/>
              </w:rPr>
              <w:t>need to be discussed.</w:t>
            </w:r>
          </w:p>
          <w:p w14:paraId="1ADD93A4" w14:textId="4C5B6BF8" w:rsidR="00FF2EC6" w:rsidRDefault="003462CC" w:rsidP="002372C9">
            <w:pPr>
              <w:jc w:val="both"/>
              <w:rPr>
                <w:rFonts w:eastAsia="宋体"/>
                <w:iCs/>
                <w:lang w:val="en-US" w:eastAsia="zh-CN"/>
              </w:rPr>
            </w:pPr>
            <w:r>
              <w:rPr>
                <w:rFonts w:eastAsia="宋体"/>
                <w:iCs/>
                <w:lang w:val="en-US" w:eastAsia="zh-CN"/>
              </w:rPr>
              <w:t xml:space="preserve">For proposal 1, </w:t>
            </w:r>
            <w:r w:rsidR="002372C9">
              <w:rPr>
                <w:rFonts w:eastAsia="宋体"/>
                <w:iCs/>
                <w:lang w:val="en-US" w:eastAsia="zh-CN"/>
              </w:rPr>
              <w:t xml:space="preserve">it </w:t>
            </w:r>
            <w:r w:rsidR="004B1E6F">
              <w:rPr>
                <w:rFonts w:eastAsia="宋体"/>
                <w:iCs/>
                <w:lang w:val="en-US" w:eastAsia="zh-CN"/>
              </w:rPr>
              <w:t>is</w:t>
            </w:r>
            <w:r w:rsidR="002372C9">
              <w:rPr>
                <w:rFonts w:eastAsia="宋体"/>
                <w:iCs/>
                <w:lang w:val="en-US" w:eastAsia="zh-CN"/>
              </w:rPr>
              <w:t xml:space="preserve"> not an essential issue but just an enhancement to reduce redundancy for Ty</w:t>
            </w:r>
            <w:r w:rsidR="002372C9">
              <w:rPr>
                <w:rFonts w:eastAsia="宋体" w:hint="eastAsia"/>
                <w:iCs/>
                <w:lang w:val="en-US" w:eastAsia="zh-CN"/>
              </w:rPr>
              <w:t>pe</w:t>
            </w:r>
            <w:r w:rsidR="002372C9">
              <w:rPr>
                <w:rFonts w:eastAsia="宋体"/>
                <w:iCs/>
                <w:lang w:val="en-US" w:eastAsia="zh-CN"/>
              </w:rPr>
              <w:t xml:space="preserve">-1 HARQ-ACK codebook, so it </w:t>
            </w:r>
            <w:r w:rsidR="004B1E6F">
              <w:rPr>
                <w:rFonts w:eastAsia="宋体"/>
                <w:iCs/>
                <w:lang w:val="en-US" w:eastAsia="zh-CN"/>
              </w:rPr>
              <w:t>should not be</w:t>
            </w:r>
            <w:r w:rsidR="002372C9">
              <w:rPr>
                <w:rFonts w:eastAsia="宋体"/>
                <w:iCs/>
                <w:lang w:val="en-US" w:eastAsia="zh-CN"/>
              </w:rPr>
              <w:t xml:space="preserve"> discuss</w:t>
            </w:r>
            <w:r w:rsidR="004B1E6F">
              <w:rPr>
                <w:rFonts w:eastAsia="宋体"/>
                <w:iCs/>
                <w:lang w:val="en-US" w:eastAsia="zh-CN"/>
              </w:rPr>
              <w:t>ed</w:t>
            </w:r>
            <w:r w:rsidR="002372C9">
              <w:rPr>
                <w:rFonts w:eastAsia="宋体"/>
                <w:iCs/>
                <w:lang w:val="en-US" w:eastAsia="zh-CN"/>
              </w:rPr>
              <w:t xml:space="preserve"> at current stage. T</w:t>
            </w:r>
            <w:r>
              <w:rPr>
                <w:rFonts w:eastAsia="宋体"/>
                <w:iCs/>
                <w:lang w:val="en-US" w:eastAsia="zh-CN"/>
              </w:rPr>
              <w:t>he relevant agreement</w:t>
            </w:r>
            <w:r w:rsidR="002372C9">
              <w:rPr>
                <w:rFonts w:eastAsia="宋体"/>
                <w:iCs/>
                <w:lang w:val="en-US" w:eastAsia="zh-CN"/>
              </w:rPr>
              <w:t xml:space="preserve"> </w:t>
            </w:r>
            <w:r w:rsidR="002372C9">
              <w:rPr>
                <w:rFonts w:eastAsia="宋体" w:hint="eastAsia"/>
                <w:iCs/>
                <w:lang w:val="en-US" w:eastAsia="zh-CN"/>
              </w:rPr>
              <w:t>(</w:t>
            </w:r>
            <w:r w:rsidR="002372C9" w:rsidRPr="003462CC">
              <w:rPr>
                <w:rFonts w:eastAsia="宋体"/>
                <w:iCs/>
                <w:lang w:val="en-US" w:eastAsia="zh-CN"/>
              </w:rPr>
              <w:t>in RAN1#107</w:t>
            </w:r>
            <w:r w:rsidR="002372C9">
              <w:rPr>
                <w:rFonts w:eastAsia="宋体"/>
                <w:iCs/>
                <w:lang w:val="en-US" w:eastAsia="zh-CN"/>
              </w:rPr>
              <w:t xml:space="preserve">) </w:t>
            </w:r>
            <w:r>
              <w:rPr>
                <w:rFonts w:eastAsia="宋体"/>
                <w:iCs/>
                <w:lang w:val="en-US" w:eastAsia="zh-CN"/>
              </w:rPr>
              <w:t xml:space="preserve">on </w:t>
            </w:r>
            <w:proofErr w:type="spellStart"/>
            <w:r w:rsidRPr="003462CC">
              <w:rPr>
                <w:rFonts w:eastAsia="宋体"/>
                <w:iCs/>
                <w:lang w:val="en-US" w:eastAsia="zh-CN"/>
              </w:rPr>
              <w:t>pdsch-AggregationFactor</w:t>
            </w:r>
            <w:proofErr w:type="spellEnd"/>
            <w:r w:rsidRPr="003462CC">
              <w:rPr>
                <w:rFonts w:eastAsia="宋体"/>
                <w:iCs/>
                <w:lang w:val="en-US" w:eastAsia="zh-CN"/>
              </w:rPr>
              <w:t xml:space="preserve"> </w:t>
            </w:r>
            <w:r w:rsidR="002372C9">
              <w:rPr>
                <w:rFonts w:eastAsia="宋体"/>
                <w:iCs/>
                <w:lang w:val="en-US" w:eastAsia="zh-CN"/>
              </w:rPr>
              <w:t xml:space="preserve">for DCI format 1_1 </w:t>
            </w:r>
            <w:r w:rsidR="002372C9">
              <w:rPr>
                <w:rFonts w:eastAsia="宋体" w:hint="eastAsia"/>
                <w:iCs/>
                <w:lang w:val="en-US" w:eastAsia="zh-CN"/>
              </w:rPr>
              <w:t>and</w:t>
            </w:r>
            <w:r w:rsidR="002372C9">
              <w:rPr>
                <w:rFonts w:eastAsia="宋体"/>
                <w:iCs/>
                <w:lang w:val="en-US" w:eastAsia="zh-CN"/>
              </w:rPr>
              <w:t xml:space="preserve"> 1</w:t>
            </w:r>
            <w:r w:rsidR="002372C9">
              <w:rPr>
                <w:rFonts w:eastAsia="宋体" w:hint="eastAsia"/>
                <w:iCs/>
                <w:lang w:val="en-US" w:eastAsia="zh-CN"/>
              </w:rPr>
              <w:t>_</w:t>
            </w:r>
            <w:r w:rsidR="002372C9">
              <w:rPr>
                <w:rFonts w:eastAsia="宋体"/>
                <w:iCs/>
                <w:lang w:val="en-US" w:eastAsia="zh-CN"/>
              </w:rPr>
              <w:t>2</w:t>
            </w:r>
            <w:r w:rsidRPr="003462CC">
              <w:rPr>
                <w:rFonts w:eastAsia="宋体"/>
                <w:iCs/>
                <w:lang w:val="en-US" w:eastAsia="zh-CN"/>
              </w:rPr>
              <w:t xml:space="preserve"> has</w:t>
            </w:r>
            <w:r w:rsidR="004B1E6F">
              <w:rPr>
                <w:rFonts w:eastAsia="宋体"/>
                <w:iCs/>
                <w:lang w:val="en-US" w:eastAsia="zh-CN"/>
              </w:rPr>
              <w:t xml:space="preserve"> already</w:t>
            </w:r>
            <w:r w:rsidRPr="003462CC">
              <w:rPr>
                <w:rFonts w:eastAsia="宋体"/>
                <w:iCs/>
                <w:lang w:val="en-US" w:eastAsia="zh-CN"/>
              </w:rPr>
              <w:t xml:space="preserve"> been reflected in TS 38.214.</w:t>
            </w:r>
            <w:r w:rsidR="002372C9">
              <w:rPr>
                <w:rFonts w:eastAsia="宋体"/>
                <w:iCs/>
                <w:lang w:val="en-US" w:eastAsia="zh-CN"/>
              </w:rPr>
              <w:t xml:space="preserve"> </w:t>
            </w:r>
          </w:p>
          <w:p w14:paraId="70065C21" w14:textId="0B26F280" w:rsidR="002372C9" w:rsidRPr="003462CC" w:rsidRDefault="002372C9" w:rsidP="002372C9">
            <w:pPr>
              <w:jc w:val="both"/>
              <w:rPr>
                <w:rFonts w:eastAsia="宋体"/>
                <w:iCs/>
                <w:lang w:val="en-US" w:eastAsia="zh-CN"/>
              </w:rPr>
            </w:pPr>
            <w:r>
              <w:rPr>
                <w:rFonts w:eastAsia="宋体" w:hint="eastAsia"/>
                <w:iCs/>
                <w:lang w:val="en-US" w:eastAsia="zh-CN"/>
              </w:rPr>
              <w:t>F</w:t>
            </w:r>
            <w:r>
              <w:rPr>
                <w:rFonts w:eastAsia="宋体"/>
                <w:iCs/>
                <w:lang w:val="en-US" w:eastAsia="zh-CN"/>
              </w:rPr>
              <w:t xml:space="preserve">or </w:t>
            </w:r>
            <w:r w:rsidR="005A3AF4">
              <w:rPr>
                <w:rFonts w:eastAsia="宋体"/>
                <w:iCs/>
                <w:lang w:val="en-US" w:eastAsia="zh-CN"/>
              </w:rPr>
              <w:t>proposal 2, we share</w:t>
            </w:r>
            <w:r w:rsidR="005172D1">
              <w:rPr>
                <w:rFonts w:eastAsia="宋体"/>
                <w:iCs/>
                <w:lang w:val="en-US" w:eastAsia="zh-CN"/>
              </w:rPr>
              <w:t xml:space="preserve"> the sa</w:t>
            </w:r>
            <w:r w:rsidR="000F01B7">
              <w:rPr>
                <w:rFonts w:eastAsia="宋体"/>
                <w:iCs/>
                <w:lang w:val="en-US" w:eastAsia="zh-CN"/>
              </w:rPr>
              <w:t>me</w:t>
            </w:r>
            <w:r w:rsidR="005172D1">
              <w:rPr>
                <w:rFonts w:eastAsia="宋体"/>
                <w:iCs/>
                <w:lang w:val="en-US" w:eastAsia="zh-CN"/>
              </w:rPr>
              <w:t xml:space="preserve"> view with</w:t>
            </w:r>
            <w:r w:rsidR="005A3AF4">
              <w:rPr>
                <w:rFonts w:eastAsia="宋体"/>
                <w:iCs/>
                <w:lang w:val="en-US" w:eastAsia="zh-CN"/>
              </w:rPr>
              <w:t xml:space="preserve"> </w:t>
            </w:r>
            <w:r w:rsidR="004B1E6F">
              <w:rPr>
                <w:rFonts w:eastAsia="宋体"/>
                <w:iCs/>
                <w:lang w:val="en-US" w:eastAsia="zh-CN"/>
              </w:rPr>
              <w:t>FL</w:t>
            </w:r>
            <w:r w:rsidR="005A3AF4">
              <w:rPr>
                <w:rFonts w:eastAsia="宋体"/>
                <w:iCs/>
                <w:lang w:val="en-US" w:eastAsia="zh-CN"/>
              </w:rPr>
              <w:t>.</w:t>
            </w:r>
          </w:p>
        </w:tc>
      </w:tr>
      <w:tr w:rsidR="007F32AC" w14:paraId="0DB27CE3" w14:textId="77777777" w:rsidTr="0042570D">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42570D">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r w:rsidR="00CD2D7B" w:rsidRPr="00CD2D7B" w14:paraId="2F0C2C02" w14:textId="77777777" w:rsidTr="0042570D">
        <w:tc>
          <w:tcPr>
            <w:tcW w:w="1648" w:type="dxa"/>
            <w:tcBorders>
              <w:top w:val="single" w:sz="4" w:space="0" w:color="auto"/>
              <w:left w:val="single" w:sz="4" w:space="0" w:color="auto"/>
              <w:bottom w:val="single" w:sz="4" w:space="0" w:color="auto"/>
              <w:right w:val="single" w:sz="4" w:space="0" w:color="auto"/>
            </w:tcBorders>
          </w:tcPr>
          <w:p w14:paraId="3EC77665" w14:textId="0564812A" w:rsidR="00CD2D7B" w:rsidRPr="00CD2D7B" w:rsidRDefault="00CD2D7B" w:rsidP="007F32AC">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515C3FB" w14:textId="1B5BC495" w:rsidR="00CD2D7B" w:rsidRPr="00CD2D7B" w:rsidRDefault="00CD2D7B" w:rsidP="007F32AC">
            <w:pPr>
              <w:jc w:val="both"/>
              <w:rPr>
                <w:iCs/>
                <w:lang w:val="en-US" w:eastAsia="ko-KR"/>
              </w:rPr>
            </w:pPr>
            <w:r>
              <w:rPr>
                <w:iCs/>
                <w:lang w:val="en-US" w:eastAsia="ko-KR"/>
              </w:rPr>
              <w:t>Similar views as above</w:t>
            </w:r>
          </w:p>
        </w:tc>
      </w:tr>
      <w:tr w:rsidR="0042570D" w:rsidRPr="00CD2D7B" w14:paraId="62EBF41A" w14:textId="77777777" w:rsidTr="0042570D">
        <w:tc>
          <w:tcPr>
            <w:tcW w:w="1648" w:type="dxa"/>
            <w:tcBorders>
              <w:top w:val="single" w:sz="4" w:space="0" w:color="auto"/>
              <w:left w:val="single" w:sz="4" w:space="0" w:color="auto"/>
              <w:bottom w:val="single" w:sz="4" w:space="0" w:color="auto"/>
              <w:right w:val="single" w:sz="4" w:space="0" w:color="auto"/>
            </w:tcBorders>
          </w:tcPr>
          <w:p w14:paraId="1C382EE3" w14:textId="0970F5EA" w:rsidR="0042570D" w:rsidRPr="0042570D" w:rsidRDefault="0042570D" w:rsidP="0042570D">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094DC508" w14:textId="77777777" w:rsidR="0042570D" w:rsidRDefault="0042570D" w:rsidP="0042570D">
            <w:pPr>
              <w:jc w:val="both"/>
              <w:rPr>
                <w:rFonts w:eastAsia="宋体"/>
                <w:bCs/>
                <w:iCs/>
                <w:lang w:val="en-US" w:eastAsia="zh-CN"/>
              </w:rPr>
            </w:pPr>
            <w:r w:rsidRPr="0042570D">
              <w:rPr>
                <w:rFonts w:eastAsia="宋体"/>
                <w:bCs/>
                <w:iCs/>
                <w:lang w:val="en-US" w:eastAsia="zh-CN"/>
              </w:rPr>
              <w:t>The CR</w:t>
            </w:r>
            <w:r>
              <w:rPr>
                <w:rFonts w:eastAsia="宋体"/>
                <w:bCs/>
                <w:iCs/>
                <w:lang w:val="en-US" w:eastAsia="zh-CN"/>
              </w:rPr>
              <w:t xml:space="preserve"> </w:t>
            </w:r>
            <w:r>
              <w:rPr>
                <w:rFonts w:eastAsia="宋体" w:hint="eastAsia"/>
                <w:bCs/>
                <w:iCs/>
                <w:lang w:val="en-US" w:eastAsia="zh-CN"/>
              </w:rPr>
              <w:t>is</w:t>
            </w:r>
            <w:r>
              <w:rPr>
                <w:rFonts w:eastAsia="宋体"/>
                <w:bCs/>
                <w:iCs/>
                <w:lang w:val="en-US" w:eastAsia="zh-CN"/>
              </w:rPr>
              <w:t xml:space="preserve"> trying to align the spec with the agreement. </w:t>
            </w:r>
          </w:p>
          <w:p w14:paraId="0BEAD538" w14:textId="77777777" w:rsidR="0042570D" w:rsidRDefault="0042570D" w:rsidP="0042570D">
            <w:pPr>
              <w:jc w:val="both"/>
              <w:rPr>
                <w:rFonts w:eastAsia="宋体"/>
                <w:bCs/>
                <w:iCs/>
                <w:lang w:val="en-US" w:eastAsia="zh-CN"/>
              </w:rPr>
            </w:pPr>
            <w:r>
              <w:rPr>
                <w:rFonts w:eastAsia="宋体"/>
                <w:bCs/>
                <w:iCs/>
                <w:lang w:val="en-US" w:eastAsia="zh-CN"/>
              </w:rPr>
              <w:t>For the 1</w:t>
            </w:r>
            <w:r w:rsidRPr="00A87206">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w:t>
            </w:r>
            <w:r>
              <w:rPr>
                <w:rFonts w:eastAsia="宋体"/>
                <w:bCs/>
                <w:iCs/>
                <w:lang w:val="en-US" w:eastAsia="zh-CN"/>
              </w:rPr>
              <w:t xml:space="preserve">Although the agreement is captured in 214 for the scheduling, the HARQ procedure should be consistent with scheduling behavior. </w:t>
            </w:r>
          </w:p>
          <w:p w14:paraId="326B8C23" w14:textId="38FEA0AB" w:rsidR="0042570D" w:rsidRPr="0042570D" w:rsidRDefault="0042570D" w:rsidP="0042570D">
            <w:pPr>
              <w:jc w:val="both"/>
              <w:rPr>
                <w:rFonts w:eastAsia="宋体" w:hint="eastAsia"/>
                <w:iCs/>
                <w:lang w:val="en-US" w:eastAsia="zh-CN"/>
              </w:rPr>
            </w:pPr>
            <w:r>
              <w:rPr>
                <w:rFonts w:eastAsia="宋体"/>
                <w:bCs/>
                <w:iCs/>
                <w:lang w:val="en-US" w:eastAsia="zh-CN"/>
              </w:rPr>
              <w:t>For 2</w:t>
            </w:r>
            <w:r w:rsidRPr="00A87206">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w:t>
            </w:r>
            <w:r>
              <w:rPr>
                <w:rFonts w:eastAsia="宋体"/>
                <w:bCs/>
                <w:iCs/>
                <w:lang w:val="en-US" w:eastAsia="zh-CN"/>
              </w:rPr>
              <w:t>s</w:t>
            </w:r>
            <w:r>
              <w:rPr>
                <w:rFonts w:eastAsia="宋体"/>
                <w:bCs/>
                <w:iCs/>
                <w:lang w:val="en-US" w:eastAsia="zh-CN"/>
              </w:rPr>
              <w:t xml:space="preserve"> in extendK1 set is not meet the UE processing timeline, or it is due to the collision with UL. We hope it can be clarified and have unified expression as in other places.  </w:t>
            </w: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162.25pt" o:ole="">
                  <v:imagedata r:id="rId8" o:title=""/>
                </v:shape>
                <o:OLEObject Type="Embed" ProgID="Visio.Drawing.11" ShapeID="_x0000_i1025" DrawAspect="Content" ObjectID="_1726997590"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9pt;height:174.1pt" o:ole="">
                  <v:imagedata r:id="rId10" o:title=""/>
                </v:shape>
                <o:OLEObject Type="Embed" ProgID="Visio.Drawing.11" ShapeID="_x0000_i1026" DrawAspect="Content" ObjectID="_1726997591"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w:t>
            </w:r>
            <w:r w:rsidR="00073EA0">
              <w:rPr>
                <w:rFonts w:eastAsia="宋体"/>
                <w:iCs/>
                <w:lang w:val="en-US" w:eastAsia="zh-CN"/>
              </w:rPr>
              <w:t>are</w:t>
            </w:r>
            <w:r>
              <w:rPr>
                <w:rFonts w:eastAsia="宋体"/>
                <w:iCs/>
                <w:lang w:val="en-US" w:eastAsia="zh-CN"/>
              </w:rPr>
              <w:t xml:space="preserve"> needed </w:t>
            </w:r>
            <w:r w:rsidR="0038086F">
              <w:rPr>
                <w:rFonts w:eastAsia="宋体"/>
                <w:iCs/>
                <w:lang w:val="en-US" w:eastAsia="zh-CN"/>
              </w:rPr>
              <w:t>and it should be based on</w:t>
            </w:r>
            <w:r>
              <w:rPr>
                <w:rFonts w:eastAsia="宋体"/>
                <w:iCs/>
                <w:lang w:val="en-US" w:eastAsia="zh-CN"/>
              </w:rPr>
              <w:t xml:space="preserve"> Interpretation 2, so we think </w:t>
            </w:r>
            <w:r w:rsidR="002C09C3">
              <w:rPr>
                <w:rFonts w:eastAsia="宋体"/>
                <w:iCs/>
                <w:lang w:val="en-US" w:eastAsia="zh-CN"/>
              </w:rPr>
              <w:t>RAN1</w:t>
            </w:r>
            <w:r>
              <w:rPr>
                <w:rFonts w:eastAsia="宋体"/>
                <w:iCs/>
                <w:lang w:val="en-US" w:eastAsia="zh-CN"/>
              </w:rPr>
              <w:t xml:space="preserve"> do</w:t>
            </w:r>
            <w:r w:rsidR="002C09C3">
              <w:rPr>
                <w:rFonts w:eastAsia="宋体"/>
                <w:iCs/>
                <w:lang w:val="en-US" w:eastAsia="zh-CN"/>
              </w:rPr>
              <w:t>es</w:t>
            </w:r>
            <w:r>
              <w:rPr>
                <w:rFonts w:eastAsia="宋体"/>
                <w:iCs/>
                <w:lang w:val="en-US" w:eastAsia="zh-CN"/>
              </w:rPr>
              <w:t xml:space="preserve"> not need to repeat the discussion on whether the specification is clear or not</w:t>
            </w:r>
            <w:r w:rsidR="002C09C3">
              <w:rPr>
                <w:rFonts w:eastAsia="宋体"/>
                <w:iCs/>
                <w:lang w:val="en-US" w:eastAsia="zh-CN"/>
              </w:rPr>
              <w:t xml:space="preserve"> and </w:t>
            </w:r>
            <w:r>
              <w:rPr>
                <w:rFonts w:eastAsia="宋体"/>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af5"/>
            </w:pPr>
            <w:r>
              <w:t>We are fine to discuss this issue in this meeting. We are fine with the interpretation 2 &amp; related spec changes.</w:t>
            </w:r>
          </w:p>
        </w:tc>
      </w:tr>
      <w:tr w:rsidR="00B14B42" w:rsidRPr="00B14B42" w14:paraId="49533243" w14:textId="77777777" w:rsidTr="007F32AC">
        <w:tc>
          <w:tcPr>
            <w:tcW w:w="1649" w:type="dxa"/>
            <w:tcBorders>
              <w:top w:val="single" w:sz="4" w:space="0" w:color="auto"/>
              <w:left w:val="single" w:sz="4" w:space="0" w:color="auto"/>
              <w:bottom w:val="single" w:sz="4" w:space="0" w:color="auto"/>
              <w:right w:val="single" w:sz="4" w:space="0" w:color="auto"/>
            </w:tcBorders>
          </w:tcPr>
          <w:p w14:paraId="2AE15B44" w14:textId="6306C176" w:rsidR="00B14B42" w:rsidRPr="00B14B42" w:rsidRDefault="00B14B42" w:rsidP="007F32AC">
            <w:pPr>
              <w:jc w:val="both"/>
              <w:rPr>
                <w:lang w:eastAsia="ko-KR"/>
              </w:rPr>
            </w:pPr>
          </w:p>
        </w:tc>
        <w:tc>
          <w:tcPr>
            <w:tcW w:w="7982" w:type="dxa"/>
            <w:tcBorders>
              <w:top w:val="single" w:sz="4" w:space="0" w:color="auto"/>
              <w:left w:val="single" w:sz="4" w:space="0" w:color="auto"/>
              <w:bottom w:val="single" w:sz="4" w:space="0" w:color="auto"/>
              <w:right w:val="single" w:sz="4" w:space="0" w:color="auto"/>
            </w:tcBorders>
          </w:tcPr>
          <w:p w14:paraId="2276F9A0" w14:textId="77777777" w:rsidR="00B14B42" w:rsidRPr="00B14B42" w:rsidRDefault="00B14B42" w:rsidP="00BE0C93">
            <w:pPr>
              <w:pStyle w:val="af5"/>
            </w:pP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宋体"/>
                <w:iCs/>
                <w:lang w:val="en-US" w:eastAsia="zh-CN"/>
              </w:rPr>
            </w:pPr>
            <w:r>
              <w:rPr>
                <w:rFonts w:eastAsia="宋体"/>
                <w:iCs/>
                <w:lang w:val="en-US" w:eastAsia="zh-CN"/>
              </w:rPr>
              <w:t xml:space="preserve">It can be deprioritized. </w:t>
            </w:r>
            <w:r w:rsidR="0026656C">
              <w:rPr>
                <w:rFonts w:eastAsia="宋体" w:hint="eastAsia"/>
                <w:iCs/>
                <w:lang w:val="en-US" w:eastAsia="zh-CN"/>
              </w:rPr>
              <w:t>T</w:t>
            </w:r>
            <w:r w:rsidR="0026656C">
              <w:rPr>
                <w:rFonts w:eastAsia="宋体"/>
                <w:iCs/>
                <w:lang w:val="en-US" w:eastAsia="zh-CN"/>
              </w:rPr>
              <w:t>hough there is a misalignment, it seems still workable</w:t>
            </w:r>
            <w:r w:rsidR="000C14D5">
              <w:rPr>
                <w:rFonts w:eastAsia="宋体"/>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r w:rsidR="00CD2D7B" w:rsidRPr="00CD2D7B" w14:paraId="37959330" w14:textId="77777777" w:rsidTr="00BE0C93">
        <w:tc>
          <w:tcPr>
            <w:tcW w:w="1649" w:type="dxa"/>
            <w:tcBorders>
              <w:top w:val="single" w:sz="4" w:space="0" w:color="auto"/>
              <w:left w:val="single" w:sz="4" w:space="0" w:color="auto"/>
              <w:bottom w:val="single" w:sz="4" w:space="0" w:color="auto"/>
              <w:right w:val="single" w:sz="4" w:space="0" w:color="auto"/>
            </w:tcBorders>
          </w:tcPr>
          <w:p w14:paraId="12914947" w14:textId="60759753" w:rsidR="00CD2D7B" w:rsidRPr="00CD2D7B" w:rsidRDefault="00CD2D7B" w:rsidP="00BE0C9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AB4DD2A" w14:textId="58EA094E" w:rsidR="00CD2D7B" w:rsidRPr="00CD2D7B" w:rsidRDefault="00CD2D7B" w:rsidP="00BE0C93">
            <w:pPr>
              <w:jc w:val="both"/>
              <w:rPr>
                <w:iCs/>
                <w:lang w:val="en-US" w:eastAsia="ko-KR"/>
              </w:rPr>
            </w:pPr>
            <w:r>
              <w:rPr>
                <w:iCs/>
                <w:lang w:val="en-US" w:eastAsia="ko-KR"/>
              </w:rPr>
              <w:t>Prefer Option 2 to correct misalignment issue</w:t>
            </w:r>
            <w:r w:rsidR="00573C9E">
              <w:rPr>
                <w:iCs/>
                <w:lang w:val="en-US" w:eastAsia="ko-KR"/>
              </w:rPr>
              <w:t xml:space="preserve">, and it should be done this meeting (as commented by Samsung). </w:t>
            </w:r>
            <w:r>
              <w:rPr>
                <w:iCs/>
                <w:lang w:val="en-US" w:eastAsia="ko-KR"/>
              </w:rPr>
              <w:t>Preserving 64 rows is beneficial for flexibility; 16 seems overly restrictive.</w:t>
            </w:r>
          </w:p>
        </w:tc>
      </w:tr>
      <w:tr w:rsidR="0042570D" w:rsidRPr="00CD2D7B" w14:paraId="6D24F64C" w14:textId="77777777" w:rsidTr="00BE0C93">
        <w:tc>
          <w:tcPr>
            <w:tcW w:w="1649" w:type="dxa"/>
            <w:tcBorders>
              <w:top w:val="single" w:sz="4" w:space="0" w:color="auto"/>
              <w:left w:val="single" w:sz="4" w:space="0" w:color="auto"/>
              <w:bottom w:val="single" w:sz="4" w:space="0" w:color="auto"/>
              <w:right w:val="single" w:sz="4" w:space="0" w:color="auto"/>
            </w:tcBorders>
          </w:tcPr>
          <w:p w14:paraId="517DD9D5" w14:textId="52858023" w:rsidR="0042570D" w:rsidRPr="0042570D" w:rsidRDefault="0042570D" w:rsidP="00BE0C93">
            <w:pPr>
              <w:jc w:val="both"/>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641AA47B" w14:textId="28F0CA55" w:rsidR="0042570D" w:rsidRPr="0042570D" w:rsidRDefault="0042570D" w:rsidP="00BE0C93">
            <w:pPr>
              <w:jc w:val="both"/>
              <w:rPr>
                <w:rFonts w:eastAsia="宋体" w:hint="eastAsia"/>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a6"/>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w:t>
            </w:r>
            <w:proofErr w:type="spellStart"/>
            <w:r w:rsidRPr="00D402A4">
              <w:rPr>
                <w:i/>
                <w:iCs/>
                <w:lang w:eastAsia="ko-KR"/>
              </w:rPr>
              <w:t>ConfiguredGrantConfig</w:t>
            </w:r>
            <w:proofErr w:type="spellEnd"/>
            <w:r w:rsidRPr="00D402A4">
              <w:rPr>
                <w:lang w:eastAsia="ko-KR"/>
              </w:rPr>
              <w:t xml:space="preserve"> IE to support up to 32 HARQ process numbers for CG-PUSCH transmission. </w:t>
            </w:r>
          </w:p>
          <w:p w14:paraId="245CD109" w14:textId="2A1C2C32" w:rsidR="00D402A4" w:rsidRPr="00D402A4" w:rsidRDefault="00D402A4" w:rsidP="00D402A4">
            <w:pPr>
              <w:pStyle w:val="a6"/>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宋体"/>
                <w:iCs/>
                <w:lang w:val="en-US" w:eastAsia="zh-CN"/>
              </w:rPr>
            </w:pPr>
            <w:r>
              <w:rPr>
                <w:rFonts w:eastAsia="宋体"/>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EF3B5B">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EF3B5B">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iCs/>
                <w:lang w:val="en-US" w:eastAsia="ko-KR"/>
              </w:rPr>
            </w:pPr>
            <w:r>
              <w:rPr>
                <w:iCs/>
                <w:lang w:val="en-US" w:eastAsia="ko-KR"/>
              </w:rPr>
              <w:t>Yes, this should be addressed. We are ok with the changes proposed by Samsung.</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a6"/>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a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a6"/>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宋体"/>
                <w:iCs/>
                <w:lang w:val="en-US" w:eastAsia="zh-CN"/>
              </w:rPr>
            </w:pPr>
            <w:r>
              <w:rPr>
                <w:rFonts w:eastAsia="宋体" w:hint="eastAsia"/>
                <w:iCs/>
                <w:lang w:val="en-US" w:eastAsia="zh-CN"/>
              </w:rPr>
              <w:t>I</w:t>
            </w:r>
            <w:r>
              <w:rPr>
                <w:rFonts w:eastAsia="宋体"/>
                <w:iCs/>
                <w:lang w:val="en-US" w:eastAsia="zh-CN"/>
              </w:rPr>
              <w:t>t may not need to be discussed</w:t>
            </w:r>
            <w:r w:rsidR="00F6629C">
              <w:rPr>
                <w:rFonts w:eastAsia="宋体"/>
                <w:iCs/>
                <w:lang w:val="en-US" w:eastAsia="zh-CN"/>
              </w:rPr>
              <w:t xml:space="preserve"> and can be deprioritized</w:t>
            </w:r>
            <w:r>
              <w:rPr>
                <w:rFonts w:eastAsia="宋体"/>
                <w:iCs/>
                <w:lang w:val="en-US" w:eastAsia="zh-CN"/>
              </w:rPr>
              <w:t xml:space="preserve">. </w:t>
            </w:r>
          </w:p>
          <w:p w14:paraId="2A76CD2B" w14:textId="2B1FEAFE" w:rsidR="00A77C37" w:rsidRPr="00A77C37" w:rsidRDefault="00A77C37" w:rsidP="008960C7">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 xml:space="preserve">The REs indicated by </w:t>
            </w:r>
            <w:proofErr w:type="spellStart"/>
            <w:r w:rsidRPr="00A77C37">
              <w:rPr>
                <w:iCs/>
                <w:color w:val="002060"/>
                <w:lang w:val="en-US" w:eastAsia="ko-KR"/>
              </w:rPr>
              <w:t>sp</w:t>
            </w:r>
            <w:proofErr w:type="spellEnd"/>
            <w:r w:rsidRPr="00A77C37">
              <w:rPr>
                <w:iCs/>
                <w:color w:val="002060"/>
                <w:lang w:val="en-US" w:eastAsia="ko-KR"/>
              </w:rPr>
              <w:t>-ZP-CSI-RS-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and aperiodic-ZP-CSI-RS-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w:t>
            </w:r>
            <w:proofErr w:type="spellStart"/>
            <w:r w:rsidRPr="005C35D5">
              <w:rPr>
                <w:i/>
                <w:iCs/>
                <w:lang w:val="en-US" w:eastAsia="ko-KR"/>
              </w:rPr>
              <w:t>ResourceSetsToAddModList</w:t>
            </w:r>
            <w:proofErr w:type="spellEnd"/>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iCs/>
                <w:lang w:val="en-US" w:eastAsia="ko-KR"/>
              </w:rPr>
            </w:pPr>
          </w:p>
        </w:tc>
      </w:tr>
      <w:tr w:rsidR="00573C9E" w:rsidRPr="00573C9E" w14:paraId="01671F6D" w14:textId="77777777" w:rsidTr="00A77C37">
        <w:tc>
          <w:tcPr>
            <w:tcW w:w="1651" w:type="dxa"/>
            <w:tcBorders>
              <w:top w:val="single" w:sz="4" w:space="0" w:color="auto"/>
              <w:left w:val="single" w:sz="4" w:space="0" w:color="auto"/>
              <w:bottom w:val="single" w:sz="4" w:space="0" w:color="auto"/>
              <w:right w:val="single" w:sz="4" w:space="0" w:color="auto"/>
            </w:tcBorders>
          </w:tcPr>
          <w:p w14:paraId="07FB2207" w14:textId="1225BA07" w:rsidR="00573C9E" w:rsidRPr="00573C9E" w:rsidRDefault="00573C9E" w:rsidP="001E7BF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85509D6" w14:textId="602EDBFA" w:rsidR="00573C9E" w:rsidRPr="00573C9E" w:rsidRDefault="00573C9E" w:rsidP="001E7BFB">
            <w:pPr>
              <w:jc w:val="both"/>
              <w:rPr>
                <w:iCs/>
                <w:lang w:val="en-US" w:eastAsia="ko-KR"/>
              </w:rPr>
            </w:pPr>
            <w:r>
              <w:rPr>
                <w:iCs/>
                <w:lang w:val="en-US" w:eastAsia="ko-KR"/>
              </w:rPr>
              <w:t>Okay to discuss. Good to clarify as per the RAN1#106-e agreement.</w:t>
            </w: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1"/>
        <w:tabs>
          <w:tab w:val="clear" w:pos="2416"/>
          <w:tab w:val="num" w:pos="426"/>
        </w:tabs>
        <w:ind w:left="426"/>
      </w:pPr>
      <w:r>
        <w:t xml:space="preserve">Issue#5: </w:t>
      </w:r>
      <w:r w:rsidR="009F0BFE">
        <w:rPr>
          <w:lang w:val="en-US"/>
        </w:rPr>
        <w:t xml:space="preserve">Validity of PDSCH scheduled by multi-PDSCH scheduling DCI with </w:t>
      </w:r>
      <w:proofErr w:type="spellStart"/>
      <w:r w:rsidR="009F0BFE">
        <w:rPr>
          <w:lang w:val="en-US"/>
        </w:rPr>
        <w:t>mTRP</w:t>
      </w:r>
      <w:proofErr w:type="spellEnd"/>
      <w:r w:rsidR="009F0BFE">
        <w:rPr>
          <w:lang w:val="en-US"/>
        </w:rPr>
        <w:t xml:space="preserve">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af9"/>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proofErr w:type="spellStart"/>
            <w:r>
              <w:rPr>
                <w:bCs/>
                <w:iCs/>
              </w:rPr>
              <w:t>tdmSchemeA</w:t>
            </w:r>
            <w:proofErr w:type="spellEnd"/>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a6"/>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a6"/>
              <w:numPr>
                <w:ilvl w:val="1"/>
                <w:numId w:val="47"/>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宋体"/>
                <w:iCs/>
                <w:lang w:val="en-US" w:eastAsia="zh-CN"/>
              </w:rPr>
            </w:pPr>
            <w:r>
              <w:rPr>
                <w:rFonts w:eastAsia="宋体"/>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宋体"/>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a6"/>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proofErr w:type="spellStart"/>
            <w:r w:rsidRPr="0062601C">
              <w:rPr>
                <w:rFonts w:ascii="Arial" w:hAnsi="Arial"/>
                <w:i/>
                <w:highlight w:val="yellow"/>
              </w:rPr>
              <w:t>enableT</w:t>
            </w:r>
            <w:r w:rsidRPr="0062601C">
              <w:rPr>
                <w:rFonts w:ascii="Arial" w:hAnsi="Arial"/>
                <w:i/>
              </w:rPr>
              <w:t>imeDomainHARQ</w:t>
            </w:r>
            <w:proofErr w:type="spellEnd"/>
            <w:r w:rsidRPr="0062601C">
              <w:rPr>
                <w:rFonts w:ascii="Arial" w:hAnsi="Arial"/>
                <w:i/>
              </w:rPr>
              <w:t>-Bundling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proofErr w:type="spellStart"/>
            <w:r w:rsidRPr="0062601C">
              <w:rPr>
                <w:rFonts w:ascii="Arial" w:hAnsi="Arial"/>
                <w:i/>
              </w:rPr>
              <w:t>n</w:t>
            </w:r>
            <w:r w:rsidRPr="0062601C">
              <w:rPr>
                <w:rFonts w:ascii="Arial" w:hAnsi="Arial"/>
                <w:i/>
                <w:highlight w:val="yellow"/>
              </w:rPr>
              <w:t>umberO</w:t>
            </w:r>
            <w:r w:rsidRPr="0062601C">
              <w:rPr>
                <w:rFonts w:ascii="Arial" w:hAnsi="Arial"/>
                <w:i/>
              </w:rPr>
              <w:t>fHARQ-BundlingGroups</w:t>
            </w:r>
            <w:proofErr w:type="spellEnd"/>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proofErr w:type="spellStart"/>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roofErr w:type="spellEnd"/>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w:t>
            </w:r>
            <w:proofErr w:type="spellStart"/>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proofErr w:type="spellEnd"/>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proofErr w:type="spellStart"/>
            <w:r w:rsidRPr="00C3472E">
              <w:rPr>
                <w:rFonts w:ascii="Arial" w:hAnsi="Arial"/>
                <w:i/>
                <w:iCs/>
                <w:highlight w:val="yellow"/>
              </w:rPr>
              <w:t>pdsch</w:t>
            </w:r>
            <w:r w:rsidRPr="00C3472E">
              <w:rPr>
                <w:rFonts w:ascii="Arial" w:hAnsi="Arial"/>
                <w:i/>
                <w:iCs/>
              </w:rPr>
              <w:t>-TimeDomainAllocationListForMultiPDSCH</w:t>
            </w:r>
            <w:proofErr w:type="spellEnd"/>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proofErr w:type="spellStart"/>
            <w:r w:rsidRPr="00597D73">
              <w:rPr>
                <w:rFonts w:hint="eastAsia"/>
                <w:i/>
                <w:iCs/>
                <w:lang w:eastAsia="ko-KR"/>
              </w:rPr>
              <w:t>enableTimeDomainHARQ</w:t>
            </w:r>
            <w:proofErr w:type="spellEnd"/>
            <w:r w:rsidRPr="00597D73">
              <w:rPr>
                <w:rFonts w:hint="eastAsia"/>
                <w:i/>
                <w:iCs/>
                <w:lang w:eastAsia="ko-KR"/>
              </w:rPr>
              <w:t>-Bundling</w:t>
            </w:r>
            <w:r w:rsidRPr="00597D73">
              <w:rPr>
                <w:iCs/>
                <w:lang w:eastAsia="ko-KR"/>
              </w:rPr>
              <w:t xml:space="preserve"> and </w:t>
            </w:r>
            <w:proofErr w:type="spellStart"/>
            <w:r w:rsidRPr="00597D73">
              <w:rPr>
                <w:rFonts w:hint="eastAsia"/>
                <w:i/>
                <w:iCs/>
                <w:lang w:eastAsia="ko-KR"/>
              </w:rPr>
              <w:t>numberOfHARQ-BundlingGroups</w:t>
            </w:r>
            <w:proofErr w:type="spellEnd"/>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proofErr w:type="spellStart"/>
            <w:r w:rsidRPr="00597D73">
              <w:rPr>
                <w:i/>
                <w:iCs/>
                <w:lang w:eastAsia="ko-KR"/>
              </w:rPr>
              <w:t>nrofHARQ-BundlingGroups</w:t>
            </w:r>
            <w:proofErr w:type="spellEnd"/>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w:t>
            </w:r>
            <w:proofErr w:type="spellStart"/>
            <w:r w:rsidRPr="00597D73">
              <w:rPr>
                <w:i/>
                <w:iCs/>
                <w:lang w:eastAsia="ko-KR"/>
              </w:rPr>
              <w:t>pdsch-TimeDomainResourceAllocationListForMultiPDSCH</w:t>
            </w:r>
            <w:proofErr w:type="spellEnd"/>
            <w:r w:rsidRPr="00597D73">
              <w:rPr>
                <w:i/>
                <w:iCs/>
                <w:lang w:eastAsia="ko-KR"/>
              </w:rPr>
              <w:t xml:space="preserve"> </w:t>
            </w:r>
            <w:r w:rsidRPr="00597D73">
              <w:rPr>
                <w:iCs/>
                <w:lang w:eastAsia="ko-KR"/>
              </w:rPr>
              <w:t xml:space="preserve">should be </w:t>
            </w:r>
            <w:r w:rsidRPr="00597D73">
              <w:rPr>
                <w:i/>
                <w:iCs/>
                <w:lang w:eastAsia="ko-KR"/>
              </w:rPr>
              <w:t xml:space="preserve">pusch-TimeDomainAllocationListForMultiPUSCH-r17 and </w:t>
            </w:r>
            <w:proofErr w:type="spellStart"/>
            <w:r w:rsidRPr="00597D73">
              <w:rPr>
                <w:i/>
                <w:iCs/>
                <w:lang w:eastAsia="ko-KR"/>
              </w:rPr>
              <w:t>pdsch-TimeDomainAllocationListForMultiPDSCH</w:t>
            </w:r>
            <w:proofErr w:type="spellEnd"/>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8171"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r w:rsidR="00573C9E" w:rsidRPr="00573C9E" w14:paraId="19DD7511" w14:textId="77777777" w:rsidTr="00243B60">
        <w:tc>
          <w:tcPr>
            <w:tcW w:w="1668" w:type="dxa"/>
            <w:tcBorders>
              <w:top w:val="single" w:sz="4" w:space="0" w:color="auto"/>
              <w:left w:val="single" w:sz="4" w:space="0" w:color="auto"/>
              <w:bottom w:val="single" w:sz="4" w:space="0" w:color="auto"/>
              <w:right w:val="single" w:sz="4" w:space="0" w:color="auto"/>
            </w:tcBorders>
          </w:tcPr>
          <w:p w14:paraId="27D9AFD1" w14:textId="5C830909" w:rsidR="00573C9E" w:rsidRPr="00573C9E" w:rsidRDefault="00573C9E" w:rsidP="00243B60">
            <w:pPr>
              <w:jc w:val="both"/>
              <w:rPr>
                <w:lang w:eastAsia="ko-KR"/>
              </w:rPr>
            </w:pPr>
            <w:r>
              <w:rPr>
                <w:lang w:eastAsia="ko-KR"/>
              </w:rPr>
              <w:t>Ericsson</w:t>
            </w:r>
          </w:p>
        </w:tc>
        <w:tc>
          <w:tcPr>
            <w:tcW w:w="8171" w:type="dxa"/>
            <w:tcBorders>
              <w:top w:val="single" w:sz="4" w:space="0" w:color="auto"/>
              <w:left w:val="single" w:sz="4" w:space="0" w:color="auto"/>
              <w:bottom w:val="single" w:sz="4" w:space="0" w:color="auto"/>
              <w:right w:val="single" w:sz="4" w:space="0" w:color="auto"/>
            </w:tcBorders>
          </w:tcPr>
          <w:p w14:paraId="653ABFD0" w14:textId="6502883B" w:rsidR="00573C9E" w:rsidRPr="00573C9E" w:rsidRDefault="00573C9E" w:rsidP="00243B60">
            <w:pPr>
              <w:jc w:val="both"/>
              <w:rPr>
                <w:iCs/>
                <w:lang w:val="en-US" w:eastAsia="ko-KR"/>
              </w:rPr>
            </w:pPr>
            <w:r>
              <w:rPr>
                <w:iCs/>
                <w:lang w:val="en-US" w:eastAsia="ko-KR"/>
              </w:rPr>
              <w:t>Can be handled in alignment CR</w:t>
            </w:r>
          </w:p>
        </w:tc>
      </w:tr>
      <w:tr w:rsidR="0042570D" w:rsidRPr="00573C9E" w14:paraId="250FA0C1" w14:textId="77777777" w:rsidTr="00243B60">
        <w:tc>
          <w:tcPr>
            <w:tcW w:w="1668" w:type="dxa"/>
            <w:tcBorders>
              <w:top w:val="single" w:sz="4" w:space="0" w:color="auto"/>
              <w:left w:val="single" w:sz="4" w:space="0" w:color="auto"/>
              <w:bottom w:val="single" w:sz="4" w:space="0" w:color="auto"/>
              <w:right w:val="single" w:sz="4" w:space="0" w:color="auto"/>
            </w:tcBorders>
          </w:tcPr>
          <w:p w14:paraId="3099CA81" w14:textId="2076DF69" w:rsidR="0042570D" w:rsidRDefault="0042570D" w:rsidP="00243B60">
            <w:pPr>
              <w:jc w:val="both"/>
              <w:rPr>
                <w:lang w:eastAsia="ko-KR"/>
              </w:rPr>
            </w:pPr>
            <w:r w:rsidRPr="0042570D">
              <w:rPr>
                <w:rFonts w:hint="eastAsia"/>
                <w:lang w:eastAsia="ko-KR"/>
              </w:rPr>
              <w:t>Huawei</w:t>
            </w:r>
            <w:r>
              <w:rPr>
                <w:lang w:eastAsia="ko-KR"/>
              </w:rPr>
              <w:t xml:space="preserve">, </w:t>
            </w:r>
            <w:proofErr w:type="spellStart"/>
            <w:r>
              <w:rPr>
                <w:lang w:eastAsia="ko-KR"/>
              </w:rPr>
              <w:t>Hi</w:t>
            </w:r>
            <w:r>
              <w:rPr>
                <w:rFonts w:ascii="宋体" w:eastAsia="宋体" w:hAnsi="宋体" w:hint="eastAsia"/>
                <w:lang w:eastAsia="zh-CN"/>
              </w:rPr>
              <w:t>Si</w:t>
            </w:r>
            <w:r w:rsidRPr="0042570D">
              <w:rPr>
                <w:rFonts w:hint="eastAsia"/>
                <w:lang w:eastAsia="ko-KR"/>
              </w:rPr>
              <w:t>licon</w:t>
            </w:r>
            <w:proofErr w:type="spellEnd"/>
          </w:p>
        </w:tc>
        <w:tc>
          <w:tcPr>
            <w:tcW w:w="8171" w:type="dxa"/>
            <w:tcBorders>
              <w:top w:val="single" w:sz="4" w:space="0" w:color="auto"/>
              <w:left w:val="single" w:sz="4" w:space="0" w:color="auto"/>
              <w:bottom w:val="single" w:sz="4" w:space="0" w:color="auto"/>
              <w:right w:val="single" w:sz="4" w:space="0" w:color="auto"/>
            </w:tcBorders>
          </w:tcPr>
          <w:p w14:paraId="16FA8D69" w14:textId="4A35B955" w:rsidR="0042570D" w:rsidRPr="00EA2AEB" w:rsidRDefault="00EA2AEB" w:rsidP="00243B60">
            <w:pPr>
              <w:jc w:val="both"/>
              <w:rPr>
                <w:rFonts w:eastAsia="宋体" w:hint="eastAsia"/>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0FEBD822" w14:textId="54654F98" w:rsidR="000E09C4" w:rsidRPr="00FE1014" w:rsidRDefault="00FE1014" w:rsidP="00FE1014">
      <w:pPr>
        <w:pStyle w:val="a6"/>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 xml:space="preserve">Huawei, </w:t>
      </w:r>
      <w:proofErr w:type="spellStart"/>
      <w:r w:rsidRPr="00FE1014">
        <w:rPr>
          <w:lang w:eastAsia="ko-KR"/>
        </w:rPr>
        <w:t>HiSilicon</w:t>
      </w:r>
      <w:proofErr w:type="spellEnd"/>
    </w:p>
    <w:p w14:paraId="3CDBF319" w14:textId="77777777" w:rsidR="00FE1014" w:rsidRPr="00FE1014" w:rsidRDefault="00FE1014" w:rsidP="00FE1014">
      <w:pPr>
        <w:pStyle w:val="a6"/>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a6"/>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a6"/>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a6"/>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a6"/>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a6"/>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a6"/>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a6"/>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a6"/>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a6"/>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a6"/>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a6"/>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 xml:space="preserve">Huawei, </w:t>
      </w:r>
      <w:proofErr w:type="spellStart"/>
      <w:r w:rsidRPr="00FE1014">
        <w:rPr>
          <w:lang w:eastAsia="ko-KR"/>
        </w:rPr>
        <w:t>HiSilicon</w:t>
      </w:r>
      <w:proofErr w:type="spellEnd"/>
    </w:p>
    <w:p w14:paraId="2A314628" w14:textId="77777777" w:rsidR="00FE1014" w:rsidRPr="00FE1014" w:rsidRDefault="00FE1014" w:rsidP="00FE1014">
      <w:pPr>
        <w:pStyle w:val="a6"/>
        <w:numPr>
          <w:ilvl w:val="0"/>
          <w:numId w:val="2"/>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2E854CE0" w14:textId="3F5D2F71" w:rsidR="00FE1014" w:rsidRPr="00FE1014" w:rsidRDefault="00FE1014" w:rsidP="00FE1014">
      <w:pPr>
        <w:pStyle w:val="a6"/>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a6"/>
        <w:numPr>
          <w:ilvl w:val="0"/>
          <w:numId w:val="2"/>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AD051AB" w14:textId="6530BA71" w:rsidR="00FE1014" w:rsidRPr="00FE1014" w:rsidRDefault="00FE1014" w:rsidP="00FE1014">
      <w:pPr>
        <w:pStyle w:val="a6"/>
        <w:numPr>
          <w:ilvl w:val="0"/>
          <w:numId w:val="2"/>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5A84C" w14:textId="77777777" w:rsidR="00CD630D" w:rsidRDefault="00CD630D" w:rsidP="00D55E99">
      <w:r>
        <w:separator/>
      </w:r>
    </w:p>
  </w:endnote>
  <w:endnote w:type="continuationSeparator" w:id="0">
    <w:p w14:paraId="64B2D3BB" w14:textId="77777777" w:rsidR="00CD630D" w:rsidRDefault="00CD630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0954" w14:textId="77777777" w:rsidR="00CD630D" w:rsidRDefault="00CD630D" w:rsidP="00D55E99">
      <w:r>
        <w:separator/>
      </w:r>
    </w:p>
  </w:footnote>
  <w:footnote w:type="continuationSeparator" w:id="0">
    <w:p w14:paraId="65648259" w14:textId="77777777" w:rsidR="00CD630D" w:rsidRDefault="00CD630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2AC"/>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F0BFE"/>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AFA8-0EF5-4DA5-8322-C4EEAB24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2578</Words>
  <Characters>14699</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Huawei</cp:lastModifiedBy>
  <cp:revision>3</cp:revision>
  <dcterms:created xsi:type="dcterms:W3CDTF">2022-10-11T04:01:00Z</dcterms:created>
  <dcterms:modified xsi:type="dcterms:W3CDTF">2022-10-11T04:08:00Z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