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680"/>
          <w:tab w:val="right" w:pos="13892"/>
        </w:tabs>
        <w:autoSpaceDE w:val="0"/>
        <w:autoSpaceDN w:val="0"/>
        <w:adjustRightInd w:val="0"/>
        <w:snapToGrid w:val="0"/>
        <w:spacing w:after="120" w:line="259" w:lineRule="auto"/>
        <w:rPr>
          <w:rFonts w:ascii="Arial" w:hAnsi="Arial" w:eastAsia="宋体" w:cs="Arial"/>
          <w:b/>
          <w:bCs/>
          <w:sz w:val="22"/>
          <w:szCs w:val="22"/>
          <w:lang w:val="de-DE" w:eastAsia="en-US"/>
        </w:rPr>
      </w:pPr>
      <w:r>
        <w:rPr>
          <w:rFonts w:ascii="Arial" w:hAnsi="Arial" w:eastAsia="宋体" w:cs="Arial"/>
          <w:b/>
          <w:bCs/>
          <w:sz w:val="22"/>
          <w:szCs w:val="22"/>
          <w:lang w:val="de-DE" w:eastAsia="en-US"/>
        </w:rPr>
        <w:t>3GPP TSG RAN WG1#110bis-e</w:t>
      </w:r>
      <w:r>
        <w:rPr>
          <w:rFonts w:ascii="Arial" w:hAnsi="Arial" w:eastAsia="宋体" w:cs="Arial"/>
          <w:b/>
          <w:bCs/>
          <w:sz w:val="22"/>
          <w:szCs w:val="22"/>
          <w:lang w:val="de-DE" w:eastAsia="en-US"/>
        </w:rPr>
        <w:tab/>
      </w:r>
      <w:r>
        <w:rPr>
          <w:rFonts w:ascii="Arial" w:hAnsi="Arial" w:eastAsia="宋体" w:cs="Arial"/>
          <w:b/>
          <w:bCs/>
          <w:sz w:val="22"/>
          <w:szCs w:val="22"/>
          <w:lang w:val="de-DE" w:eastAsia="zh-CN"/>
        </w:rPr>
        <w:tab/>
      </w:r>
      <w:r>
        <w:rPr>
          <w:rFonts w:ascii="Arial" w:hAnsi="Arial" w:eastAsia="宋体" w:cs="Arial"/>
          <w:b/>
          <w:bCs/>
          <w:sz w:val="22"/>
          <w:szCs w:val="22"/>
          <w:lang w:val="de-DE" w:eastAsia="en-US"/>
        </w:rPr>
        <w:t>R1-22xxxxx</w:t>
      </w:r>
    </w:p>
    <w:p>
      <w:pPr>
        <w:widowControl w:val="0"/>
        <w:tabs>
          <w:tab w:val="center" w:pos="4680"/>
          <w:tab w:val="right" w:pos="9360"/>
        </w:tabs>
        <w:autoSpaceDE w:val="0"/>
        <w:autoSpaceDN w:val="0"/>
        <w:adjustRightInd w:val="0"/>
        <w:snapToGrid w:val="0"/>
        <w:spacing w:after="120" w:line="259" w:lineRule="auto"/>
        <w:rPr>
          <w:rFonts w:ascii="Arial" w:hAnsi="Arial" w:eastAsia="宋体" w:cs="Arial"/>
          <w:b/>
          <w:bCs/>
          <w:sz w:val="22"/>
          <w:szCs w:val="22"/>
          <w:lang w:val="en-GB" w:eastAsia="en-US"/>
        </w:rPr>
      </w:pPr>
      <w:bookmarkStart w:id="0" w:name="_Hlk111652075"/>
      <w:r>
        <w:rPr>
          <w:rFonts w:ascii="Arial" w:hAnsi="Arial" w:eastAsia="宋体" w:cs="Arial"/>
          <w:b/>
          <w:bCs/>
          <w:sz w:val="22"/>
          <w:szCs w:val="22"/>
          <w:lang w:val="en-GB" w:eastAsia="en-US"/>
        </w:rPr>
        <w:t>e-Meeting, October  10th – 19th, 2022</w:t>
      </w:r>
    </w:p>
    <w:bookmarkEnd w:id="0"/>
    <w:p>
      <w:pPr>
        <w:pBdr>
          <w:top w:val="single" w:color="auto" w:sz="4" w:space="2"/>
        </w:pBdr>
        <w:autoSpaceDE w:val="0"/>
        <w:autoSpaceDN w:val="0"/>
        <w:adjustRightInd w:val="0"/>
        <w:snapToGrid w:val="0"/>
        <w:spacing w:line="259" w:lineRule="auto"/>
        <w:rPr>
          <w:rFonts w:ascii="Arial" w:hAnsi="Arial" w:eastAsia="宋体" w:cs="Arial"/>
          <w:b/>
          <w:kern w:val="2"/>
          <w:szCs w:val="22"/>
          <w:highlight w:val="yellow"/>
          <w:lang w:val="en-GB" w:eastAsia="zh-CN"/>
        </w:rPr>
      </w:pP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Agenda Item:</w:t>
      </w:r>
      <w:r>
        <w:rPr>
          <w:rFonts w:ascii="Arial" w:hAnsi="Arial" w:eastAsia="宋体" w:cs="Arial"/>
          <w:b/>
          <w:bCs/>
          <w:sz w:val="22"/>
          <w:szCs w:val="20"/>
          <w:lang w:val="en-GB" w:eastAsia="zh-CN"/>
        </w:rPr>
        <w:tab/>
      </w:r>
      <w:r>
        <w:rPr>
          <w:rFonts w:ascii="Arial" w:hAnsi="Arial" w:eastAsia="宋体" w:cs="Arial"/>
          <w:b/>
          <w:bCs/>
          <w:sz w:val="22"/>
          <w:szCs w:val="20"/>
          <w:lang w:val="en-GB" w:eastAsia="zh-CN"/>
        </w:rPr>
        <w:t>8.2</w:t>
      </w: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Source:</w:t>
      </w:r>
      <w:r>
        <w:rPr>
          <w:rFonts w:ascii="Arial" w:hAnsi="Arial" w:eastAsia="宋体" w:cs="Arial"/>
          <w:b/>
          <w:bCs/>
          <w:sz w:val="22"/>
          <w:szCs w:val="20"/>
          <w:lang w:val="en-GB" w:eastAsia="zh-CN"/>
        </w:rPr>
        <w:tab/>
      </w:r>
      <w:r>
        <w:rPr>
          <w:rFonts w:ascii="Arial" w:hAnsi="Arial" w:eastAsia="宋体" w:cs="Arial"/>
          <w:b/>
          <w:bCs/>
          <w:sz w:val="22"/>
          <w:szCs w:val="20"/>
          <w:lang w:val="en-GB" w:eastAsia="zh-CN"/>
        </w:rPr>
        <w:t>Qualcomm Incorporated (Moderator)</w:t>
      </w: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Title:</w:t>
      </w:r>
      <w:r>
        <w:rPr>
          <w:rFonts w:ascii="Arial" w:hAnsi="Arial" w:eastAsia="宋体" w:cs="Arial"/>
          <w:b/>
          <w:bCs/>
          <w:sz w:val="22"/>
          <w:szCs w:val="20"/>
          <w:lang w:val="en-GB" w:eastAsia="zh-CN"/>
        </w:rPr>
        <w:tab/>
      </w:r>
      <w:r>
        <w:rPr>
          <w:rFonts w:ascii="Arial" w:hAnsi="Arial" w:eastAsia="宋体" w:cs="Arial"/>
          <w:b/>
          <w:bCs/>
          <w:sz w:val="22"/>
          <w:szCs w:val="20"/>
          <w:lang w:val="en-GB" w:eastAsia="zh-CN"/>
        </w:rPr>
        <w:t>Draft FL Summary Maintenance of Channel Access Mechanisms for NR in 52.6 to 71GHz band</w:t>
      </w:r>
    </w:p>
    <w:p>
      <w:pPr>
        <w:tabs>
          <w:tab w:val="left" w:pos="1985"/>
        </w:tabs>
        <w:overflowPunct w:val="0"/>
        <w:autoSpaceDE w:val="0"/>
        <w:autoSpaceDN w:val="0"/>
        <w:adjustRightInd w:val="0"/>
        <w:spacing w:after="120" w:line="259" w:lineRule="auto"/>
        <w:ind w:left="1985" w:hanging="1985"/>
        <w:textAlignment w:val="baseline"/>
        <w:rPr>
          <w:rFonts w:ascii="Arial" w:hAnsi="Arial" w:eastAsia="宋体" w:cs="Arial"/>
          <w:b/>
          <w:bCs/>
          <w:sz w:val="22"/>
          <w:szCs w:val="20"/>
          <w:lang w:val="en-GB" w:eastAsia="zh-CN"/>
        </w:rPr>
      </w:pPr>
      <w:r>
        <w:rPr>
          <w:rFonts w:ascii="Arial" w:hAnsi="Arial" w:eastAsia="宋体" w:cs="Arial"/>
          <w:b/>
          <w:bCs/>
          <w:sz w:val="22"/>
          <w:szCs w:val="20"/>
          <w:lang w:val="en-GB" w:eastAsia="zh-CN"/>
        </w:rPr>
        <w:t>Document for:</w:t>
      </w:r>
      <w:r>
        <w:rPr>
          <w:rFonts w:ascii="Arial" w:hAnsi="Arial" w:eastAsia="宋体" w:cs="Arial"/>
          <w:b/>
          <w:bCs/>
          <w:sz w:val="22"/>
          <w:szCs w:val="20"/>
          <w:lang w:val="en-GB" w:eastAsia="zh-CN"/>
        </w:rPr>
        <w:tab/>
      </w:r>
      <w:r>
        <w:rPr>
          <w:rFonts w:ascii="Arial" w:hAnsi="Arial" w:eastAsia="宋体" w:cs="Arial"/>
          <w:b/>
          <w:bCs/>
          <w:sz w:val="22"/>
          <w:szCs w:val="20"/>
          <w:lang w:val="en-GB" w:eastAsia="zh-CN"/>
        </w:rPr>
        <w:t>Discussion, Decision</w:t>
      </w:r>
    </w:p>
    <w:p>
      <w:pPr>
        <w:ind w:left="360" w:hanging="360"/>
      </w:pPr>
    </w:p>
    <w:p>
      <w:pPr>
        <w:pStyle w:val="3"/>
        <w:numPr>
          <w:ilvl w:val="0"/>
          <w:numId w:val="33"/>
        </w:numPr>
        <w:rPr>
          <w:rFonts w:ascii="Arial" w:hAnsi="Arial" w:cs="Arial"/>
        </w:rPr>
      </w:pPr>
      <w:r>
        <w:rPr>
          <w:rFonts w:ascii="Arial" w:hAnsi="Arial" w:cs="Arial"/>
        </w:rPr>
        <w:t>Issues for Channel Access Aspects</w:t>
      </w:r>
    </w:p>
    <w:p>
      <w:pPr>
        <w:spacing w:after="160" w:line="259" w:lineRule="auto"/>
        <w:jc w:val="center"/>
        <w:rPr>
          <w:b/>
          <w:bCs/>
          <w:kern w:val="2"/>
        </w:rPr>
      </w:pPr>
      <w:r>
        <w:rPr>
          <w:b/>
        </w:rPr>
        <w:t>Table 1 – Identified issues for Channel Access Aspects</w:t>
      </w:r>
    </w:p>
    <w:tbl>
      <w:tblPr>
        <w:tblStyle w:val="60"/>
        <w:tblW w:w="48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8"/>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45" w:type="pct"/>
            <w:shd w:val="clear" w:color="auto" w:fill="BEBEBE" w:themeFill="background1" w:themeFillShade="BF"/>
            <w:vAlign w:val="center"/>
          </w:tcPr>
          <w:p>
            <w:pPr>
              <w:snapToGrid w:val="0"/>
              <w:rPr>
                <w:b/>
                <w:sz w:val="22"/>
                <w:szCs w:val="22"/>
              </w:rPr>
            </w:pPr>
            <w:r>
              <w:rPr>
                <w:b/>
                <w:sz w:val="22"/>
                <w:szCs w:val="22"/>
              </w:rPr>
              <w:t>Issue#</w:t>
            </w:r>
          </w:p>
        </w:tc>
        <w:tc>
          <w:tcPr>
            <w:tcW w:w="1469" w:type="pct"/>
            <w:shd w:val="clear" w:color="auto" w:fill="BEBEBE" w:themeFill="background1" w:themeFillShade="BF"/>
            <w:vAlign w:val="center"/>
          </w:tcPr>
          <w:p>
            <w:pPr>
              <w:snapToGrid w:val="0"/>
              <w:rPr>
                <w:b/>
                <w:sz w:val="22"/>
                <w:szCs w:val="22"/>
              </w:rPr>
            </w:pPr>
            <w:r>
              <w:rPr>
                <w:b/>
                <w:sz w:val="22"/>
                <w:szCs w:val="22"/>
              </w:rPr>
              <w:t>Issue</w:t>
            </w:r>
          </w:p>
        </w:tc>
        <w:tc>
          <w:tcPr>
            <w:tcW w:w="3086" w:type="pct"/>
            <w:shd w:val="clear" w:color="auto" w:fill="BEBEBE" w:themeFill="background1" w:themeFillShade="BF"/>
            <w:vAlign w:val="center"/>
          </w:tcPr>
          <w:p>
            <w:pPr>
              <w:snapToGrid w:val="0"/>
              <w:rPr>
                <w:b/>
                <w:sz w:val="22"/>
                <w:szCs w:val="22"/>
              </w:rPr>
            </w:pPr>
            <w:r>
              <w:rPr>
                <w:b/>
                <w:sz w:val="22"/>
                <w:szCs w:val="22"/>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snapToGrid w:val="0"/>
              <w:rPr>
                <w:sz w:val="22"/>
                <w:szCs w:val="22"/>
              </w:rPr>
            </w:pPr>
            <w:r>
              <w:rPr>
                <w:sz w:val="22"/>
                <w:szCs w:val="22"/>
              </w:rPr>
              <w:t xml:space="preserve">CA-1 </w:t>
            </w:r>
          </w:p>
        </w:tc>
        <w:tc>
          <w:tcPr>
            <w:tcW w:w="1469" w:type="pct"/>
            <w:vAlign w:val="center"/>
          </w:tcPr>
          <w:p>
            <w:pPr>
              <w:snapToGrid w:val="0"/>
              <w:rPr>
                <w:rFonts w:eastAsia="等线"/>
                <w:color w:val="000000" w:themeColor="text1"/>
                <w:sz w:val="22"/>
                <w:szCs w:val="22"/>
                <w:lang w:eastAsia="zh-CN"/>
                <w14:textFill>
                  <w14:solidFill>
                    <w14:schemeClr w14:val="tx1"/>
                  </w14:solidFill>
                </w14:textFill>
              </w:rPr>
            </w:pPr>
            <w:r>
              <w:rPr>
                <w:rFonts w:eastAsia="等线"/>
                <w:color w:val="000000" w:themeColor="text1"/>
                <w:sz w:val="22"/>
                <w:szCs w:val="22"/>
                <w:lang w:eastAsia="zh-CN"/>
                <w14:textFill>
                  <w14:solidFill>
                    <w14:schemeClr w14:val="tx1"/>
                  </w14:solidFill>
                </w14:textFill>
              </w:rPr>
              <w:t>UL Contention Exempt Short Control Signaling  : Duty Cycle and Enable Disable</w:t>
            </w:r>
          </w:p>
        </w:tc>
        <w:tc>
          <w:tcPr>
            <w:tcW w:w="3086" w:type="pct"/>
            <w:vAlign w:val="center"/>
          </w:tcPr>
          <w:p>
            <w:pPr>
              <w:snapToGrid w:val="0"/>
              <w:rPr>
                <w:rFonts w:eastAsia="Batang"/>
                <w:snapToGrid w:val="0"/>
                <w:kern w:val="2"/>
                <w:sz w:val="22"/>
                <w:szCs w:val="22"/>
              </w:rPr>
            </w:pPr>
            <w:r>
              <w:rPr>
                <w:rFonts w:eastAsia="Batang"/>
                <w:snapToGrid w:val="0"/>
                <w:kern w:val="2"/>
                <w:sz w:val="22"/>
                <w:szCs w:val="22"/>
              </w:rPr>
              <w:t>Nokia, Nokia Shanghai Bell[R1-2210055]</w:t>
            </w:r>
          </w:p>
          <w:p>
            <w:pPr>
              <w:snapToGrid w:val="0"/>
              <w:rPr>
                <w:rFonts w:eastAsia="Batang"/>
                <w:snapToGrid w:val="0"/>
                <w:kern w:val="2"/>
                <w:sz w:val="22"/>
                <w:szCs w:val="22"/>
              </w:rPr>
            </w:pPr>
            <w:r>
              <w:rPr>
                <w:rFonts w:eastAsia="Batang"/>
                <w:snapToGrid w:val="0"/>
                <w:kern w:val="2"/>
                <w:sz w:val="22"/>
                <w:szCs w:val="22"/>
              </w:rPr>
              <w:t>Intel Corporation[R1-2209032]</w:t>
            </w:r>
          </w:p>
          <w:p>
            <w:pPr>
              <w:snapToGrid w:val="0"/>
              <w:rPr>
                <w:color w:val="000000"/>
                <w:sz w:val="22"/>
                <w:szCs w:val="22"/>
              </w:rPr>
            </w:pPr>
            <w:r>
              <w:rPr>
                <w:color w:val="000000"/>
                <w:sz w:val="22"/>
                <w:szCs w:val="22"/>
              </w:rPr>
              <w:t>Qualcomm Incorporated[R1-2209940]</w:t>
            </w:r>
          </w:p>
          <w:p>
            <w:pPr>
              <w:snapToGrid w:val="0"/>
              <w:rPr>
                <w:ins w:id="0" w:author="ZTE" w:date="2022-10-10T23:21:51Z"/>
                <w:sz w:val="22"/>
                <w:szCs w:val="22"/>
              </w:rPr>
            </w:pPr>
            <w:r>
              <w:rPr>
                <w:color w:val="000000"/>
                <w:sz w:val="22"/>
                <w:szCs w:val="22"/>
              </w:rPr>
              <w:t>Oppo[</w:t>
            </w:r>
            <w:r>
              <w:rPr>
                <w:sz w:val="22"/>
                <w:szCs w:val="22"/>
              </w:rPr>
              <w:t>R1-2208827][R1-2208826]</w:t>
            </w:r>
          </w:p>
          <w:p>
            <w:pPr>
              <w:snapToGrid w:val="0"/>
              <w:rPr>
                <w:sz w:val="22"/>
                <w:szCs w:val="22"/>
              </w:rPr>
            </w:pPr>
            <w:ins w:id="1" w:author="ZTE" w:date="2022-10-10T23:21:59Z">
              <w:r>
                <w:rPr>
                  <w:rFonts w:eastAsia="Times New Roman"/>
                  <w:color w:val="000000"/>
                  <w:sz w:val="22"/>
                  <w:szCs w:val="22"/>
                </w:rPr>
                <w:t>ZTE, Sanechips[R1-220870</w:t>
              </w:r>
            </w:ins>
            <w:ins w:id="2" w:author="ZTE" w:date="2022-10-10T23:22:17Z">
              <w:r>
                <w:rPr>
                  <w:rFonts w:hint="eastAsia" w:eastAsia="宋体"/>
                  <w:color w:val="000000"/>
                  <w:sz w:val="22"/>
                  <w:szCs w:val="22"/>
                  <w:lang w:val="en-US" w:eastAsia="zh-CN"/>
                </w:rPr>
                <w:t>5</w:t>
              </w:r>
            </w:ins>
            <w:ins w:id="3" w:author="ZTE" w:date="2022-10-10T23:21:59Z">
              <w:r>
                <w:rPr>
                  <w:rFonts w:eastAsia="Times New Roman"/>
                  <w:color w:val="000000"/>
                  <w:sz w:val="22"/>
                  <w:szCs w:val="22"/>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snapToGrid w:val="0"/>
              <w:rPr>
                <w:sz w:val="22"/>
                <w:szCs w:val="22"/>
              </w:rPr>
            </w:pPr>
            <w:r>
              <w:rPr>
                <w:sz w:val="22"/>
                <w:szCs w:val="22"/>
              </w:rPr>
              <w:t>CA-2</w:t>
            </w:r>
          </w:p>
        </w:tc>
        <w:tc>
          <w:tcPr>
            <w:tcW w:w="1469" w:type="pct"/>
            <w:vAlign w:val="center"/>
          </w:tcPr>
          <w:p>
            <w:pPr>
              <w:snapToGrid w:val="0"/>
              <w:rPr>
                <w:rFonts w:eastAsia="等线"/>
                <w:color w:val="000000" w:themeColor="text1"/>
                <w:sz w:val="22"/>
                <w:szCs w:val="22"/>
                <w:lang w:eastAsia="zh-CN"/>
                <w14:textFill>
                  <w14:solidFill>
                    <w14:schemeClr w14:val="tx1"/>
                  </w14:solidFill>
                </w14:textFill>
              </w:rPr>
            </w:pPr>
            <w:r>
              <w:rPr>
                <w:rFonts w:eastAsia="等线"/>
                <w:color w:val="000000" w:themeColor="text1"/>
                <w:sz w:val="22"/>
                <w:szCs w:val="22"/>
                <w:lang w:eastAsia="zh-CN"/>
                <w14:textFill>
                  <w14:solidFill>
                    <w14:schemeClr w14:val="tx1"/>
                  </w14:solidFill>
                </w14:textFill>
              </w:rPr>
              <w:t>ChannelAccess-CPExt field Indication within RAR UL Grant</w:t>
            </w:r>
          </w:p>
        </w:tc>
        <w:tc>
          <w:tcPr>
            <w:tcW w:w="3086" w:type="pct"/>
            <w:vAlign w:val="center"/>
          </w:tcPr>
          <w:p>
            <w:pPr>
              <w:snapToGrid w:val="0"/>
              <w:rPr>
                <w:rFonts w:eastAsia="Times New Roman"/>
                <w:color w:val="000000"/>
                <w:sz w:val="22"/>
                <w:szCs w:val="22"/>
              </w:rPr>
            </w:pPr>
            <w:r>
              <w:rPr>
                <w:rFonts w:eastAsia="Times New Roman"/>
                <w:color w:val="000000"/>
                <w:sz w:val="22"/>
                <w:szCs w:val="22"/>
              </w:rPr>
              <w:t>NTT DOCOMO, INC.[R1-2210168]</w:t>
            </w:r>
          </w:p>
          <w:p>
            <w:pPr>
              <w:snapToGrid w:val="0"/>
              <w:rPr>
                <w:rFonts w:eastAsia="Times New Roman"/>
                <w:color w:val="000000"/>
                <w:sz w:val="22"/>
                <w:szCs w:val="22"/>
              </w:rPr>
            </w:pPr>
            <w:r>
              <w:rPr>
                <w:rFonts w:eastAsia="Times New Roman"/>
                <w:color w:val="000000"/>
                <w:sz w:val="22"/>
                <w:szCs w:val="22"/>
              </w:rPr>
              <w:t xml:space="preserve">Huawei, HiSilicon[R1-2208477] </w:t>
            </w:r>
          </w:p>
          <w:p>
            <w:pPr>
              <w:snapToGrid w:val="0"/>
              <w:rPr>
                <w:rFonts w:eastAsia="Times New Roman"/>
                <w:color w:val="000000"/>
                <w:sz w:val="22"/>
                <w:szCs w:val="22"/>
              </w:rPr>
            </w:pPr>
            <w:r>
              <w:rPr>
                <w:rFonts w:eastAsia="Times New Roman"/>
                <w:color w:val="000000"/>
                <w:sz w:val="22"/>
                <w:szCs w:val="22"/>
              </w:rPr>
              <w:t>vivo[R1-2208594]</w:t>
            </w:r>
          </w:p>
          <w:p>
            <w:pPr>
              <w:snapToGrid w:val="0"/>
              <w:rPr>
                <w:rFonts w:eastAsia="Times New Roman"/>
                <w:color w:val="000000"/>
                <w:sz w:val="22"/>
                <w:szCs w:val="22"/>
              </w:rPr>
            </w:pPr>
            <w:r>
              <w:rPr>
                <w:rFonts w:eastAsia="Times New Roman"/>
                <w:color w:val="000000"/>
                <w:sz w:val="22"/>
                <w:szCs w:val="22"/>
              </w:rPr>
              <w:t>ZTE, Sanechips[R1-2208704]</w:t>
            </w:r>
          </w:p>
          <w:p>
            <w:pPr>
              <w:snapToGrid w:val="0"/>
              <w:rPr>
                <w:rFonts w:eastAsia="Times New Roman"/>
                <w:color w:val="000000"/>
                <w:sz w:val="22"/>
                <w:szCs w:val="22"/>
              </w:rPr>
            </w:pPr>
            <w:r>
              <w:rPr>
                <w:rFonts w:eastAsia="Times New Roman"/>
                <w:color w:val="000000"/>
                <w:sz w:val="22"/>
                <w:szCs w:val="22"/>
              </w:rPr>
              <w:t>xiaomi[R1-2209250]</w:t>
            </w:r>
          </w:p>
          <w:p>
            <w:pPr>
              <w:snapToGrid w:val="0"/>
              <w:rPr>
                <w:rFonts w:eastAsia="Times New Roman"/>
                <w:color w:val="000000"/>
                <w:sz w:val="22"/>
                <w:szCs w:val="22"/>
              </w:rPr>
            </w:pPr>
            <w:r>
              <w:rPr>
                <w:rFonts w:eastAsia="Times New Roman"/>
                <w:color w:val="000000"/>
                <w:sz w:val="22"/>
                <w:szCs w:val="22"/>
              </w:rPr>
              <w:t>LG Electronics[R1-2209447]</w:t>
            </w:r>
          </w:p>
          <w:p>
            <w:pPr>
              <w:snapToGrid w:val="0"/>
              <w:rPr>
                <w:rFonts w:eastAsia="Times New Roman"/>
                <w:color w:val="000000"/>
                <w:sz w:val="22"/>
                <w:szCs w:val="22"/>
              </w:rPr>
            </w:pPr>
            <w:r>
              <w:rPr>
                <w:rFonts w:eastAsia="Times New Roman"/>
                <w:color w:val="000000"/>
                <w:sz w:val="22"/>
                <w:szCs w:val="22"/>
              </w:rPr>
              <w:t>Samsung[R1-2209692]</w:t>
            </w:r>
          </w:p>
          <w:p>
            <w:pPr>
              <w:snapToGrid w:val="0"/>
              <w:rPr>
                <w:rFonts w:eastAsia="Times New Roman"/>
                <w:color w:val="000000"/>
                <w:sz w:val="22"/>
                <w:szCs w:val="22"/>
              </w:rPr>
            </w:pPr>
            <w:r>
              <w:rPr>
                <w:rFonts w:eastAsia="Times New Roman"/>
                <w:color w:val="000000"/>
                <w:sz w:val="22"/>
                <w:szCs w:val="22"/>
              </w:rPr>
              <w:t>Qualcomm Incorporated[R1-2209941]</w:t>
            </w:r>
          </w:p>
          <w:p>
            <w:pPr>
              <w:snapToGrid w:val="0"/>
              <w:rPr>
                <w:sz w:val="22"/>
                <w:szCs w:val="22"/>
              </w:rPr>
            </w:pPr>
            <w:r>
              <w:rPr>
                <w:sz w:val="22"/>
                <w:szCs w:val="22"/>
              </w:rPr>
              <w:t>Nokia, Nokia Shanghai Bell [R1-2209432]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snapToGrid w:val="0"/>
              <w:rPr>
                <w:sz w:val="22"/>
                <w:szCs w:val="22"/>
              </w:rPr>
            </w:pPr>
            <w:r>
              <w:rPr>
                <w:sz w:val="22"/>
                <w:szCs w:val="22"/>
              </w:rPr>
              <w:t>CA-3</w:t>
            </w:r>
          </w:p>
        </w:tc>
        <w:tc>
          <w:tcPr>
            <w:tcW w:w="1469" w:type="pct"/>
            <w:vAlign w:val="center"/>
          </w:tcPr>
          <w:p>
            <w:pPr>
              <w:snapToGrid w:val="0"/>
              <w:rPr>
                <w:rFonts w:eastAsia="等线"/>
                <w:color w:val="000000" w:themeColor="text1"/>
                <w:sz w:val="22"/>
                <w:szCs w:val="22"/>
                <w:lang w:eastAsia="zh-CN"/>
                <w14:textFill>
                  <w14:solidFill>
                    <w14:schemeClr w14:val="tx1"/>
                  </w14:solidFill>
                </w14:textFill>
              </w:rPr>
            </w:pPr>
            <w:r>
              <w:rPr>
                <w:rFonts w:eastAsia="等线"/>
                <w:color w:val="000000" w:themeColor="text1"/>
                <w:sz w:val="22"/>
                <w:szCs w:val="22"/>
                <w:lang w:eastAsia="zh-CN"/>
                <w14:textFill>
                  <w14:solidFill>
                    <w14:schemeClr w14:val="tx1"/>
                  </w14:solidFill>
                </w14:textFill>
              </w:rPr>
              <w:t>LBT Upgrade in COT Sharing and COT Resumption after a gap</w:t>
            </w:r>
          </w:p>
        </w:tc>
        <w:tc>
          <w:tcPr>
            <w:tcW w:w="3086" w:type="pct"/>
            <w:vAlign w:val="center"/>
          </w:tcPr>
          <w:p>
            <w:pPr>
              <w:snapToGrid w:val="0"/>
              <w:rPr>
                <w:rFonts w:eastAsia="Times New Roman"/>
                <w:color w:val="000000"/>
                <w:sz w:val="22"/>
                <w:szCs w:val="22"/>
              </w:rPr>
            </w:pPr>
            <w:r>
              <w:rPr>
                <w:rFonts w:eastAsia="Times New Roman"/>
                <w:color w:val="000000"/>
                <w:sz w:val="22"/>
                <w:szCs w:val="22"/>
              </w:rPr>
              <w:t>WILUS Inc.[R1-2210137]</w:t>
            </w:r>
          </w:p>
          <w:p>
            <w:pPr>
              <w:snapToGrid w:val="0"/>
              <w:rPr>
                <w:rFonts w:eastAsia="Times New Roman"/>
                <w:color w:val="000000"/>
                <w:sz w:val="22"/>
                <w:szCs w:val="22"/>
              </w:rPr>
            </w:pPr>
            <w:r>
              <w:rPr>
                <w:rFonts w:eastAsia="Times New Roman"/>
                <w:color w:val="000000"/>
                <w:sz w:val="22"/>
                <w:szCs w:val="22"/>
              </w:rPr>
              <w:t>CATT[R1-2208935][R1-2208934]</w:t>
            </w:r>
          </w:p>
          <w:p>
            <w:pPr>
              <w:snapToGrid w:val="0"/>
              <w:rPr>
                <w:rFonts w:eastAsia="Times New Roman"/>
                <w:color w:val="000000"/>
                <w:sz w:val="22"/>
                <w:szCs w:val="22"/>
              </w:rPr>
            </w:pPr>
            <w:r>
              <w:rPr>
                <w:rFonts w:eastAsia="Times New Roman"/>
                <w:color w:val="000000"/>
                <w:sz w:val="22"/>
                <w:szCs w:val="22"/>
              </w:rPr>
              <w:t>Qualcomm Incorporated[R1-2209940]</w:t>
            </w:r>
          </w:p>
          <w:p>
            <w:pPr>
              <w:snapToGrid w:val="0"/>
              <w:rPr>
                <w:sz w:val="22"/>
                <w:szCs w:val="22"/>
              </w:rPr>
            </w:pPr>
            <w:r>
              <w:rPr>
                <w:rFonts w:eastAsia="Batang"/>
                <w:snapToGrid w:val="0"/>
                <w:kern w:val="2"/>
                <w:sz w:val="22"/>
                <w:szCs w:val="22"/>
              </w:rPr>
              <w:t xml:space="preserve">Nokia, Nokia Shanghai Bell[R1-2210053]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snapToGrid w:val="0"/>
              <w:rPr>
                <w:sz w:val="22"/>
                <w:szCs w:val="22"/>
              </w:rPr>
            </w:pPr>
            <w:r>
              <w:rPr>
                <w:sz w:val="22"/>
                <w:szCs w:val="22"/>
              </w:rPr>
              <w:t>CA-4</w:t>
            </w:r>
          </w:p>
        </w:tc>
        <w:tc>
          <w:tcPr>
            <w:tcW w:w="1469" w:type="pct"/>
            <w:vAlign w:val="center"/>
          </w:tcPr>
          <w:p>
            <w:pPr>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Multi-Beam Channel Access : Independent per beam sensing procedure</w:t>
            </w:r>
          </w:p>
        </w:tc>
        <w:tc>
          <w:tcPr>
            <w:tcW w:w="3086" w:type="pct"/>
            <w:vAlign w:val="center"/>
          </w:tcPr>
          <w:p>
            <w:pPr>
              <w:snapToGrid w:val="0"/>
              <w:rPr>
                <w:rFonts w:eastAsia="Batang"/>
                <w:snapToGrid w:val="0"/>
                <w:kern w:val="2"/>
                <w:sz w:val="22"/>
                <w:szCs w:val="22"/>
              </w:rPr>
            </w:pPr>
            <w:r>
              <w:rPr>
                <w:rFonts w:eastAsia="Batang"/>
                <w:snapToGrid w:val="0"/>
                <w:kern w:val="2"/>
                <w:sz w:val="22"/>
                <w:szCs w:val="22"/>
              </w:rPr>
              <w:t>Huawei, HiSilicon[R1-2208476]</w:t>
            </w:r>
          </w:p>
          <w:p>
            <w:pPr>
              <w:snapToGrid w:val="0"/>
              <w:rPr>
                <w:rFonts w:eastAsia="Batang"/>
                <w:snapToGrid w:val="0"/>
                <w:kern w:val="2"/>
                <w:sz w:val="22"/>
                <w:szCs w:val="22"/>
              </w:rPr>
            </w:pPr>
            <w:r>
              <w:rPr>
                <w:rFonts w:eastAsia="Batang"/>
                <w:snapToGrid w:val="0"/>
                <w:kern w:val="2"/>
                <w:sz w:val="22"/>
                <w:szCs w:val="22"/>
              </w:rPr>
              <w:t>LG Electronics[R1-2209445]</w:t>
            </w:r>
          </w:p>
          <w:p>
            <w:pPr>
              <w:snapToGrid w:val="0"/>
              <w:rPr>
                <w:rFonts w:eastAsia="Batang"/>
                <w:snapToGrid w:val="0"/>
                <w:kern w:val="2"/>
                <w:sz w:val="22"/>
                <w:szCs w:val="22"/>
              </w:rPr>
            </w:pPr>
            <w:r>
              <w:rPr>
                <w:rFonts w:eastAsia="Batang"/>
                <w:snapToGrid w:val="0"/>
                <w:kern w:val="2"/>
                <w:sz w:val="22"/>
                <w:szCs w:val="22"/>
              </w:rPr>
              <w:t>Samsung[R1-2209693]</w:t>
            </w:r>
          </w:p>
          <w:p>
            <w:pPr>
              <w:snapToGrid w:val="0"/>
              <w:rPr>
                <w:rFonts w:eastAsia="Batang"/>
                <w:snapToGrid w:val="0"/>
                <w:kern w:val="2"/>
                <w:sz w:val="22"/>
                <w:szCs w:val="22"/>
              </w:rPr>
            </w:pPr>
            <w:r>
              <w:rPr>
                <w:rFonts w:eastAsia="Batang"/>
                <w:snapToGrid w:val="0"/>
                <w:kern w:val="2"/>
                <w:sz w:val="22"/>
                <w:szCs w:val="22"/>
              </w:rPr>
              <w:t>Huawei, HiSilicon[R1-2209845]</w:t>
            </w:r>
          </w:p>
          <w:p>
            <w:pPr>
              <w:snapToGrid w:val="0"/>
              <w:rPr>
                <w:rFonts w:eastAsia="Batang"/>
                <w:snapToGrid w:val="0"/>
                <w:kern w:val="2"/>
                <w:sz w:val="22"/>
                <w:szCs w:val="22"/>
              </w:rPr>
            </w:pPr>
            <w:r>
              <w:rPr>
                <w:rFonts w:eastAsia="Batang"/>
                <w:snapToGrid w:val="0"/>
                <w:kern w:val="2"/>
                <w:sz w:val="22"/>
                <w:szCs w:val="22"/>
              </w:rPr>
              <w:t>Qualcomm Incorporated[R1-2209942]</w:t>
            </w:r>
          </w:p>
          <w:p>
            <w:pPr>
              <w:snapToGrid w:val="0"/>
              <w:rPr>
                <w:sz w:val="22"/>
                <w:szCs w:val="22"/>
              </w:rPr>
            </w:pPr>
            <w:r>
              <w:rPr>
                <w:rFonts w:eastAsia="Times New Roman"/>
                <w:color w:val="000000"/>
                <w:sz w:val="22"/>
                <w:szCs w:val="22"/>
              </w:rPr>
              <w:t>Qualcomm Incorporated[R1-2209943]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snapToGrid w:val="0"/>
              <w:rPr>
                <w:sz w:val="22"/>
                <w:szCs w:val="22"/>
              </w:rPr>
            </w:pPr>
            <w:r>
              <w:rPr>
                <w:sz w:val="22"/>
                <w:szCs w:val="22"/>
              </w:rPr>
              <w:t>CA-5</w:t>
            </w:r>
          </w:p>
        </w:tc>
        <w:tc>
          <w:tcPr>
            <w:tcW w:w="1469" w:type="pct"/>
            <w:vAlign w:val="center"/>
          </w:tcPr>
          <w:p>
            <w:pPr>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TCI State for Inter-Frequency RSSI</w:t>
            </w:r>
          </w:p>
        </w:tc>
        <w:tc>
          <w:tcPr>
            <w:tcW w:w="3086" w:type="pct"/>
            <w:vAlign w:val="center"/>
          </w:tcPr>
          <w:p>
            <w:pPr>
              <w:snapToGrid w:val="0"/>
              <w:rPr>
                <w:sz w:val="22"/>
                <w:szCs w:val="22"/>
              </w:rPr>
            </w:pPr>
            <w:r>
              <w:rPr>
                <w:sz w:val="22"/>
                <w:szCs w:val="22"/>
              </w:rPr>
              <w:t>Ericsson [R1-2209183] [R1-2208182]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snapToGrid w:val="0"/>
              <w:rPr>
                <w:sz w:val="22"/>
                <w:szCs w:val="22"/>
              </w:rPr>
            </w:pPr>
            <w:r>
              <w:rPr>
                <w:sz w:val="22"/>
                <w:szCs w:val="22"/>
              </w:rPr>
              <w:t>CA-6</w:t>
            </w:r>
          </w:p>
        </w:tc>
        <w:tc>
          <w:tcPr>
            <w:tcW w:w="1469" w:type="pct"/>
            <w:vAlign w:val="center"/>
          </w:tcPr>
          <w:p>
            <w:pPr>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Sensing Beam for PUCCH or SRS</w:t>
            </w:r>
          </w:p>
        </w:tc>
        <w:tc>
          <w:tcPr>
            <w:tcW w:w="3086" w:type="pct"/>
            <w:vAlign w:val="center"/>
          </w:tcPr>
          <w:p>
            <w:pPr>
              <w:snapToGrid w:val="0"/>
              <w:rPr>
                <w:sz w:val="22"/>
                <w:szCs w:val="22"/>
              </w:rPr>
            </w:pPr>
            <w:r>
              <w:rPr>
                <w:rFonts w:eastAsia="Times New Roman"/>
                <w:color w:val="000000"/>
                <w:sz w:val="22"/>
                <w:szCs w:val="22"/>
              </w:rPr>
              <w:t>NTT DOCOMO, INC.[R1-2209868]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snapToGrid w:val="0"/>
              <w:rPr>
                <w:sz w:val="22"/>
                <w:szCs w:val="22"/>
              </w:rPr>
            </w:pPr>
            <w:r>
              <w:rPr>
                <w:sz w:val="22"/>
                <w:szCs w:val="22"/>
              </w:rPr>
              <w:t>CA-7</w:t>
            </w:r>
          </w:p>
        </w:tc>
        <w:tc>
          <w:tcPr>
            <w:tcW w:w="1469" w:type="pct"/>
            <w:vAlign w:val="center"/>
          </w:tcPr>
          <w:p>
            <w:pPr>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CSIRS Validation when CSI-RS is contention Exempt</w:t>
            </w:r>
          </w:p>
        </w:tc>
        <w:tc>
          <w:tcPr>
            <w:tcW w:w="3086" w:type="pct"/>
            <w:vAlign w:val="center"/>
          </w:tcPr>
          <w:p>
            <w:pPr>
              <w:snapToGrid w:val="0"/>
              <w:rPr>
                <w:sz w:val="22"/>
                <w:szCs w:val="22"/>
              </w:rPr>
            </w:pPr>
            <w:r>
              <w:rPr>
                <w:color w:val="000000"/>
                <w:sz w:val="22"/>
                <w:szCs w:val="22"/>
              </w:rPr>
              <w:t>AsusTek [R1-2207495]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snapToGrid w:val="0"/>
              <w:rPr>
                <w:sz w:val="22"/>
                <w:szCs w:val="22"/>
              </w:rPr>
            </w:pPr>
            <w:r>
              <w:rPr>
                <w:sz w:val="22"/>
                <w:szCs w:val="22"/>
              </w:rPr>
              <w:t>CA-8</w:t>
            </w:r>
          </w:p>
        </w:tc>
        <w:tc>
          <w:tcPr>
            <w:tcW w:w="1469" w:type="pct"/>
            <w:vAlign w:val="center"/>
          </w:tcPr>
          <w:p>
            <w:pPr>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 xml:space="preserve">Failure of Type 2 sensing </w:t>
            </w:r>
          </w:p>
        </w:tc>
        <w:tc>
          <w:tcPr>
            <w:tcW w:w="3086" w:type="pct"/>
            <w:vAlign w:val="center"/>
          </w:tcPr>
          <w:p>
            <w:pPr>
              <w:snapToGrid w:val="0"/>
              <w:rPr>
                <w:sz w:val="22"/>
                <w:szCs w:val="22"/>
              </w:rPr>
            </w:pPr>
            <w:r>
              <w:rPr>
                <w:rFonts w:eastAsia="Times New Roman"/>
                <w:color w:val="000000"/>
                <w:sz w:val="22"/>
                <w:szCs w:val="22"/>
              </w:rPr>
              <w:t>WILUS Inc.[R1-2210136]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snapToGrid w:val="0"/>
              <w:rPr>
                <w:sz w:val="22"/>
                <w:szCs w:val="22"/>
              </w:rPr>
            </w:pPr>
            <w:r>
              <w:rPr>
                <w:sz w:val="22"/>
                <w:szCs w:val="22"/>
              </w:rPr>
              <w:t>CA-9</w:t>
            </w:r>
          </w:p>
        </w:tc>
        <w:tc>
          <w:tcPr>
            <w:tcW w:w="1469" w:type="pct"/>
            <w:vAlign w:val="center"/>
          </w:tcPr>
          <w:p>
            <w:pPr>
              <w:snapToGrid w:val="0"/>
              <w:rPr>
                <w:color w:val="000000" w:themeColor="text1"/>
                <w:sz w:val="22"/>
                <w:szCs w:val="22"/>
                <w:lang w:eastAsia="zh-CN"/>
                <w14:textFill>
                  <w14:solidFill>
                    <w14:schemeClr w14:val="tx1"/>
                  </w14:solidFill>
                </w14:textFill>
              </w:rPr>
            </w:pPr>
            <w:r>
              <w:rPr>
                <w:color w:val="000000" w:themeColor="text1"/>
                <w:sz w:val="22"/>
                <w:szCs w:val="22"/>
                <w:lang w:eastAsia="zh-CN"/>
                <w14:textFill>
                  <w14:solidFill>
                    <w14:schemeClr w14:val="tx1"/>
                  </w14:solidFill>
                </w14:textFill>
              </w:rPr>
              <w:t>ED Threshold Editorial</w:t>
            </w:r>
          </w:p>
        </w:tc>
        <w:tc>
          <w:tcPr>
            <w:tcW w:w="3086" w:type="pct"/>
            <w:vAlign w:val="center"/>
          </w:tcPr>
          <w:p>
            <w:pPr>
              <w:snapToGrid w:val="0"/>
              <w:rPr>
                <w:sz w:val="22"/>
                <w:szCs w:val="22"/>
              </w:rPr>
            </w:pPr>
            <w:r>
              <w:rPr>
                <w:rFonts w:eastAsia="Batang"/>
                <w:snapToGrid w:val="0"/>
                <w:kern w:val="2"/>
                <w:sz w:val="22"/>
                <w:szCs w:val="22"/>
              </w:rPr>
              <w:t>Huawei, HiSilicon[R1-2209819]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445" w:type="pct"/>
            <w:vAlign w:val="center"/>
          </w:tcPr>
          <w:p>
            <w:pPr>
              <w:snapToGrid w:val="0"/>
              <w:rPr>
                <w:sz w:val="22"/>
                <w:szCs w:val="22"/>
              </w:rPr>
            </w:pPr>
            <w:r>
              <w:rPr>
                <w:sz w:val="22"/>
                <w:szCs w:val="22"/>
              </w:rPr>
              <w:t>CA-10</w:t>
            </w:r>
          </w:p>
        </w:tc>
        <w:tc>
          <w:tcPr>
            <w:tcW w:w="1469" w:type="pct"/>
            <w:vAlign w:val="center"/>
          </w:tcPr>
          <w:p>
            <w:pPr>
              <w:snapToGrid w:val="0"/>
              <w:rPr>
                <w:color w:val="000000" w:themeColor="text1"/>
                <w:sz w:val="22"/>
                <w:szCs w:val="22"/>
                <w:lang w:eastAsia="zh-CN"/>
                <w14:textFill>
                  <w14:solidFill>
                    <w14:schemeClr w14:val="tx1"/>
                  </w14:solidFill>
                </w14:textFill>
              </w:rPr>
            </w:pPr>
            <w:r>
              <w:rPr>
                <w:iCs/>
                <w:sz w:val="22"/>
                <w:szCs w:val="22"/>
              </w:rPr>
              <w:t>Editorial</w:t>
            </w:r>
            <w:r>
              <w:rPr>
                <w:i/>
                <w:sz w:val="22"/>
                <w:szCs w:val="22"/>
              </w:rPr>
              <w:t>: beamCorrespondenceWithoutUL-BeamSweeping</w:t>
            </w:r>
          </w:p>
        </w:tc>
        <w:tc>
          <w:tcPr>
            <w:tcW w:w="3086" w:type="pct"/>
            <w:vAlign w:val="center"/>
          </w:tcPr>
          <w:p>
            <w:pPr>
              <w:snapToGrid w:val="0"/>
              <w:rPr>
                <w:rFonts w:eastAsia="Batang"/>
                <w:snapToGrid w:val="0"/>
                <w:kern w:val="2"/>
                <w:sz w:val="22"/>
                <w:szCs w:val="22"/>
              </w:rPr>
            </w:pPr>
            <w:r>
              <w:rPr>
                <w:rFonts w:eastAsia="Batang"/>
                <w:snapToGrid w:val="0"/>
                <w:kern w:val="2"/>
                <w:sz w:val="22"/>
                <w:szCs w:val="22"/>
              </w:rPr>
              <w:t>OPPO[R1-2208828]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ins w:id="4" w:author="ZTE" w:date="2022-10-10T23:26:05Z"/>
        </w:trPr>
        <w:tc>
          <w:tcPr>
            <w:tcW w:w="445" w:type="pct"/>
            <w:vAlign w:val="center"/>
          </w:tcPr>
          <w:p>
            <w:pPr>
              <w:snapToGrid w:val="0"/>
              <w:rPr>
                <w:ins w:id="5" w:author="ZTE" w:date="2022-10-10T23:26:05Z"/>
                <w:rFonts w:hint="default" w:eastAsia="宋体"/>
                <w:sz w:val="22"/>
                <w:szCs w:val="22"/>
                <w:lang w:val="en-US" w:eastAsia="zh-CN"/>
              </w:rPr>
            </w:pPr>
            <w:ins w:id="6" w:author="ZTE" w:date="2022-10-10T23:26:08Z">
              <w:r>
                <w:rPr>
                  <w:rFonts w:hint="eastAsia" w:eastAsia="宋体"/>
                  <w:sz w:val="22"/>
                  <w:szCs w:val="22"/>
                  <w:lang w:val="en-US" w:eastAsia="zh-CN"/>
                </w:rPr>
                <w:t>C</w:t>
              </w:r>
            </w:ins>
            <w:ins w:id="7" w:author="ZTE" w:date="2022-10-10T23:26:09Z">
              <w:r>
                <w:rPr>
                  <w:rFonts w:hint="eastAsia" w:eastAsia="宋体"/>
                  <w:sz w:val="22"/>
                  <w:szCs w:val="22"/>
                  <w:lang w:val="en-US" w:eastAsia="zh-CN"/>
                </w:rPr>
                <w:t>A-</w:t>
              </w:r>
            </w:ins>
            <w:ins w:id="8" w:author="ZTE" w:date="2022-10-10T23:26:10Z">
              <w:r>
                <w:rPr>
                  <w:rFonts w:hint="eastAsia" w:eastAsia="宋体"/>
                  <w:sz w:val="22"/>
                  <w:szCs w:val="22"/>
                  <w:lang w:val="en-US" w:eastAsia="zh-CN"/>
                </w:rPr>
                <w:t>11</w:t>
              </w:r>
            </w:ins>
          </w:p>
        </w:tc>
        <w:tc>
          <w:tcPr>
            <w:tcW w:w="1469" w:type="pct"/>
            <w:vAlign w:val="center"/>
          </w:tcPr>
          <w:p>
            <w:pPr>
              <w:snapToGrid w:val="0"/>
              <w:rPr>
                <w:ins w:id="9" w:author="ZTE" w:date="2022-10-10T23:26:29Z"/>
                <w:i/>
                <w:sz w:val="22"/>
                <w:szCs w:val="22"/>
              </w:rPr>
            </w:pPr>
            <w:ins w:id="10" w:author="ZTE" w:date="2022-10-10T23:26:28Z">
              <w:r>
                <w:rPr>
                  <w:iCs/>
                  <w:sz w:val="22"/>
                  <w:szCs w:val="22"/>
                </w:rPr>
                <w:t>Editorial</w:t>
              </w:r>
            </w:ins>
            <w:ins w:id="11" w:author="ZTE" w:date="2022-10-10T23:26:28Z">
              <w:r>
                <w:rPr>
                  <w:i/>
                  <w:sz w:val="22"/>
                  <w:szCs w:val="22"/>
                </w:rPr>
                <w:t xml:space="preserve">: </w:t>
              </w:r>
            </w:ins>
          </w:p>
          <w:p>
            <w:pPr>
              <w:snapToGrid w:val="0"/>
              <w:rPr>
                <w:ins w:id="12" w:author="ZTE" w:date="2022-10-10T23:26:55Z"/>
                <w:i/>
                <w:sz w:val="22"/>
                <w:szCs w:val="22"/>
              </w:rPr>
            </w:pPr>
            <w:ins w:id="13" w:author="ZTE" w:date="2022-10-10T23:26:54Z">
              <w:r>
                <w:rPr>
                  <w:i/>
                  <w:sz w:val="22"/>
                  <w:szCs w:val="22"/>
                </w:rPr>
                <w:t>csi-RS-ValidationWithDCI</w:t>
              </w:r>
            </w:ins>
          </w:p>
          <w:p>
            <w:pPr>
              <w:snapToGrid w:val="0"/>
              <w:rPr>
                <w:ins w:id="14" w:author="ZTE" w:date="2022-10-10T23:26:05Z"/>
                <w:i/>
                <w:sz w:val="22"/>
                <w:szCs w:val="22"/>
              </w:rPr>
            </w:pPr>
            <w:ins w:id="15" w:author="ZTE" w:date="2022-10-10T23:27:16Z">
              <w:r>
                <w:rPr>
                  <w:i/>
                  <w:sz w:val="22"/>
                  <w:szCs w:val="22"/>
                </w:rPr>
                <w:t>CO-Duration</w:t>
              </w:r>
            </w:ins>
            <w:ins w:id="16" w:author="ZTE" w:date="2022-10-10T23:27:16Z">
              <w:r>
                <w:rPr>
                  <w:rFonts w:hint="eastAsia"/>
                  <w:i/>
                  <w:sz w:val="22"/>
                  <w:szCs w:val="22"/>
                  <w:lang w:val="en-US" w:eastAsia="zh-CN"/>
                </w:rPr>
                <w:t>s</w:t>
              </w:r>
            </w:ins>
            <w:ins w:id="17" w:author="ZTE" w:date="2022-10-10T23:27:16Z">
              <w:r>
                <w:rPr>
                  <w:i/>
                  <w:sz w:val="22"/>
                  <w:szCs w:val="22"/>
                </w:rPr>
                <w:t>PerCell-r16</w:t>
              </w:r>
            </w:ins>
          </w:p>
        </w:tc>
        <w:tc>
          <w:tcPr>
            <w:tcW w:w="3086" w:type="pct"/>
            <w:vAlign w:val="center"/>
          </w:tcPr>
          <w:p>
            <w:pPr>
              <w:snapToGrid w:val="0"/>
              <w:rPr>
                <w:ins w:id="18" w:author="ZTE" w:date="2022-10-10T23:27:44Z"/>
                <w:rFonts w:eastAsia="Times New Roman"/>
                <w:color w:val="000000"/>
                <w:sz w:val="22"/>
                <w:szCs w:val="22"/>
              </w:rPr>
            </w:pPr>
            <w:ins w:id="19" w:author="ZTE" w:date="2022-10-10T23:27:32Z">
              <w:r>
                <w:rPr>
                  <w:rFonts w:eastAsia="Times New Roman"/>
                  <w:color w:val="000000"/>
                  <w:sz w:val="22"/>
                  <w:szCs w:val="22"/>
                </w:rPr>
                <w:t>ZTE, Sanechips[R1-220870</w:t>
              </w:r>
            </w:ins>
            <w:ins w:id="20" w:author="ZTE" w:date="2022-10-10T23:27:39Z">
              <w:r>
                <w:rPr>
                  <w:rFonts w:hint="eastAsia" w:eastAsia="宋体"/>
                  <w:color w:val="000000"/>
                  <w:sz w:val="22"/>
                  <w:szCs w:val="22"/>
                  <w:lang w:val="en-US" w:eastAsia="zh-CN"/>
                </w:rPr>
                <w:t>6</w:t>
              </w:r>
            </w:ins>
            <w:ins w:id="21" w:author="ZTE" w:date="2022-10-10T23:27:32Z">
              <w:r>
                <w:rPr>
                  <w:rFonts w:eastAsia="Times New Roman"/>
                  <w:color w:val="000000"/>
                  <w:sz w:val="22"/>
                  <w:szCs w:val="22"/>
                </w:rPr>
                <w:t>]</w:t>
              </w:r>
            </w:ins>
          </w:p>
          <w:p>
            <w:pPr>
              <w:snapToGrid w:val="0"/>
              <w:rPr>
                <w:ins w:id="22" w:author="ZTE" w:date="2022-10-10T23:27:32Z"/>
                <w:rFonts w:eastAsia="Times New Roman"/>
                <w:color w:val="000000"/>
                <w:sz w:val="22"/>
                <w:szCs w:val="22"/>
              </w:rPr>
            </w:pPr>
            <w:ins w:id="23" w:author="ZTE" w:date="2022-10-10T23:27:44Z">
              <w:r>
                <w:rPr>
                  <w:rFonts w:eastAsia="Times New Roman"/>
                  <w:color w:val="000000"/>
                  <w:sz w:val="22"/>
                  <w:szCs w:val="22"/>
                </w:rPr>
                <w:t>ZTE, Sanechips[R1-220870</w:t>
              </w:r>
            </w:ins>
            <w:ins w:id="24" w:author="ZTE" w:date="2022-10-10T23:27:49Z">
              <w:r>
                <w:rPr>
                  <w:rFonts w:hint="eastAsia" w:eastAsia="宋体"/>
                  <w:color w:val="000000"/>
                  <w:sz w:val="22"/>
                  <w:szCs w:val="22"/>
                  <w:lang w:val="en-US" w:eastAsia="zh-CN"/>
                </w:rPr>
                <w:t>7</w:t>
              </w:r>
            </w:ins>
            <w:ins w:id="25" w:author="ZTE" w:date="2022-10-10T23:27:44Z">
              <w:bookmarkStart w:id="1" w:name="_GoBack"/>
              <w:bookmarkEnd w:id="1"/>
              <w:r>
                <w:rPr>
                  <w:rFonts w:eastAsia="Times New Roman"/>
                  <w:color w:val="000000"/>
                  <w:sz w:val="22"/>
                  <w:szCs w:val="22"/>
                </w:rPr>
                <w:t>]</w:t>
              </w:r>
            </w:ins>
          </w:p>
          <w:p>
            <w:pPr>
              <w:snapToGrid w:val="0"/>
              <w:rPr>
                <w:ins w:id="26" w:author="ZTE" w:date="2022-10-10T23:26:05Z"/>
                <w:rFonts w:eastAsia="Batang"/>
                <w:snapToGrid w:val="0"/>
                <w:kern w:val="2"/>
                <w:sz w:val="22"/>
                <w:szCs w:val="22"/>
              </w:rPr>
            </w:pPr>
          </w:p>
        </w:tc>
      </w:tr>
    </w:tbl>
    <w:p>
      <w:pPr>
        <w:snapToGrid w:val="0"/>
        <w:spacing w:after="60" w:line="288" w:lineRule="auto"/>
        <w:jc w:val="both"/>
      </w:pPr>
    </w:p>
    <w:p>
      <w:pPr>
        <w:pStyle w:val="2"/>
        <w:numPr>
          <w:ilvl w:val="0"/>
          <w:numId w:val="0"/>
        </w:numPr>
        <w:spacing w:before="0" w:after="60"/>
        <w:ind w:left="799" w:hanging="799"/>
        <w:jc w:val="both"/>
        <w:rPr>
          <w:sz w:val="24"/>
          <w:szCs w:val="24"/>
          <w:lang w:val="en-US"/>
        </w:rPr>
      </w:pPr>
      <w:r>
        <w:rPr>
          <w:sz w:val="24"/>
          <w:szCs w:val="24"/>
          <w:lang w:val="en-US"/>
        </w:rPr>
        <w:t>References</w:t>
      </w:r>
    </w:p>
    <w:p>
      <w:pPr>
        <w:rPr>
          <w:u w:val="single"/>
        </w:rPr>
      </w:pPr>
      <w:r>
        <w:rPr>
          <w:u w:val="single"/>
        </w:rPr>
        <w:t xml:space="preserve">Contributions related to Channel Access </w:t>
      </w:r>
    </w:p>
    <w:p>
      <w:pPr>
        <w:rPr>
          <w:u w:val="single"/>
        </w:rPr>
      </w:pPr>
    </w:p>
    <w:p>
      <w:pPr>
        <w:pStyle w:val="84"/>
        <w:numPr>
          <w:ilvl w:val="0"/>
          <w:numId w:val="34"/>
        </w:numPr>
        <w:kinsoku w:val="0"/>
        <w:overflowPunct w:val="0"/>
        <w:adjustRightInd w:val="0"/>
        <w:spacing w:after="60" w:line="240" w:lineRule="auto"/>
        <w:contextualSpacing w:val="0"/>
        <w:textAlignment w:val="baseline"/>
      </w:pPr>
      <w:r>
        <w:t>R1-2208463, Remaining issues of channel access mechanism for 60 GHz unlicensed operation, Huawei, HiSilicon</w:t>
      </w:r>
    </w:p>
    <w:p>
      <w:pPr>
        <w:pStyle w:val="84"/>
        <w:numPr>
          <w:ilvl w:val="0"/>
          <w:numId w:val="34"/>
        </w:numPr>
        <w:kinsoku w:val="0"/>
        <w:overflowPunct w:val="0"/>
        <w:adjustRightInd w:val="0"/>
        <w:spacing w:after="60" w:line="240" w:lineRule="auto"/>
        <w:contextualSpacing w:val="0"/>
        <w:textAlignment w:val="baseline"/>
      </w:pPr>
      <w:r>
        <w:t>R1-2208476, Corrections to multi beam channel access in TS37.213, Huawei, HiSilicon</w:t>
      </w:r>
    </w:p>
    <w:p>
      <w:pPr>
        <w:pStyle w:val="84"/>
        <w:numPr>
          <w:ilvl w:val="0"/>
          <w:numId w:val="34"/>
        </w:numPr>
        <w:kinsoku w:val="0"/>
        <w:overflowPunct w:val="0"/>
        <w:adjustRightInd w:val="0"/>
        <w:spacing w:after="60" w:line="240" w:lineRule="auto"/>
        <w:contextualSpacing w:val="0"/>
        <w:textAlignment w:val="baseline"/>
      </w:pPr>
      <w:r>
        <w:t>R1-2208477, Corrections to channel access field in RAR UL grant in FR2-2 in TS38.213, Huawei, HiSilicon</w:t>
      </w:r>
    </w:p>
    <w:p>
      <w:pPr>
        <w:pStyle w:val="84"/>
        <w:numPr>
          <w:ilvl w:val="0"/>
          <w:numId w:val="34"/>
        </w:numPr>
        <w:kinsoku w:val="0"/>
        <w:overflowPunct w:val="0"/>
        <w:adjustRightInd w:val="0"/>
        <w:spacing w:after="60" w:line="240" w:lineRule="auto"/>
        <w:contextualSpacing w:val="0"/>
        <w:textAlignment w:val="baseline"/>
      </w:pPr>
      <w:r>
        <w:t>R1-2208594, Correction on the short control signaling constraint, vivo</w:t>
      </w:r>
    </w:p>
    <w:p>
      <w:pPr>
        <w:pStyle w:val="84"/>
        <w:numPr>
          <w:ilvl w:val="0"/>
          <w:numId w:val="34"/>
        </w:numPr>
        <w:kinsoku w:val="0"/>
        <w:overflowPunct w:val="0"/>
        <w:adjustRightInd w:val="0"/>
        <w:spacing w:after="60" w:line="240" w:lineRule="auto"/>
        <w:contextualSpacing w:val="0"/>
        <w:textAlignment w:val="baseline"/>
      </w:pPr>
      <w:r>
        <w:t>R1-2208595, Correction on the indication of channel access Types, vivo</w:t>
      </w:r>
    </w:p>
    <w:p>
      <w:pPr>
        <w:pStyle w:val="84"/>
        <w:numPr>
          <w:ilvl w:val="0"/>
          <w:numId w:val="34"/>
        </w:numPr>
        <w:kinsoku w:val="0"/>
        <w:overflowPunct w:val="0"/>
        <w:adjustRightInd w:val="0"/>
        <w:spacing w:after="60" w:line="240" w:lineRule="auto"/>
        <w:contextualSpacing w:val="0"/>
        <w:textAlignment w:val="baseline"/>
      </w:pPr>
      <w:r>
        <w:t>R1-2208704, Correction on on ChannelAccess-Cpext in RAR UL Grant in TS 38.213, ZTE, Sanechips</w:t>
      </w:r>
    </w:p>
    <w:p>
      <w:pPr>
        <w:pStyle w:val="84"/>
        <w:numPr>
          <w:ilvl w:val="0"/>
          <w:numId w:val="34"/>
        </w:numPr>
        <w:kinsoku w:val="0"/>
        <w:overflowPunct w:val="0"/>
        <w:adjustRightInd w:val="0"/>
        <w:spacing w:after="60" w:line="240" w:lineRule="auto"/>
        <w:contextualSpacing w:val="0"/>
        <w:textAlignment w:val="baseline"/>
      </w:pPr>
      <w:r>
        <w:t>R1-2208705, Clarification on Contention Exempt Short Control Signalling rules for UL in TS 37.213, ZTE, Sanechips</w:t>
      </w:r>
    </w:p>
    <w:p>
      <w:pPr>
        <w:pStyle w:val="84"/>
        <w:numPr>
          <w:ilvl w:val="0"/>
          <w:numId w:val="34"/>
        </w:numPr>
        <w:kinsoku w:val="0"/>
        <w:overflowPunct w:val="0"/>
        <w:adjustRightInd w:val="0"/>
        <w:spacing w:after="60" w:line="240" w:lineRule="auto"/>
        <w:contextualSpacing w:val="0"/>
        <w:textAlignment w:val="baseline"/>
      </w:pPr>
      <w:r>
        <w:t>R1-2208706, Alignment CR on the parameter names in TS 38.213, ZTE, Sanechips</w:t>
      </w:r>
    </w:p>
    <w:p>
      <w:pPr>
        <w:pStyle w:val="84"/>
        <w:numPr>
          <w:ilvl w:val="0"/>
          <w:numId w:val="34"/>
        </w:numPr>
        <w:kinsoku w:val="0"/>
        <w:overflowPunct w:val="0"/>
        <w:adjustRightInd w:val="0"/>
        <w:spacing w:after="60" w:line="240" w:lineRule="auto"/>
        <w:contextualSpacing w:val="0"/>
        <w:textAlignment w:val="baseline"/>
      </w:pPr>
      <w:r>
        <w:t>R1-2208707, Alignment CR on the parameter names in TS 38.214, ZTE, Sanechips</w:t>
      </w:r>
    </w:p>
    <w:p>
      <w:pPr>
        <w:pStyle w:val="84"/>
        <w:numPr>
          <w:ilvl w:val="0"/>
          <w:numId w:val="34"/>
        </w:numPr>
        <w:kinsoku w:val="0"/>
        <w:overflowPunct w:val="0"/>
        <w:adjustRightInd w:val="0"/>
        <w:spacing w:after="60" w:line="240" w:lineRule="auto"/>
        <w:contextualSpacing w:val="0"/>
        <w:textAlignment w:val="baseline"/>
      </w:pPr>
      <w:r>
        <w:t>R1-2208826, Discussion on remaining issue short control signaling, OPPO</w:t>
      </w:r>
    </w:p>
    <w:p>
      <w:pPr>
        <w:pStyle w:val="84"/>
        <w:numPr>
          <w:ilvl w:val="0"/>
          <w:numId w:val="34"/>
        </w:numPr>
        <w:kinsoku w:val="0"/>
        <w:overflowPunct w:val="0"/>
        <w:adjustRightInd w:val="0"/>
        <w:spacing w:after="60" w:line="240" w:lineRule="auto"/>
        <w:contextualSpacing w:val="0"/>
        <w:textAlignment w:val="baseline"/>
      </w:pPr>
      <w:r>
        <w:t>R1-2208827, Draft CR on resolving issue for short control signaling, OPPO</w:t>
      </w:r>
    </w:p>
    <w:p>
      <w:pPr>
        <w:pStyle w:val="84"/>
        <w:numPr>
          <w:ilvl w:val="0"/>
          <w:numId w:val="34"/>
        </w:numPr>
        <w:kinsoku w:val="0"/>
        <w:overflowPunct w:val="0"/>
        <w:adjustRightInd w:val="0"/>
        <w:spacing w:after="60" w:line="240" w:lineRule="auto"/>
        <w:contextualSpacing w:val="0"/>
        <w:textAlignment w:val="baseline"/>
      </w:pPr>
      <w:r>
        <w:t>R1-2208828, Draft CR on editorial correction for higher-layer parameter setting, OPPO</w:t>
      </w:r>
    </w:p>
    <w:p>
      <w:pPr>
        <w:pStyle w:val="84"/>
        <w:numPr>
          <w:ilvl w:val="0"/>
          <w:numId w:val="34"/>
        </w:numPr>
        <w:kinsoku w:val="0"/>
        <w:overflowPunct w:val="0"/>
        <w:adjustRightInd w:val="0"/>
        <w:spacing w:after="60" w:line="240" w:lineRule="auto"/>
        <w:contextualSpacing w:val="0"/>
        <w:textAlignment w:val="baseline"/>
      </w:pPr>
      <w:r>
        <w:t>R1-2208934, Discussion on channel access procedures upon detection of a common DCI for frequency range 2-2, CATT</w:t>
      </w:r>
    </w:p>
    <w:p>
      <w:pPr>
        <w:pStyle w:val="84"/>
        <w:numPr>
          <w:ilvl w:val="0"/>
          <w:numId w:val="34"/>
        </w:numPr>
        <w:kinsoku w:val="0"/>
        <w:overflowPunct w:val="0"/>
        <w:adjustRightInd w:val="0"/>
        <w:spacing w:after="60" w:line="240" w:lineRule="auto"/>
        <w:contextualSpacing w:val="0"/>
        <w:textAlignment w:val="baseline"/>
      </w:pPr>
      <w:r>
        <w:t>R1-2208935, Correction on channel access procedures upon detection of a common DCI for frequency range 2-2, CATT</w:t>
      </w:r>
    </w:p>
    <w:p>
      <w:pPr>
        <w:pStyle w:val="84"/>
        <w:numPr>
          <w:ilvl w:val="0"/>
          <w:numId w:val="34"/>
        </w:numPr>
        <w:kinsoku w:val="0"/>
        <w:overflowPunct w:val="0"/>
        <w:adjustRightInd w:val="0"/>
        <w:spacing w:after="60" w:line="240" w:lineRule="auto"/>
        <w:contextualSpacing w:val="0"/>
        <w:textAlignment w:val="baseline"/>
      </w:pPr>
      <w:r>
        <w:t>R1-2209031, Discussion on Applicability of the Short Control Signalling Exemption, Intel Corporation</w:t>
      </w:r>
    </w:p>
    <w:p>
      <w:pPr>
        <w:pStyle w:val="84"/>
        <w:numPr>
          <w:ilvl w:val="0"/>
          <w:numId w:val="34"/>
        </w:numPr>
        <w:kinsoku w:val="0"/>
        <w:overflowPunct w:val="0"/>
        <w:adjustRightInd w:val="0"/>
        <w:spacing w:after="60" w:line="240" w:lineRule="auto"/>
        <w:contextualSpacing w:val="0"/>
        <w:textAlignment w:val="baseline"/>
      </w:pPr>
      <w:r>
        <w:t>R1-2209032, [draft] correction for short control signaling LBT exemption applicability in TS 37.213, Intel Corporation</w:t>
      </w:r>
    </w:p>
    <w:p>
      <w:pPr>
        <w:pStyle w:val="84"/>
        <w:numPr>
          <w:ilvl w:val="0"/>
          <w:numId w:val="34"/>
        </w:numPr>
        <w:kinsoku w:val="0"/>
        <w:overflowPunct w:val="0"/>
        <w:adjustRightInd w:val="0"/>
        <w:spacing w:after="60" w:line="240" w:lineRule="auto"/>
        <w:contextualSpacing w:val="0"/>
        <w:textAlignment w:val="baseline"/>
      </w:pPr>
      <w:r>
        <w:t>R1-2209250, Correction on the bit length of ChannelAccess-CPext-CAPC field in DCI 0-1 and DCI 1-1 for FR 2-2, xiaomi</w:t>
      </w:r>
    </w:p>
    <w:p>
      <w:pPr>
        <w:pStyle w:val="84"/>
        <w:numPr>
          <w:ilvl w:val="0"/>
          <w:numId w:val="34"/>
        </w:numPr>
        <w:kinsoku w:val="0"/>
        <w:overflowPunct w:val="0"/>
        <w:adjustRightInd w:val="0"/>
        <w:spacing w:after="60" w:line="240" w:lineRule="auto"/>
        <w:contextualSpacing w:val="0"/>
        <w:textAlignment w:val="baseline"/>
      </w:pPr>
      <w:r>
        <w:t>R1-2209430, Remaining issues on channel access mechanism, Nokia, Nokia Shanghai Bell</w:t>
      </w:r>
    </w:p>
    <w:p>
      <w:pPr>
        <w:pStyle w:val="84"/>
        <w:numPr>
          <w:ilvl w:val="0"/>
          <w:numId w:val="34"/>
        </w:numPr>
        <w:kinsoku w:val="0"/>
        <w:overflowPunct w:val="0"/>
        <w:adjustRightInd w:val="0"/>
        <w:spacing w:after="60" w:line="240" w:lineRule="auto"/>
        <w:contextualSpacing w:val="0"/>
        <w:textAlignment w:val="baseline"/>
      </w:pPr>
      <w:r>
        <w:t>R1-2209432, Correction on ChannelAccess-Cpext field in random access response, Nokia, Nokia Shanghai Bell</w:t>
      </w:r>
    </w:p>
    <w:p>
      <w:pPr>
        <w:pStyle w:val="84"/>
        <w:numPr>
          <w:ilvl w:val="0"/>
          <w:numId w:val="34"/>
        </w:numPr>
        <w:kinsoku w:val="0"/>
        <w:overflowPunct w:val="0"/>
        <w:adjustRightInd w:val="0"/>
        <w:spacing w:after="60" w:line="240" w:lineRule="auto"/>
        <w:contextualSpacing w:val="0"/>
        <w:textAlignment w:val="baseline"/>
      </w:pPr>
      <w:r>
        <w:t>R1-2209444, Remaining issues of channel access mechanism to support NR above 52.6 GHz, LG Electronics</w:t>
      </w:r>
    </w:p>
    <w:p>
      <w:pPr>
        <w:pStyle w:val="84"/>
        <w:numPr>
          <w:ilvl w:val="0"/>
          <w:numId w:val="34"/>
        </w:numPr>
        <w:kinsoku w:val="0"/>
        <w:overflowPunct w:val="0"/>
        <w:adjustRightInd w:val="0"/>
        <w:spacing w:after="60" w:line="240" w:lineRule="auto"/>
        <w:contextualSpacing w:val="0"/>
        <w:textAlignment w:val="baseline"/>
      </w:pPr>
      <w:r>
        <w:t>R1-2209445, Draft CR for multi-beam channel access procedure in FR2-2, LG Electronics</w:t>
      </w:r>
    </w:p>
    <w:p>
      <w:pPr>
        <w:pStyle w:val="84"/>
        <w:numPr>
          <w:ilvl w:val="0"/>
          <w:numId w:val="34"/>
        </w:numPr>
        <w:kinsoku w:val="0"/>
        <w:overflowPunct w:val="0"/>
        <w:adjustRightInd w:val="0"/>
        <w:spacing w:after="60" w:line="240" w:lineRule="auto"/>
        <w:contextualSpacing w:val="0"/>
        <w:textAlignment w:val="baseline"/>
      </w:pPr>
      <w:r>
        <w:t>R1-2209446, Discussion on multi-beam channel access procedure in FR2-2, LG Electronics</w:t>
      </w:r>
    </w:p>
    <w:p>
      <w:pPr>
        <w:pStyle w:val="84"/>
        <w:numPr>
          <w:ilvl w:val="0"/>
          <w:numId w:val="34"/>
        </w:numPr>
        <w:kinsoku w:val="0"/>
        <w:overflowPunct w:val="0"/>
        <w:adjustRightInd w:val="0"/>
        <w:spacing w:after="60" w:line="240" w:lineRule="auto"/>
        <w:contextualSpacing w:val="0"/>
        <w:textAlignment w:val="baseline"/>
      </w:pPr>
      <w:r>
        <w:t>R1-2209447, Draft CR on channel access indication for RAR grant in FR2-2, LG Electronics</w:t>
      </w:r>
    </w:p>
    <w:p>
      <w:pPr>
        <w:pStyle w:val="84"/>
        <w:numPr>
          <w:ilvl w:val="0"/>
          <w:numId w:val="34"/>
        </w:numPr>
        <w:kinsoku w:val="0"/>
        <w:overflowPunct w:val="0"/>
        <w:adjustRightInd w:val="0"/>
        <w:spacing w:after="60" w:line="240" w:lineRule="auto"/>
        <w:contextualSpacing w:val="0"/>
        <w:textAlignment w:val="baseline"/>
      </w:pPr>
      <w:r>
        <w:t>R1-2209692, Draft CR for ChannelAccess-Cpext in RAR UL grant in FR2-2, Samsung</w:t>
      </w:r>
    </w:p>
    <w:p>
      <w:pPr>
        <w:pStyle w:val="84"/>
        <w:numPr>
          <w:ilvl w:val="0"/>
          <w:numId w:val="34"/>
        </w:numPr>
        <w:kinsoku w:val="0"/>
        <w:overflowPunct w:val="0"/>
        <w:adjustRightInd w:val="0"/>
        <w:spacing w:after="60" w:line="240" w:lineRule="auto"/>
        <w:contextualSpacing w:val="0"/>
        <w:textAlignment w:val="baseline"/>
      </w:pPr>
      <w:r>
        <w:t>R1-2209693, Draft CR for multi-beam channel access procedure in FR2-2, Samsung</w:t>
      </w:r>
    </w:p>
    <w:p>
      <w:pPr>
        <w:pStyle w:val="84"/>
        <w:numPr>
          <w:ilvl w:val="0"/>
          <w:numId w:val="34"/>
        </w:numPr>
        <w:kinsoku w:val="0"/>
        <w:overflowPunct w:val="0"/>
        <w:adjustRightInd w:val="0"/>
        <w:spacing w:after="60" w:line="240" w:lineRule="auto"/>
        <w:contextualSpacing w:val="0"/>
        <w:textAlignment w:val="baseline"/>
      </w:pPr>
      <w:r>
        <w:t>R1-2209819, Corrections to ED threshold for use with Type 2 channel access procedure in FR2-2 in TS37.213, Huawei, HiSilicon</w:t>
      </w:r>
    </w:p>
    <w:p>
      <w:pPr>
        <w:pStyle w:val="84"/>
        <w:numPr>
          <w:ilvl w:val="0"/>
          <w:numId w:val="34"/>
        </w:numPr>
        <w:kinsoku w:val="0"/>
        <w:overflowPunct w:val="0"/>
        <w:adjustRightInd w:val="0"/>
        <w:spacing w:after="60" w:line="240" w:lineRule="auto"/>
        <w:contextualSpacing w:val="0"/>
        <w:textAlignment w:val="baseline"/>
      </w:pPr>
      <w:r>
        <w:t>R1-2209845, Corrections to per-beam ED threshold for multi-beam COT in FR2-2 in TS37.213, Huawei, HiSilicon</w:t>
      </w:r>
    </w:p>
    <w:p>
      <w:pPr>
        <w:pStyle w:val="84"/>
        <w:numPr>
          <w:ilvl w:val="0"/>
          <w:numId w:val="34"/>
        </w:numPr>
        <w:kinsoku w:val="0"/>
        <w:overflowPunct w:val="0"/>
        <w:adjustRightInd w:val="0"/>
        <w:spacing w:after="60" w:line="240" w:lineRule="auto"/>
        <w:contextualSpacing w:val="0"/>
        <w:textAlignment w:val="baseline"/>
      </w:pPr>
      <w:r>
        <w:t>R1-2209868, Draft CR on spatial domain filter for sensing in FR2-2, NTT DOCOMO, INC.</w:t>
      </w:r>
    </w:p>
    <w:p>
      <w:pPr>
        <w:pStyle w:val="84"/>
        <w:numPr>
          <w:ilvl w:val="0"/>
          <w:numId w:val="34"/>
        </w:numPr>
        <w:kinsoku w:val="0"/>
        <w:overflowPunct w:val="0"/>
        <w:adjustRightInd w:val="0"/>
        <w:spacing w:after="60" w:line="240" w:lineRule="auto"/>
        <w:contextualSpacing w:val="0"/>
        <w:textAlignment w:val="baseline"/>
      </w:pPr>
      <w:r>
        <w:t>R1-2209871, Discussion on remaining issues for NR in FR2-2, NTT DOCOMO, INC.</w:t>
      </w:r>
    </w:p>
    <w:p>
      <w:pPr>
        <w:pStyle w:val="84"/>
        <w:numPr>
          <w:ilvl w:val="0"/>
          <w:numId w:val="34"/>
        </w:numPr>
        <w:kinsoku w:val="0"/>
        <w:overflowPunct w:val="0"/>
        <w:adjustRightInd w:val="0"/>
        <w:spacing w:after="60" w:line="240" w:lineRule="auto"/>
        <w:contextualSpacing w:val="0"/>
        <w:textAlignment w:val="baseline"/>
      </w:pPr>
      <w:r>
        <w:t>R1-2209940, Draft CR on unified short control signaling exemption and channel access type upgrade, Qualcomm Incorporated</w:t>
      </w:r>
    </w:p>
    <w:p>
      <w:pPr>
        <w:pStyle w:val="84"/>
        <w:numPr>
          <w:ilvl w:val="0"/>
          <w:numId w:val="34"/>
        </w:numPr>
        <w:kinsoku w:val="0"/>
        <w:overflowPunct w:val="0"/>
        <w:adjustRightInd w:val="0"/>
        <w:spacing w:after="60" w:line="240" w:lineRule="auto"/>
        <w:contextualSpacing w:val="0"/>
        <w:textAlignment w:val="baseline"/>
      </w:pPr>
      <w:r>
        <w:t>R1-2209941, Draft CR on ChannelAccess-Cpext field in UL RAR grant, Qualcomm Incorporated</w:t>
      </w:r>
    </w:p>
    <w:p>
      <w:pPr>
        <w:pStyle w:val="84"/>
        <w:numPr>
          <w:ilvl w:val="0"/>
          <w:numId w:val="34"/>
        </w:numPr>
        <w:kinsoku w:val="0"/>
        <w:overflowPunct w:val="0"/>
        <w:adjustRightInd w:val="0"/>
        <w:spacing w:after="60" w:line="240" w:lineRule="auto"/>
        <w:contextualSpacing w:val="0"/>
        <w:textAlignment w:val="baseline"/>
      </w:pPr>
      <w:r>
        <w:t>R1-2209942, Draft CR on UL transmission with LBT per sensing beam, Qualcomm Incorporated</w:t>
      </w:r>
    </w:p>
    <w:p>
      <w:pPr>
        <w:pStyle w:val="84"/>
        <w:numPr>
          <w:ilvl w:val="0"/>
          <w:numId w:val="34"/>
        </w:numPr>
        <w:kinsoku w:val="0"/>
        <w:overflowPunct w:val="0"/>
        <w:adjustRightInd w:val="0"/>
        <w:spacing w:after="60" w:line="240" w:lineRule="auto"/>
        <w:contextualSpacing w:val="0"/>
        <w:textAlignment w:val="baseline"/>
      </w:pPr>
      <w:r>
        <w:t>R1-2209943, Draft CR on EDT determination rule for COT with SDM or TDM transmission with per beam LBT, Qualcomm Incorporated</w:t>
      </w:r>
    </w:p>
    <w:p>
      <w:pPr>
        <w:pStyle w:val="84"/>
        <w:numPr>
          <w:ilvl w:val="0"/>
          <w:numId w:val="34"/>
        </w:numPr>
        <w:kinsoku w:val="0"/>
        <w:overflowPunct w:val="0"/>
        <w:adjustRightInd w:val="0"/>
        <w:spacing w:after="60" w:line="240" w:lineRule="auto"/>
        <w:contextualSpacing w:val="0"/>
        <w:textAlignment w:val="baseline"/>
      </w:pPr>
      <w:r>
        <w:t>R1-2209944, Discussion paper on Maintenance for NR from 52.6GHz to 71 GHz, Qualcomm Incorporated</w:t>
      </w:r>
    </w:p>
    <w:p>
      <w:pPr>
        <w:pStyle w:val="84"/>
        <w:numPr>
          <w:ilvl w:val="0"/>
          <w:numId w:val="34"/>
        </w:numPr>
        <w:kinsoku w:val="0"/>
        <w:overflowPunct w:val="0"/>
        <w:adjustRightInd w:val="0"/>
        <w:spacing w:after="60" w:line="240" w:lineRule="auto"/>
        <w:contextualSpacing w:val="0"/>
        <w:textAlignment w:val="baseline"/>
      </w:pPr>
      <w:r>
        <w:t>R1-2210053, Correction on UE resuming a UE initiated COT, Nokia, Nokia Shanghai Bell</w:t>
      </w:r>
    </w:p>
    <w:p>
      <w:pPr>
        <w:pStyle w:val="84"/>
        <w:numPr>
          <w:ilvl w:val="0"/>
          <w:numId w:val="34"/>
        </w:numPr>
        <w:kinsoku w:val="0"/>
        <w:overflowPunct w:val="0"/>
        <w:adjustRightInd w:val="0"/>
        <w:spacing w:after="60" w:line="240" w:lineRule="auto"/>
        <w:contextualSpacing w:val="0"/>
        <w:textAlignment w:val="baseline"/>
      </w:pPr>
      <w:r>
        <w:t>R1-2210055, Correction on Short Control Signaling, Nokia, Nokia Shanghai Bell</w:t>
      </w:r>
    </w:p>
    <w:p>
      <w:pPr>
        <w:pStyle w:val="84"/>
        <w:numPr>
          <w:ilvl w:val="0"/>
          <w:numId w:val="34"/>
        </w:numPr>
        <w:kinsoku w:val="0"/>
        <w:overflowPunct w:val="0"/>
        <w:adjustRightInd w:val="0"/>
        <w:spacing w:after="60" w:line="240" w:lineRule="auto"/>
        <w:contextualSpacing w:val="0"/>
        <w:textAlignment w:val="baseline"/>
      </w:pPr>
      <w:r>
        <w:t>R1-2210094, Correction on CSI-RS validation, ASUSTeK</w:t>
      </w:r>
    </w:p>
    <w:p>
      <w:pPr>
        <w:pStyle w:val="84"/>
        <w:numPr>
          <w:ilvl w:val="0"/>
          <w:numId w:val="34"/>
        </w:numPr>
        <w:kinsoku w:val="0"/>
        <w:overflowPunct w:val="0"/>
        <w:adjustRightInd w:val="0"/>
        <w:spacing w:after="60" w:line="240" w:lineRule="auto"/>
        <w:contextualSpacing w:val="0"/>
        <w:textAlignment w:val="baseline"/>
      </w:pPr>
      <w:r>
        <w:t>R1-2210135, Remaining issue on channel access for NR from 52.6GHz to 71GHz, WILUS Inc.</w:t>
      </w:r>
    </w:p>
    <w:p>
      <w:pPr>
        <w:pStyle w:val="84"/>
        <w:numPr>
          <w:ilvl w:val="0"/>
          <w:numId w:val="34"/>
        </w:numPr>
        <w:kinsoku w:val="0"/>
        <w:overflowPunct w:val="0"/>
        <w:adjustRightInd w:val="0"/>
        <w:spacing w:after="60" w:line="240" w:lineRule="auto"/>
        <w:contextualSpacing w:val="0"/>
        <w:textAlignment w:val="baseline"/>
      </w:pPr>
      <w:r>
        <w:t>R1-2210136, Draft CR on channel access after failure of Type 2 channel access for FR2-2, WILUS Inc.</w:t>
      </w:r>
    </w:p>
    <w:p>
      <w:pPr>
        <w:pStyle w:val="84"/>
        <w:numPr>
          <w:ilvl w:val="0"/>
          <w:numId w:val="34"/>
        </w:numPr>
        <w:kinsoku w:val="0"/>
        <w:overflowPunct w:val="0"/>
        <w:adjustRightInd w:val="0"/>
        <w:spacing w:after="60" w:line="240" w:lineRule="auto"/>
        <w:contextualSpacing w:val="0"/>
        <w:textAlignment w:val="baseline"/>
      </w:pPr>
      <w:r>
        <w:t>R1-2210137, Draft CR on channel access procedure upon detection of a common DCI for FR2-2, WILUS Inc.</w:t>
      </w:r>
    </w:p>
    <w:p>
      <w:pPr>
        <w:pStyle w:val="84"/>
        <w:numPr>
          <w:ilvl w:val="0"/>
          <w:numId w:val="34"/>
        </w:numPr>
        <w:kinsoku w:val="0"/>
        <w:overflowPunct w:val="0"/>
        <w:adjustRightInd w:val="0"/>
        <w:spacing w:after="60" w:line="240" w:lineRule="auto"/>
        <w:contextualSpacing w:val="0"/>
        <w:textAlignment w:val="baseline"/>
      </w:pPr>
      <w:r>
        <w:t>R1-2210168, Draft CR on channel access type indication in non-fallback DCI, NTT DOCOMO, INC.</w:t>
      </w:r>
    </w:p>
    <w:p>
      <w:pPr>
        <w:pStyle w:val="84"/>
        <w:numPr>
          <w:ilvl w:val="0"/>
          <w:numId w:val="34"/>
        </w:numPr>
        <w:kinsoku w:val="0"/>
        <w:overflowPunct w:val="0"/>
        <w:adjustRightInd w:val="0"/>
        <w:spacing w:after="60" w:line="240" w:lineRule="auto"/>
        <w:contextualSpacing w:val="0"/>
        <w:textAlignment w:val="baseline"/>
      </w:pPr>
      <w:r>
        <w:t>R1-2209183, Discussion on LS response on TCI assumption for RSSI measurement for FR2-2, Ericsson Inc.</w:t>
      </w:r>
    </w:p>
    <w:p>
      <w:pPr>
        <w:pStyle w:val="84"/>
        <w:numPr>
          <w:ilvl w:val="0"/>
          <w:numId w:val="34"/>
        </w:numPr>
        <w:kinsoku w:val="0"/>
        <w:overflowPunct w:val="0"/>
        <w:adjustRightInd w:val="0"/>
        <w:spacing w:after="60" w:line="240" w:lineRule="auto"/>
        <w:contextualSpacing w:val="0"/>
        <w:textAlignment w:val="baseline"/>
      </w:pPr>
      <w:r>
        <w:t>R1-2208182, [DRAFT] LS response on TCI assumption for RSSI measurement for FR2-2, Ericsson Inc.</w:t>
      </w:r>
    </w:p>
    <w:p>
      <w:pPr>
        <w:spacing w:after="120"/>
        <w:ind w:left="360"/>
        <w:rPr>
          <w:rFonts w:cs="Arial"/>
        </w:rPr>
      </w:pPr>
    </w:p>
    <w:p/>
    <w:p/>
    <w:sectPr>
      <w:pgSz w:w="12240" w:h="15840"/>
      <w:pgMar w:top="1152" w:right="1152" w:bottom="1152" w:left="115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w:panose1 w:val="02020609040205080304"/>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modern"/>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50F7A62"/>
    <w:multiLevelType w:val="multilevel"/>
    <w:tmpl w:val="250F7A62"/>
    <w:lvl w:ilvl="0" w:tentative="0">
      <w:start w:val="1"/>
      <w:numFmt w:val="decimal"/>
      <w:lvlText w:val="[%1]."/>
      <w:lvlJc w:val="left"/>
      <w:pPr>
        <w:ind w:left="504" w:hanging="504"/>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2">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3">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5">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7">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9">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3">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5">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7">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8">
    <w:nsid w:val="6C07118C"/>
    <w:multiLevelType w:val="multilevel"/>
    <w:tmpl w:val="6C07118C"/>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9">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2">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1"/>
  </w:num>
  <w:num w:numId="3">
    <w:abstractNumId w:val="0"/>
  </w:num>
  <w:num w:numId="4">
    <w:abstractNumId w:val="22"/>
  </w:num>
  <w:num w:numId="5">
    <w:abstractNumId w:val="31"/>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30"/>
  </w:num>
  <w:num w:numId="19">
    <w:abstractNumId w:val="13"/>
  </w:num>
  <w:num w:numId="20">
    <w:abstractNumId w:val="23"/>
  </w:num>
  <w:num w:numId="21">
    <w:abstractNumId w:val="32"/>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3"/>
  </w:num>
  <w:num w:numId="29">
    <w:abstractNumId w:val="29"/>
  </w:num>
  <w:num w:numId="30">
    <w:abstractNumId w:val="11"/>
  </w:num>
  <w:num w:numId="31">
    <w:abstractNumId w:val="26"/>
  </w:num>
  <w:num w:numId="32">
    <w:abstractNumId w:val="18"/>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trackRevisions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512"/>
    <w:rsid w:val="00023F3D"/>
    <w:rsid w:val="00024A83"/>
    <w:rsid w:val="00024E45"/>
    <w:rsid w:val="00025019"/>
    <w:rsid w:val="00025DAF"/>
    <w:rsid w:val="00025E58"/>
    <w:rsid w:val="00030D2A"/>
    <w:rsid w:val="000310D1"/>
    <w:rsid w:val="000324D1"/>
    <w:rsid w:val="000325D7"/>
    <w:rsid w:val="00033012"/>
    <w:rsid w:val="00033B1F"/>
    <w:rsid w:val="0003506A"/>
    <w:rsid w:val="00035947"/>
    <w:rsid w:val="00036AB3"/>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2573"/>
    <w:rsid w:val="00063F07"/>
    <w:rsid w:val="0006422D"/>
    <w:rsid w:val="00066ABA"/>
    <w:rsid w:val="000675D3"/>
    <w:rsid w:val="00067DC1"/>
    <w:rsid w:val="0007079F"/>
    <w:rsid w:val="00071C78"/>
    <w:rsid w:val="00071CF9"/>
    <w:rsid w:val="00072EDD"/>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179D"/>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3061"/>
    <w:rsid w:val="000F448A"/>
    <w:rsid w:val="000F5653"/>
    <w:rsid w:val="000F6723"/>
    <w:rsid w:val="000F6AE3"/>
    <w:rsid w:val="000F74CC"/>
    <w:rsid w:val="000F77F5"/>
    <w:rsid w:val="000F7B16"/>
    <w:rsid w:val="00101953"/>
    <w:rsid w:val="0010316C"/>
    <w:rsid w:val="00103718"/>
    <w:rsid w:val="001045C4"/>
    <w:rsid w:val="001050C6"/>
    <w:rsid w:val="00105A73"/>
    <w:rsid w:val="00106EF8"/>
    <w:rsid w:val="00107C02"/>
    <w:rsid w:val="00107C9D"/>
    <w:rsid w:val="001107D9"/>
    <w:rsid w:val="00110A15"/>
    <w:rsid w:val="00112798"/>
    <w:rsid w:val="00112D33"/>
    <w:rsid w:val="00112FC9"/>
    <w:rsid w:val="001132F6"/>
    <w:rsid w:val="00113F4F"/>
    <w:rsid w:val="00115FF1"/>
    <w:rsid w:val="00120AA3"/>
    <w:rsid w:val="001214BC"/>
    <w:rsid w:val="00122257"/>
    <w:rsid w:val="0012263C"/>
    <w:rsid w:val="00122A18"/>
    <w:rsid w:val="00122A43"/>
    <w:rsid w:val="0012307C"/>
    <w:rsid w:val="001245FC"/>
    <w:rsid w:val="0012544B"/>
    <w:rsid w:val="00125EB9"/>
    <w:rsid w:val="00126697"/>
    <w:rsid w:val="00127052"/>
    <w:rsid w:val="00127433"/>
    <w:rsid w:val="0013000F"/>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416F"/>
    <w:rsid w:val="001557FB"/>
    <w:rsid w:val="001561BE"/>
    <w:rsid w:val="0015655A"/>
    <w:rsid w:val="00156988"/>
    <w:rsid w:val="00156D5D"/>
    <w:rsid w:val="00157409"/>
    <w:rsid w:val="00160D43"/>
    <w:rsid w:val="00162325"/>
    <w:rsid w:val="00162508"/>
    <w:rsid w:val="001639B7"/>
    <w:rsid w:val="00163B98"/>
    <w:rsid w:val="0016448C"/>
    <w:rsid w:val="001646A2"/>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2C51"/>
    <w:rsid w:val="001C3383"/>
    <w:rsid w:val="001C4895"/>
    <w:rsid w:val="001C5B3B"/>
    <w:rsid w:val="001D03B5"/>
    <w:rsid w:val="001D255C"/>
    <w:rsid w:val="001D31F2"/>
    <w:rsid w:val="001D461E"/>
    <w:rsid w:val="001D4ACA"/>
    <w:rsid w:val="001D7413"/>
    <w:rsid w:val="001D79A9"/>
    <w:rsid w:val="001E07DC"/>
    <w:rsid w:val="001E0ECF"/>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B19"/>
    <w:rsid w:val="0021057C"/>
    <w:rsid w:val="00210BD3"/>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A35"/>
    <w:rsid w:val="00230C20"/>
    <w:rsid w:val="00230D9D"/>
    <w:rsid w:val="00231077"/>
    <w:rsid w:val="00231201"/>
    <w:rsid w:val="00231878"/>
    <w:rsid w:val="00231F8A"/>
    <w:rsid w:val="0023293E"/>
    <w:rsid w:val="002337A9"/>
    <w:rsid w:val="00233EF8"/>
    <w:rsid w:val="00233FD7"/>
    <w:rsid w:val="00235649"/>
    <w:rsid w:val="002369EA"/>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1A6"/>
    <w:rsid w:val="00257ECA"/>
    <w:rsid w:val="00257FBF"/>
    <w:rsid w:val="00260385"/>
    <w:rsid w:val="00260A1D"/>
    <w:rsid w:val="0026245E"/>
    <w:rsid w:val="00262584"/>
    <w:rsid w:val="002634EB"/>
    <w:rsid w:val="0026383F"/>
    <w:rsid w:val="00264B42"/>
    <w:rsid w:val="0026687C"/>
    <w:rsid w:val="0026697C"/>
    <w:rsid w:val="00267839"/>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95A2F"/>
    <w:rsid w:val="002970C9"/>
    <w:rsid w:val="002A029F"/>
    <w:rsid w:val="002A03FF"/>
    <w:rsid w:val="002B32AB"/>
    <w:rsid w:val="002B3597"/>
    <w:rsid w:val="002B7FF1"/>
    <w:rsid w:val="002C0540"/>
    <w:rsid w:val="002C06F9"/>
    <w:rsid w:val="002C28EE"/>
    <w:rsid w:val="002C2F10"/>
    <w:rsid w:val="002C32F3"/>
    <w:rsid w:val="002C6C6B"/>
    <w:rsid w:val="002C7EA7"/>
    <w:rsid w:val="002D1D08"/>
    <w:rsid w:val="002D23A0"/>
    <w:rsid w:val="002D385B"/>
    <w:rsid w:val="002D388E"/>
    <w:rsid w:val="002D3B3B"/>
    <w:rsid w:val="002D5625"/>
    <w:rsid w:val="002D6479"/>
    <w:rsid w:val="002D6613"/>
    <w:rsid w:val="002D66B0"/>
    <w:rsid w:val="002D6CA6"/>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435"/>
    <w:rsid w:val="002F185C"/>
    <w:rsid w:val="002F1A3D"/>
    <w:rsid w:val="002F3399"/>
    <w:rsid w:val="002F37E3"/>
    <w:rsid w:val="002F48CC"/>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0451"/>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15EE"/>
    <w:rsid w:val="00362135"/>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6FA"/>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DB7"/>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6A41"/>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6767E"/>
    <w:rsid w:val="00471532"/>
    <w:rsid w:val="004752A0"/>
    <w:rsid w:val="00476226"/>
    <w:rsid w:val="00476477"/>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1F88"/>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1B6"/>
    <w:rsid w:val="004C39BF"/>
    <w:rsid w:val="004C5E40"/>
    <w:rsid w:val="004C6AD2"/>
    <w:rsid w:val="004C7048"/>
    <w:rsid w:val="004D0281"/>
    <w:rsid w:val="004D04DF"/>
    <w:rsid w:val="004D161A"/>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2D4"/>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4CE"/>
    <w:rsid w:val="005747A5"/>
    <w:rsid w:val="00577D9D"/>
    <w:rsid w:val="005824AC"/>
    <w:rsid w:val="005836FE"/>
    <w:rsid w:val="00583C64"/>
    <w:rsid w:val="005848D4"/>
    <w:rsid w:val="00584FEF"/>
    <w:rsid w:val="00590AB3"/>
    <w:rsid w:val="00590D09"/>
    <w:rsid w:val="00590D4A"/>
    <w:rsid w:val="00591519"/>
    <w:rsid w:val="00591B38"/>
    <w:rsid w:val="00594BD6"/>
    <w:rsid w:val="00594FCD"/>
    <w:rsid w:val="0059585C"/>
    <w:rsid w:val="00595FF9"/>
    <w:rsid w:val="0059634F"/>
    <w:rsid w:val="00596E1C"/>
    <w:rsid w:val="0059714F"/>
    <w:rsid w:val="005974F0"/>
    <w:rsid w:val="005A0F64"/>
    <w:rsid w:val="005A1074"/>
    <w:rsid w:val="005A3BB3"/>
    <w:rsid w:val="005A515B"/>
    <w:rsid w:val="005A670E"/>
    <w:rsid w:val="005B03DA"/>
    <w:rsid w:val="005B0652"/>
    <w:rsid w:val="005B2D4F"/>
    <w:rsid w:val="005B38E1"/>
    <w:rsid w:val="005B446D"/>
    <w:rsid w:val="005B74D1"/>
    <w:rsid w:val="005B7C95"/>
    <w:rsid w:val="005C2932"/>
    <w:rsid w:val="005C334E"/>
    <w:rsid w:val="005C3E04"/>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69D4"/>
    <w:rsid w:val="005F6AF3"/>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57E71"/>
    <w:rsid w:val="00662975"/>
    <w:rsid w:val="0066370F"/>
    <w:rsid w:val="006672DA"/>
    <w:rsid w:val="006706E6"/>
    <w:rsid w:val="00670A2E"/>
    <w:rsid w:val="00671DF7"/>
    <w:rsid w:val="00672154"/>
    <w:rsid w:val="006722CC"/>
    <w:rsid w:val="00672E72"/>
    <w:rsid w:val="0067313D"/>
    <w:rsid w:val="006733D6"/>
    <w:rsid w:val="006736AC"/>
    <w:rsid w:val="00674560"/>
    <w:rsid w:val="00676B7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1356"/>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2E25"/>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4D0"/>
    <w:rsid w:val="006F09CB"/>
    <w:rsid w:val="006F37B6"/>
    <w:rsid w:val="006F4C40"/>
    <w:rsid w:val="006F6DB6"/>
    <w:rsid w:val="006F756D"/>
    <w:rsid w:val="006F77FC"/>
    <w:rsid w:val="00701055"/>
    <w:rsid w:val="00702007"/>
    <w:rsid w:val="007026AC"/>
    <w:rsid w:val="00703652"/>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040"/>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25F"/>
    <w:rsid w:val="007D6EC7"/>
    <w:rsid w:val="007D7DB5"/>
    <w:rsid w:val="007E00D8"/>
    <w:rsid w:val="007E03B4"/>
    <w:rsid w:val="007E068D"/>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6A4"/>
    <w:rsid w:val="00804881"/>
    <w:rsid w:val="00804FCF"/>
    <w:rsid w:val="00805941"/>
    <w:rsid w:val="00805CC9"/>
    <w:rsid w:val="00806129"/>
    <w:rsid w:val="00811C36"/>
    <w:rsid w:val="0081235A"/>
    <w:rsid w:val="00812AF1"/>
    <w:rsid w:val="00814DFA"/>
    <w:rsid w:val="00815137"/>
    <w:rsid w:val="00815C04"/>
    <w:rsid w:val="008200EC"/>
    <w:rsid w:val="00820373"/>
    <w:rsid w:val="008204DA"/>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A48"/>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4E29"/>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642"/>
    <w:rsid w:val="008A3081"/>
    <w:rsid w:val="008A5F7A"/>
    <w:rsid w:val="008A6B3D"/>
    <w:rsid w:val="008A772F"/>
    <w:rsid w:val="008B07CD"/>
    <w:rsid w:val="008B0A17"/>
    <w:rsid w:val="008B0B1A"/>
    <w:rsid w:val="008B240D"/>
    <w:rsid w:val="008B2948"/>
    <w:rsid w:val="008B375A"/>
    <w:rsid w:val="008B4639"/>
    <w:rsid w:val="008B48E6"/>
    <w:rsid w:val="008C02BF"/>
    <w:rsid w:val="008C2257"/>
    <w:rsid w:val="008C2343"/>
    <w:rsid w:val="008C27A0"/>
    <w:rsid w:val="008C2881"/>
    <w:rsid w:val="008C38B5"/>
    <w:rsid w:val="008C3CA8"/>
    <w:rsid w:val="008C42E4"/>
    <w:rsid w:val="008C45A3"/>
    <w:rsid w:val="008C4E8C"/>
    <w:rsid w:val="008C5C2A"/>
    <w:rsid w:val="008C71A1"/>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3DA0"/>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07586"/>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111"/>
    <w:rsid w:val="009772BB"/>
    <w:rsid w:val="009773E6"/>
    <w:rsid w:val="0097794B"/>
    <w:rsid w:val="00980467"/>
    <w:rsid w:val="00982180"/>
    <w:rsid w:val="00982CEC"/>
    <w:rsid w:val="00983DE6"/>
    <w:rsid w:val="00985064"/>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331C"/>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1DB3"/>
    <w:rsid w:val="009E3FA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5C4E"/>
    <w:rsid w:val="009F6F95"/>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2DE"/>
    <w:rsid w:val="00A43794"/>
    <w:rsid w:val="00A43C67"/>
    <w:rsid w:val="00A44CFC"/>
    <w:rsid w:val="00A44E63"/>
    <w:rsid w:val="00A46E19"/>
    <w:rsid w:val="00A47CDF"/>
    <w:rsid w:val="00A51756"/>
    <w:rsid w:val="00A52A8F"/>
    <w:rsid w:val="00A5333F"/>
    <w:rsid w:val="00A54160"/>
    <w:rsid w:val="00A55656"/>
    <w:rsid w:val="00A5617D"/>
    <w:rsid w:val="00A569CF"/>
    <w:rsid w:val="00A57DC3"/>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27A"/>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2BC7"/>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603"/>
    <w:rsid w:val="00AD3707"/>
    <w:rsid w:val="00AD48A7"/>
    <w:rsid w:val="00AD4976"/>
    <w:rsid w:val="00AD55AF"/>
    <w:rsid w:val="00AD5AC0"/>
    <w:rsid w:val="00AD663D"/>
    <w:rsid w:val="00AD6935"/>
    <w:rsid w:val="00AD6AB1"/>
    <w:rsid w:val="00AD75B8"/>
    <w:rsid w:val="00AE0607"/>
    <w:rsid w:val="00AE1506"/>
    <w:rsid w:val="00AE1652"/>
    <w:rsid w:val="00AE2697"/>
    <w:rsid w:val="00AE2F63"/>
    <w:rsid w:val="00AE388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1A3"/>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338E"/>
    <w:rsid w:val="00B345C0"/>
    <w:rsid w:val="00B34B2A"/>
    <w:rsid w:val="00B34C45"/>
    <w:rsid w:val="00B35E9E"/>
    <w:rsid w:val="00B368F6"/>
    <w:rsid w:val="00B37C04"/>
    <w:rsid w:val="00B40463"/>
    <w:rsid w:val="00B40DCF"/>
    <w:rsid w:val="00B41798"/>
    <w:rsid w:val="00B41D46"/>
    <w:rsid w:val="00B41D90"/>
    <w:rsid w:val="00B42A28"/>
    <w:rsid w:val="00B42BAA"/>
    <w:rsid w:val="00B4412D"/>
    <w:rsid w:val="00B44EAB"/>
    <w:rsid w:val="00B45A37"/>
    <w:rsid w:val="00B45B4E"/>
    <w:rsid w:val="00B46B57"/>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83F"/>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31F5"/>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EB8"/>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1204"/>
    <w:rsid w:val="00BF20BC"/>
    <w:rsid w:val="00BF34A1"/>
    <w:rsid w:val="00BF34C8"/>
    <w:rsid w:val="00BF38BE"/>
    <w:rsid w:val="00BF3C19"/>
    <w:rsid w:val="00BF3F98"/>
    <w:rsid w:val="00BF4026"/>
    <w:rsid w:val="00BF41EC"/>
    <w:rsid w:val="00BF46A1"/>
    <w:rsid w:val="00BF6770"/>
    <w:rsid w:val="00BF6B8D"/>
    <w:rsid w:val="00BF7BC4"/>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5DDE"/>
    <w:rsid w:val="00C36A46"/>
    <w:rsid w:val="00C4086B"/>
    <w:rsid w:val="00C41881"/>
    <w:rsid w:val="00C420B6"/>
    <w:rsid w:val="00C42406"/>
    <w:rsid w:val="00C42CC1"/>
    <w:rsid w:val="00C43C6C"/>
    <w:rsid w:val="00C4653E"/>
    <w:rsid w:val="00C47D7B"/>
    <w:rsid w:val="00C529AC"/>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6B70"/>
    <w:rsid w:val="00CB7DCD"/>
    <w:rsid w:val="00CC0C94"/>
    <w:rsid w:val="00CC1277"/>
    <w:rsid w:val="00CC208B"/>
    <w:rsid w:val="00CC24BE"/>
    <w:rsid w:val="00CC2B63"/>
    <w:rsid w:val="00CC329B"/>
    <w:rsid w:val="00CC395F"/>
    <w:rsid w:val="00CC5EE3"/>
    <w:rsid w:val="00CC6F51"/>
    <w:rsid w:val="00CD0907"/>
    <w:rsid w:val="00CD12CC"/>
    <w:rsid w:val="00CD1A55"/>
    <w:rsid w:val="00CD213D"/>
    <w:rsid w:val="00CD352D"/>
    <w:rsid w:val="00CD39B0"/>
    <w:rsid w:val="00CD516A"/>
    <w:rsid w:val="00CD588C"/>
    <w:rsid w:val="00CD5901"/>
    <w:rsid w:val="00CE1B6E"/>
    <w:rsid w:val="00CE26A3"/>
    <w:rsid w:val="00CE57EA"/>
    <w:rsid w:val="00CE6165"/>
    <w:rsid w:val="00CE66AD"/>
    <w:rsid w:val="00CE7753"/>
    <w:rsid w:val="00CF2EE7"/>
    <w:rsid w:val="00CF560A"/>
    <w:rsid w:val="00CF58F5"/>
    <w:rsid w:val="00CF6000"/>
    <w:rsid w:val="00CF69D4"/>
    <w:rsid w:val="00CF71B1"/>
    <w:rsid w:val="00D007B5"/>
    <w:rsid w:val="00D00FE0"/>
    <w:rsid w:val="00D01353"/>
    <w:rsid w:val="00D01438"/>
    <w:rsid w:val="00D014C1"/>
    <w:rsid w:val="00D02F19"/>
    <w:rsid w:val="00D0320A"/>
    <w:rsid w:val="00D037D3"/>
    <w:rsid w:val="00D054DC"/>
    <w:rsid w:val="00D06AF9"/>
    <w:rsid w:val="00D10763"/>
    <w:rsid w:val="00D12256"/>
    <w:rsid w:val="00D123D7"/>
    <w:rsid w:val="00D12ADF"/>
    <w:rsid w:val="00D1350B"/>
    <w:rsid w:val="00D150AF"/>
    <w:rsid w:val="00D16438"/>
    <w:rsid w:val="00D16889"/>
    <w:rsid w:val="00D17CC3"/>
    <w:rsid w:val="00D2056F"/>
    <w:rsid w:val="00D22E23"/>
    <w:rsid w:val="00D24041"/>
    <w:rsid w:val="00D244A9"/>
    <w:rsid w:val="00D2495B"/>
    <w:rsid w:val="00D263FD"/>
    <w:rsid w:val="00D269C5"/>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6D0C"/>
    <w:rsid w:val="00D57D71"/>
    <w:rsid w:val="00D57D9E"/>
    <w:rsid w:val="00D60082"/>
    <w:rsid w:val="00D617ED"/>
    <w:rsid w:val="00D61FA2"/>
    <w:rsid w:val="00D6500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891"/>
    <w:rsid w:val="00DB0EF6"/>
    <w:rsid w:val="00DB1626"/>
    <w:rsid w:val="00DB225C"/>
    <w:rsid w:val="00DB3567"/>
    <w:rsid w:val="00DB3CDA"/>
    <w:rsid w:val="00DB4114"/>
    <w:rsid w:val="00DB56C4"/>
    <w:rsid w:val="00DB5DD5"/>
    <w:rsid w:val="00DB640F"/>
    <w:rsid w:val="00DB714A"/>
    <w:rsid w:val="00DC0CE9"/>
    <w:rsid w:val="00DC102C"/>
    <w:rsid w:val="00DC2180"/>
    <w:rsid w:val="00DC2F64"/>
    <w:rsid w:val="00DC43BF"/>
    <w:rsid w:val="00DC5552"/>
    <w:rsid w:val="00DC60AB"/>
    <w:rsid w:val="00DC7F64"/>
    <w:rsid w:val="00DD319A"/>
    <w:rsid w:val="00DD4830"/>
    <w:rsid w:val="00DD4CCA"/>
    <w:rsid w:val="00DD7C31"/>
    <w:rsid w:val="00DE16C9"/>
    <w:rsid w:val="00DE1903"/>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7FA"/>
    <w:rsid w:val="00E02AA9"/>
    <w:rsid w:val="00E03275"/>
    <w:rsid w:val="00E03808"/>
    <w:rsid w:val="00E03DAF"/>
    <w:rsid w:val="00E044C7"/>
    <w:rsid w:val="00E04B73"/>
    <w:rsid w:val="00E04D43"/>
    <w:rsid w:val="00E06DC2"/>
    <w:rsid w:val="00E0712F"/>
    <w:rsid w:val="00E0738C"/>
    <w:rsid w:val="00E10937"/>
    <w:rsid w:val="00E10DA1"/>
    <w:rsid w:val="00E119BD"/>
    <w:rsid w:val="00E11A00"/>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227"/>
    <w:rsid w:val="00E3774F"/>
    <w:rsid w:val="00E416BA"/>
    <w:rsid w:val="00E4225E"/>
    <w:rsid w:val="00E42E38"/>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67E6D"/>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D3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660E"/>
    <w:rsid w:val="00ED70B4"/>
    <w:rsid w:val="00ED721E"/>
    <w:rsid w:val="00EE02F9"/>
    <w:rsid w:val="00EE08F7"/>
    <w:rsid w:val="00EE242D"/>
    <w:rsid w:val="00EE24E3"/>
    <w:rsid w:val="00EE42BD"/>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4EF3"/>
    <w:rsid w:val="00F25D7F"/>
    <w:rsid w:val="00F27BE0"/>
    <w:rsid w:val="00F27D41"/>
    <w:rsid w:val="00F300E4"/>
    <w:rsid w:val="00F30714"/>
    <w:rsid w:val="00F335AF"/>
    <w:rsid w:val="00F34A77"/>
    <w:rsid w:val="00F353C3"/>
    <w:rsid w:val="00F36434"/>
    <w:rsid w:val="00F36FCD"/>
    <w:rsid w:val="00F4296A"/>
    <w:rsid w:val="00F42D10"/>
    <w:rsid w:val="00F43037"/>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3C00"/>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281"/>
    <w:rsid w:val="00FF7D57"/>
    <w:rsid w:val="00FF7E89"/>
    <w:rsid w:val="188408F9"/>
    <w:rsid w:val="46A23D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nhideWhenUsed="0" w:uiPriority="99"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nhideWhenUsed="0" w:uiPriority="0" w:semiHidden="0"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semiHidden="0" w:name="HTML Typewriter"/>
    <w:lsdException w:uiPriority="99" w:name="HTML Variable"/>
    <w:lsdException w:uiPriority="99" w:name="Normal Table"/>
    <w:lsdException w:qFormat="1" w:uiPriority="99" w:semiHidden="0" w:name="annotation subject"/>
    <w:lsdException w:uiPriority="99" w:name="Table Simple 1"/>
    <w:lsdException w:unhideWhenUsed="0" w:uiPriority="0" w:semiHidden="0" w:name="Table Simple 2"/>
    <w:lsdException w:uiPriority="99" w:name="Table Simple 3"/>
    <w:lsdException w:unhideWhenUsed="0" w:uiPriority="0" w:semiHidden="0" w:name="Table Classic 1"/>
    <w:lsdException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nhideWhenUsed="0" w:uiPriority="0" w:semiHidden="0" w:name="Table Grid 2"/>
    <w:lsdException w:unhideWhenUsed="0" w:uiPriority="0" w:semiHidden="0" w:name="Table Grid 3"/>
    <w:lsdException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qFormat/>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eastAsia="宋体" w:cs="Times New Roman"/>
      <w:sz w:val="22"/>
      <w:szCs w:val="20"/>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5"/>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uiPriority w:val="99"/>
    <w:pPr>
      <w:spacing w:after="120"/>
      <w:ind w:left="283"/>
    </w:pPr>
    <w:rPr>
      <w:rFonts w:eastAsia="宋体"/>
      <w:sz w:val="20"/>
      <w:szCs w:val="20"/>
      <w:lang w:val="en-GB" w:eastAsia="en-US"/>
    </w:rPr>
  </w:style>
  <w:style w:type="paragraph" w:styleId="34">
    <w:name w:val="List Number 3"/>
    <w:basedOn w:val="1"/>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7"/>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uiPriority w:val="0"/>
    <w:pPr>
      <w:spacing w:after="180"/>
      <w:ind w:left="850" w:leftChars="400"/>
    </w:pPr>
    <w:rPr>
      <w:rFonts w:eastAsia="MS Mincho"/>
      <w:sz w:val="20"/>
      <w:szCs w:val="20"/>
      <w:lang w:val="en-GB" w:eastAsia="ja-JP"/>
    </w:rPr>
  </w:style>
  <w:style w:type="paragraph" w:styleId="52">
    <w:name w:val="HTML Preformatted"/>
    <w:basedOn w:val="1"/>
    <w:link w:val="34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6"/>
    <w:unhideWhenUsed/>
    <w:qFormat/>
    <w:uiPriority w:val="99"/>
    <w:rPr>
      <w:b/>
      <w:bCs/>
    </w:rPr>
  </w:style>
  <w:style w:type="paragraph" w:styleId="58">
    <w:name w:val="Body Text First Indent 2"/>
    <w:basedOn w:val="33"/>
    <w:link w:val="319"/>
    <w:uiPriority w:val="0"/>
    <w:pPr>
      <w:spacing w:after="180"/>
      <w:ind w:left="851" w:leftChars="400" w:firstLine="210" w:firstLineChars="100"/>
    </w:pPr>
    <w:rPr>
      <w:rFonts w:eastAsia="MS Mincho"/>
    </w:rPr>
  </w:style>
  <w:style w:type="table" w:styleId="60">
    <w:name w:val="Table Grid"/>
    <w:basedOn w:val="5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uiPriority w:val="0"/>
    <w:pPr>
      <w:spacing w:after="180" w:line="240" w:lineRule="auto"/>
    </w:pPr>
    <w:rPr>
      <w:rFonts w:ascii="CG Times (WN)" w:hAnsi="CG Times (WN)" w:eastAsia="MS Mincho" w:cs="Times New Roman"/>
      <w:sz w:val="2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uiPriority w:val="0"/>
    <w:rPr>
      <w:rFonts w:ascii="Arial" w:hAnsi="Arial" w:eastAsia="宋体" w:cs="Arial"/>
      <w:color w:val="0000FF"/>
      <w:kern w:val="2"/>
      <w:sz w:val="18"/>
      <w:lang w:val="en-US" w:eastAsia="zh-CN" w:bidi="ar-SA"/>
    </w:rPr>
  </w:style>
  <w:style w:type="character" w:styleId="80">
    <w:name w:val="HTML Typewriter"/>
    <w:unhideWhenUsed/>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paragraph" w:styleId="84">
    <w:name w:val="List Paragraph"/>
    <w:basedOn w:val="1"/>
    <w:link w:val="94"/>
    <w:qFormat/>
    <w:uiPriority w:val="34"/>
    <w:pPr>
      <w:spacing w:after="160" w:line="259" w:lineRule="auto"/>
      <w:ind w:left="720"/>
      <w:contextualSpacing/>
    </w:pPr>
    <w:rPr>
      <w:rFonts w:eastAsia="宋体" w:asciiTheme="minorHAnsi" w:hAnsiTheme="minorHAnsi" w:cstheme="minorBidi"/>
      <w:sz w:val="22"/>
      <w:szCs w:val="22"/>
      <w:lang w:eastAsia="en-US"/>
    </w:rPr>
  </w:style>
  <w:style w:type="character" w:customStyle="1" w:styleId="85">
    <w:name w:val="Comment Text Char"/>
    <w:basedOn w:val="74"/>
    <w:link w:val="30"/>
    <w:qFormat/>
    <w:uiPriority w:val="0"/>
    <w:rPr>
      <w:sz w:val="20"/>
      <w:szCs w:val="20"/>
    </w:rPr>
  </w:style>
  <w:style w:type="character" w:customStyle="1" w:styleId="86">
    <w:name w:val="Comment Subject Char"/>
    <w:basedOn w:val="85"/>
    <w:link w:val="57"/>
    <w:qFormat/>
    <w:uiPriority w:val="99"/>
    <w:rPr>
      <w:b/>
      <w:bCs/>
      <w:sz w:val="20"/>
      <w:szCs w:val="20"/>
    </w:rPr>
  </w:style>
  <w:style w:type="character" w:customStyle="1" w:styleId="87">
    <w:name w:val="Balloon Text Char"/>
    <w:basedOn w:val="74"/>
    <w:link w:val="40"/>
    <w:qFormat/>
    <w:uiPriority w:val="99"/>
    <w:rPr>
      <w:rFonts w:ascii="Segoe UI" w:hAnsi="Segoe UI" w:cs="Segoe UI"/>
      <w:sz w:val="18"/>
      <w:szCs w:val="18"/>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Header Char"/>
    <w:basedOn w:val="74"/>
    <w:link w:val="42"/>
    <w:qFormat/>
    <w:uiPriority w:val="0"/>
    <w:rPr>
      <w:sz w:val="18"/>
      <w:szCs w:val="18"/>
    </w:rPr>
  </w:style>
  <w:style w:type="character" w:customStyle="1" w:styleId="93">
    <w:name w:val="Footer Char"/>
    <w:basedOn w:val="74"/>
    <w:link w:val="41"/>
    <w:qFormat/>
    <w:uiPriority w:val="99"/>
    <w:rPr>
      <w:sz w:val="18"/>
      <w:szCs w:val="18"/>
    </w:rPr>
  </w:style>
  <w:style w:type="character" w:customStyle="1" w:styleId="94">
    <w:name w:val="List Paragraph Char"/>
    <w:basedOn w:val="74"/>
    <w:link w:val="84"/>
    <w:qFormat/>
    <w:locked/>
    <w:uiPriority w:val="34"/>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Revision"/>
    <w:hidden/>
    <w:semiHidden/>
    <w:qFormat/>
    <w:uiPriority w:val="99"/>
    <w:pPr>
      <w:spacing w:after="0" w:line="240" w:lineRule="auto"/>
    </w:pPr>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Heading 1 Char"/>
    <w:basedOn w:val="74"/>
    <w:link w:val="2"/>
    <w:qFormat/>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uiPriority w:val="0"/>
    <w:rPr>
      <w:rFonts w:ascii="Times New Roman" w:hAnsi="Times New Roman" w:eastAsia="Malgun Gothic" w:cs="Batang"/>
      <w:szCs w:val="20"/>
      <w:lang w:val="en-GB"/>
    </w:rPr>
  </w:style>
  <w:style w:type="character" w:customStyle="1" w:styleId="105">
    <w:name w:val="Caption Char1"/>
    <w:link w:val="28"/>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val="zh-CN" w:eastAsia="en-US"/>
    </w:rPr>
  </w:style>
  <w:style w:type="character" w:customStyle="1" w:styleId="110">
    <w:name w:val="Heading 5 Char"/>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Heading 2 Char1"/>
    <w:basedOn w:val="74"/>
    <w:link w:val="3"/>
    <w:qFormat/>
    <w:uiPriority w:val="0"/>
    <w:rPr>
      <w:rFonts w:ascii="Times New Roman" w:hAnsi="Times New Roman" w:eastAsia="Malgun Gothic" w:cs="Times New Roman"/>
      <w:sz w:val="32"/>
      <w:szCs w:val="32"/>
      <w:lang w:eastAsia="zh-CN"/>
    </w:rPr>
  </w:style>
  <w:style w:type="character" w:customStyle="1" w:styleId="112">
    <w:name w:val="Heading 3 Char"/>
    <w:basedOn w:val="74"/>
    <w:link w:val="4"/>
    <w:qFormat/>
    <w:uiPriority w:val="10"/>
    <w:rPr>
      <w:rFonts w:ascii="Times New Roman" w:hAnsi="Times New Roman" w:eastAsia="Malgun Gothic" w:cs="Times New Roman"/>
      <w:sz w:val="28"/>
      <w:szCs w:val="28"/>
      <w:lang w:eastAsia="zh-CN"/>
    </w:rPr>
  </w:style>
  <w:style w:type="character" w:customStyle="1" w:styleId="113">
    <w:name w:val="Heading 4 Char"/>
    <w:basedOn w:val="74"/>
    <w:link w:val="5"/>
    <w:qFormat/>
    <w:uiPriority w:val="0"/>
    <w:rPr>
      <w:rFonts w:ascii="Times New Roman" w:hAnsi="Times New Roman" w:eastAsia="Malgun Gothic" w:cs="Times New Roman"/>
      <w:sz w:val="24"/>
      <w:szCs w:val="24"/>
      <w:lang w:eastAsia="zh-CN"/>
    </w:rPr>
  </w:style>
  <w:style w:type="character" w:customStyle="1" w:styleId="114">
    <w:name w:val="Heading 6 Char"/>
    <w:basedOn w:val="74"/>
    <w:link w:val="7"/>
    <w:qFormat/>
    <w:uiPriority w:val="9"/>
    <w:rPr>
      <w:rFonts w:ascii="Times New Roman" w:hAnsi="Times New Roman" w:eastAsia="Times New Roman" w:cs="Arial"/>
      <w:sz w:val="24"/>
      <w:szCs w:val="24"/>
      <w:lang w:eastAsia="zh-CN"/>
    </w:rPr>
  </w:style>
  <w:style w:type="character" w:customStyle="1" w:styleId="115">
    <w:name w:val="Heading 7 Char"/>
    <w:basedOn w:val="74"/>
    <w:link w:val="8"/>
    <w:qFormat/>
    <w:uiPriority w:val="9"/>
    <w:rPr>
      <w:rFonts w:ascii="Times New Roman" w:hAnsi="Times New Roman" w:eastAsia="Times New Roman" w:cs="Arial"/>
      <w:sz w:val="24"/>
      <w:szCs w:val="24"/>
      <w:lang w:eastAsia="zh-CN"/>
    </w:rPr>
  </w:style>
  <w:style w:type="character" w:customStyle="1" w:styleId="116">
    <w:name w:val="Heading 8 Char"/>
    <w:basedOn w:val="74"/>
    <w:link w:val="9"/>
    <w:qFormat/>
    <w:uiPriority w:val="9"/>
    <w:rPr>
      <w:rFonts w:ascii="Times New Roman" w:hAnsi="Times New Roman" w:eastAsia="Times New Roman" w:cs="Arial"/>
      <w:sz w:val="24"/>
      <w:szCs w:val="24"/>
      <w:lang w:eastAsia="zh-CN"/>
    </w:rPr>
  </w:style>
  <w:style w:type="character" w:customStyle="1" w:styleId="117">
    <w:name w:val="Heading 9 Char"/>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Body Text Char"/>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spacing w:after="0" w:line="240" w:lineRule="auto"/>
    </w:pPr>
    <w:rPr>
      <w:rFonts w:ascii="Arial" w:hAnsi="Arial" w:eastAsia="宋体" w:cs="Times New Roman"/>
      <w:sz w:val="32"/>
      <w:szCs w:val="20"/>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after="0" w:line="180" w:lineRule="exact"/>
    </w:pPr>
    <w:rPr>
      <w:rFonts w:ascii="Courier New" w:hAnsi="Courier New" w:eastAsia="宋体" w:cs="Times New Roman"/>
      <w:sz w:val="20"/>
      <w:szCs w:val="20"/>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sz w:val="40"/>
      <w:szCs w:val="20"/>
      <w:lang w:val="en-GB" w:eastAsia="en-US" w:bidi="ar-SA"/>
    </w:rPr>
  </w:style>
  <w:style w:type="paragraph" w:customStyle="1" w:styleId="150">
    <w:name w:val="ZB"/>
    <w:qFormat/>
    <w:uiPriority w:val="0"/>
    <w:pPr>
      <w:framePr w:w="10206" w:h="284" w:hRule="exact" w:wrap="notBeside" w:vAnchor="page" w:hAnchor="margin" w:y="1986"/>
      <w:widowControl w:val="0"/>
      <w:spacing w:after="0" w:line="240" w:lineRule="auto"/>
      <w:ind w:right="28"/>
      <w:jc w:val="right"/>
    </w:pPr>
    <w:rPr>
      <w:rFonts w:ascii="Arial" w:hAnsi="Arial" w:eastAsia="宋体" w:cs="Times New Roman"/>
      <w:i/>
      <w:sz w:val="20"/>
      <w:szCs w:val="20"/>
      <w:lang w:val="en-GB" w:eastAsia="en-US" w:bidi="ar-SA"/>
    </w:rPr>
  </w:style>
  <w:style w:type="paragraph" w:customStyle="1" w:styleId="151">
    <w:name w:val="ZT"/>
    <w:qFormat/>
    <w:uiPriority w:val="0"/>
    <w:pPr>
      <w:framePr w:wrap="notBeside" w:vAnchor="margin" w:hAnchor="margin" w:yAlign="center"/>
      <w:widowControl w:val="0"/>
      <w:spacing w:after="0" w:line="240" w:lineRule="atLeast"/>
      <w:jc w:val="right"/>
    </w:pPr>
    <w:rPr>
      <w:rFonts w:ascii="Arial" w:hAnsi="Arial" w:eastAsia="宋体" w:cs="Times New Roman"/>
      <w:b/>
      <w:sz w:val="34"/>
      <w:szCs w:val="20"/>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sz w:val="20"/>
      <w:szCs w:val="20"/>
      <w:lang w:val="en-GB" w:eastAsia="en-US" w:bidi="ar-SA"/>
    </w:rPr>
  </w:style>
  <w:style w:type="paragraph" w:customStyle="1" w:styleId="153">
    <w:name w:val="ZH"/>
    <w:qFormat/>
    <w:uiPriority w:val="0"/>
    <w:pPr>
      <w:framePr w:wrap="notBeside" w:vAnchor="page" w:hAnchor="margin" w:xAlign="center" w:y="6805"/>
      <w:widowControl w:val="0"/>
      <w:spacing w:after="0" w:line="240" w:lineRule="auto"/>
    </w:pPr>
    <w:rPr>
      <w:rFonts w:ascii="Arial" w:hAnsi="Arial" w:eastAsia="宋体" w:cs="Times New Roman"/>
      <w:sz w:val="20"/>
      <w:szCs w:val="20"/>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spacing w:after="0" w:line="240" w:lineRule="auto"/>
      <w:jc w:val="right"/>
    </w:pPr>
    <w:rPr>
      <w:rFonts w:ascii="Arial" w:hAnsi="Arial" w:eastAsia="宋体" w:cs="Times New Roman"/>
      <w:sz w:val="20"/>
      <w:szCs w:val="20"/>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pPr>
      <w:spacing w:after="0" w:line="240" w:lineRule="auto"/>
    </w:pPr>
    <w:rPr>
      <w:rFonts w:ascii="Times New Roman" w:hAnsi="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Footnote Text Char"/>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uiPriority w:val="0"/>
    <w:rPr>
      <w:lang w:eastAsia="en-US"/>
    </w:rPr>
  </w:style>
  <w:style w:type="character" w:customStyle="1" w:styleId="169">
    <w:name w:val="List Char"/>
    <w:link w:val="22"/>
    <w:qFormat/>
    <w:uiPriority w:val="0"/>
    <w:rPr>
      <w:rFonts w:ascii="Times New Roman" w:hAnsi="Times New Roman" w:cs="Times New Roman" w:eastAsiaTheme="minorEastAsia"/>
      <w:sz w:val="24"/>
      <w:szCs w:val="24"/>
      <w:lang w:eastAsia="ko-KR"/>
    </w:rPr>
  </w:style>
  <w:style w:type="character" w:customStyle="1" w:styleId="170">
    <w:name w:val="List 2 Char"/>
    <w:link w:val="12"/>
    <w:qFormat/>
    <w:uiPriority w:val="0"/>
    <w:rPr>
      <w:rFonts w:ascii="Times New Roman" w:hAnsi="Times New Roman" w:cs="Times New Roman" w:eastAsiaTheme="minorEastAsia"/>
      <w:sz w:val="24"/>
      <w:szCs w:val="24"/>
      <w:lang w:eastAsia="ko-KR"/>
    </w:rPr>
  </w:style>
  <w:style w:type="character" w:customStyle="1" w:styleId="171">
    <w:name w:val="List 3 Char"/>
    <w:link w:val="11"/>
    <w:qFormat/>
    <w:uiPriority w:val="0"/>
    <w:rPr>
      <w:rFonts w:ascii="Times New Roman" w:hAnsi="Times New Roman" w:cs="Times New Roman"/>
      <w:sz w:val="20"/>
      <w:szCs w:val="20"/>
      <w:lang w:val="en-GB" w:eastAsia="en-GB"/>
    </w:rPr>
  </w:style>
  <w:style w:type="paragraph" w:customStyle="1" w:styleId="172">
    <w:name w:val="enumlev2"/>
    <w:basedOn w:val="1"/>
    <w:uiPriority w:val="0"/>
    <w:pPr>
      <w:numPr>
        <w:ilvl w:val="0"/>
        <w:numId w:val="7"/>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 w:val="20"/>
      <w:szCs w:val="20"/>
      <w:lang w:eastAsia="en-GB"/>
    </w:rPr>
  </w:style>
  <w:style w:type="paragraph" w:customStyle="1" w:styleId="173">
    <w:name w:val="Couv Rec Title"/>
    <w:basedOn w:val="1"/>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Document Map Char"/>
    <w:basedOn w:val="74"/>
    <w:link w:val="29"/>
    <w:qFormat/>
    <w:uiPriority w:val="99"/>
    <w:rPr>
      <w:rFonts w:ascii="Tahoma" w:hAnsi="Tahoma" w:cs="Times New Roman"/>
      <w:sz w:val="20"/>
      <w:szCs w:val="20"/>
      <w:shd w:val="clear" w:color="auto" w:fill="000080"/>
      <w:lang w:val="zh-CN" w:eastAsia="zh-CN"/>
    </w:rPr>
  </w:style>
  <w:style w:type="character" w:customStyle="1" w:styleId="175">
    <w:name w:val="Plain Text Char"/>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Body Text 2 Char"/>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Body Text Indent 2 Char"/>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Body Text Indent 3 Char"/>
    <w:link w:val="48"/>
    <w:uiPriority w:val="0"/>
    <w:rPr>
      <w:lang w:eastAsia="ja-JP"/>
    </w:rPr>
  </w:style>
  <w:style w:type="character" w:customStyle="1" w:styleId="185">
    <w:name w:val="본문 들여쓰기 3 Char1"/>
    <w:basedOn w:val="74"/>
    <w:semiHidden/>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Date Char"/>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eastAsia="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pPr>
      <w:spacing w:after="0" w:line="240" w:lineRule="auto"/>
    </w:pPr>
    <w:rPr>
      <w:rFonts w:ascii="Arial" w:hAnsi="Arial" w:eastAsia="MS Mincho" w:cs="Times New Roman"/>
      <w:sz w:val="20"/>
      <w:szCs w:val="20"/>
      <w:lang w:val="en-GB" w:eastAsia="en-US" w:bidi="ar-SA"/>
    </w:rPr>
  </w:style>
  <w:style w:type="paragraph" w:customStyle="1" w:styleId="204">
    <w:name w:val="table text"/>
    <w:basedOn w:val="1"/>
    <w:next w:val="205"/>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uiPriority w:val="0"/>
    <w:pPr>
      <w:widowControl/>
      <w:numPr>
        <w:ilvl w:val="0"/>
        <w:numId w:val="11"/>
      </w:numPr>
      <w:tabs>
        <w:tab w:val="clear" w:pos="360"/>
      </w:tabs>
      <w:spacing w:after="120"/>
    </w:pPr>
    <w:rPr>
      <w:rFonts w:eastAsia="MS Mincho"/>
      <w:lang w:val="en-US"/>
    </w:rPr>
  </w:style>
  <w:style w:type="paragraph" w:customStyle="1" w:styleId="213">
    <w:name w:val="normal puce"/>
    <w:basedOn w:val="1"/>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line="240" w:lineRule="auto"/>
    </w:pPr>
    <w:rPr>
      <w:rFonts w:ascii="Arial" w:hAnsi="Arial" w:eastAsia="MS Mincho" w:cs="Times New Roman"/>
      <w:sz w:val="20"/>
      <w:szCs w:val="20"/>
      <w:lang w:val="en-GB" w:eastAsia="en-US" w:bidi="ar-SA"/>
    </w:rPr>
  </w:style>
  <w:style w:type="paragraph" w:customStyle="1" w:styleId="218">
    <w:name w:val="Cell"/>
    <w:basedOn w:val="1"/>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uiPriority w:val="0"/>
    <w:rPr>
      <w:i/>
      <w:color w:val="0000FF"/>
      <w:lang w:val="en-GB" w:eastAsia="ja-JP" w:bidi="ar-SA"/>
    </w:rPr>
  </w:style>
  <w:style w:type="paragraph" w:customStyle="1" w:styleId="222">
    <w:name w:val="Char Char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23">
    <w:name w:val="Char Char Char Char Char Char Char Char Char Char Char Char"/>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24">
    <w:name w:val="h4 Char Char"/>
    <w:uiPriority w:val="0"/>
    <w:rPr>
      <w:rFonts w:ascii="Arial" w:hAnsi="Arial"/>
      <w:sz w:val="24"/>
      <w:lang w:val="en-GB" w:eastAsia="ja-JP" w:bidi="ar-SA"/>
    </w:rPr>
  </w:style>
  <w:style w:type="character" w:customStyle="1" w:styleId="225">
    <w:name w:val="Figure Caption1"/>
    <w:uiPriority w:val="0"/>
    <w:rPr>
      <w:rFonts w:ascii="Arial" w:hAnsi="Arial" w:eastAsia="????" w:cs="Arial"/>
      <w:color w:val="0000FF"/>
      <w:kern w:val="2"/>
      <w:lang w:val="en-US" w:eastAsia="en-US" w:bidi="ar-SA"/>
    </w:rPr>
  </w:style>
  <w:style w:type="character" w:customStyle="1" w:styleId="226">
    <w:name w:val="Char Char5"/>
    <w:semiHidden/>
    <w:uiPriority w:val="0"/>
    <w:rPr>
      <w:rFonts w:ascii="Times New Roman" w:hAnsi="Times New Roman"/>
      <w:lang w:eastAsia="en-US"/>
    </w:rPr>
  </w:style>
  <w:style w:type="paragraph" w:customStyle="1" w:styleId="227">
    <w:name w:val="tdoc-header"/>
    <w:uiPriority w:val="0"/>
    <w:pPr>
      <w:spacing w:after="0" w:line="240" w:lineRule="auto"/>
    </w:pPr>
    <w:rPr>
      <w:rFonts w:ascii="Arial" w:hAnsi="Arial" w:eastAsia="宋体" w:cs="Times New Roman"/>
      <w:sz w:val="24"/>
      <w:szCs w:val="20"/>
      <w:lang w:val="en-GB" w:eastAsia="en-US" w:bidi="ar-SA"/>
    </w:rPr>
  </w:style>
  <w:style w:type="paragraph" w:customStyle="1" w:styleId="228">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 w:val="20"/>
      <w:szCs w:val="20"/>
      <w:lang w:val="en-US" w:eastAsia="zh-CN" w:bidi="ar-SA"/>
    </w:rPr>
  </w:style>
  <w:style w:type="paragraph" w:customStyle="1" w:styleId="229">
    <w:name w:val="Char Char1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30">
    <w:name w:val="Char Char Char Char1"/>
    <w:uiPriority w:val="99"/>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31">
    <w:name w:val="Char Char Char Char Char Char Char Char Char Char Char Char1"/>
    <w:semiHidden/>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32">
    <w:name w:val="Char Char51"/>
    <w:semiHidden/>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lang w:val="zh-CN" w:eastAsia="zh-CN"/>
    </w:rPr>
  </w:style>
  <w:style w:type="character" w:customStyle="1" w:styleId="237">
    <w:name w:val="RAN1 text Char"/>
    <w:link w:val="236"/>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eastAsia="zh-CN"/>
    </w:rPr>
  </w:style>
  <w:style w:type="character" w:customStyle="1" w:styleId="243">
    <w:name w:val="text Char"/>
    <w:link w:val="207"/>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eastAsia="zh-CN"/>
    </w:rPr>
  </w:style>
  <w:style w:type="character" w:customStyle="1" w:styleId="245">
    <w:name w:val="bullet1 Char"/>
    <w:link w:val="242"/>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uiPriority w:val="0"/>
    <w:rPr>
      <w:rFonts w:ascii="Times" w:hAnsi="Times" w:eastAsia="Batang" w:cs="Times New Roman"/>
      <w:sz w:val="20"/>
      <w:szCs w:val="24"/>
      <w:lang w:val="zh-CN"/>
    </w:rPr>
  </w:style>
  <w:style w:type="character" w:customStyle="1" w:styleId="251">
    <w:name w:val="bullet3 Char"/>
    <w:link w:val="246"/>
    <w:uiPriority w:val="0"/>
    <w:rPr>
      <w:rFonts w:ascii="Times" w:hAnsi="Times" w:eastAsia="Batang" w:cs="Times New Roman"/>
      <w:sz w:val="20"/>
      <w:szCs w:val="24"/>
      <w:lang w:val="zh-CN"/>
    </w:rPr>
  </w:style>
  <w:style w:type="character" w:customStyle="1" w:styleId="252">
    <w:name w:val="bullet4 Char"/>
    <w:link w:val="248"/>
    <w:uiPriority w:val="0"/>
    <w:rPr>
      <w:rFonts w:ascii="Times" w:hAnsi="Times" w:eastAsia="Batang" w:cs="Times New Roman"/>
      <w:sz w:val="20"/>
      <w:szCs w:val="24"/>
      <w:lang w:val="zh-CN"/>
    </w:rPr>
  </w:style>
  <w:style w:type="character" w:customStyle="1" w:styleId="253">
    <w:name w:val="Book Title"/>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uiPriority w:val="99"/>
    <w:rPr>
      <w:rFonts w:ascii="Times New Roman" w:hAnsi="Times New Roman" w:cs="Times New Roman"/>
      <w:b/>
      <w:bCs/>
      <w:sz w:val="20"/>
      <w:szCs w:val="20"/>
      <w:lang w:val="en-GB" w:eastAsia="zh-CN"/>
    </w:rPr>
  </w:style>
  <w:style w:type="paragraph" w:customStyle="1" w:styleId="264">
    <w:name w:val="Zchn Zchn"/>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 w:val="20"/>
      <w:szCs w:val="20"/>
      <w:lang w:val="en-US" w:eastAsia="ar-SA" w:bidi="ar-SA"/>
    </w:rPr>
  </w:style>
  <w:style w:type="paragraph" w:customStyle="1" w:styleId="265">
    <w:name w:val="bullet"/>
    <w:basedOn w:val="84"/>
    <w:link w:val="266"/>
    <w:qFormat/>
    <w:uiPriority w:val="0"/>
    <w:pPr>
      <w:numPr>
        <w:ilvl w:val="0"/>
        <w:numId w:val="19"/>
      </w:numPr>
      <w:spacing w:after="0" w:line="240" w:lineRule="auto"/>
    </w:pPr>
    <w:rPr>
      <w:rFonts w:ascii="Times New Roman" w:hAnsi="Times New Roman" w:eastAsia="Times New Roman" w:cs="Times New Roman"/>
      <w:sz w:val="20"/>
      <w:szCs w:val="24"/>
    </w:rPr>
  </w:style>
  <w:style w:type="character" w:customStyle="1" w:styleId="266">
    <w:name w:val="bullet Char"/>
    <w:link w:val="265"/>
    <w:uiPriority w:val="0"/>
    <w:rPr>
      <w:rFonts w:ascii="Times New Roman" w:hAnsi="Times New Roman" w:eastAsia="Times New Roman" w:cs="Times New Roman"/>
      <w:sz w:val="20"/>
      <w:szCs w:val="24"/>
    </w:rPr>
  </w:style>
  <w:style w:type="paragraph" w:customStyle="1" w:styleId="267">
    <w:name w:val="TOC Heading"/>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uiPriority w:val="0"/>
    <w:rPr>
      <w:rFonts w:ascii="Arial" w:hAnsi="Arial" w:eastAsia="MS Mincho" w:cs="Times New Roman"/>
      <w:i/>
      <w:sz w:val="18"/>
      <w:szCs w:val="24"/>
      <w:lang w:val="en-GB" w:eastAsia="en-GB"/>
    </w:rPr>
  </w:style>
  <w:style w:type="paragraph" w:customStyle="1" w:styleId="270">
    <w:name w:val="onecomwebmail-msonormal"/>
    <w:basedOn w:val="1"/>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uiPriority w:val="0"/>
    <w:rPr>
      <w:rFonts w:ascii="Times New Roman" w:hAnsi="Times New Roman" w:cs="Times New Roman"/>
      <w:sz w:val="20"/>
      <w:szCs w:val="20"/>
      <w:lang w:val="en-GB"/>
    </w:rPr>
  </w:style>
  <w:style w:type="table" w:customStyle="1" w:styleId="274">
    <w:name w:val="Table Grid1"/>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277">
    <w:name w:val="标题41"/>
    <w:basedOn w:val="1"/>
    <w:next w:val="27"/>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uiPriority w:val="99"/>
    <w:rPr>
      <w:rFonts w:ascii="Arial" w:hAnsi="Arial"/>
      <w:vanish/>
      <w:sz w:val="16"/>
      <w:szCs w:val="16"/>
      <w:lang w:eastAsia="zh-CN"/>
    </w:rPr>
  </w:style>
  <w:style w:type="paragraph" w:customStyle="1" w:styleId="281">
    <w:name w:val="HTML Top of Form"/>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uiPriority w:val="0"/>
  </w:style>
  <w:style w:type="paragraph" w:customStyle="1" w:styleId="283">
    <w:name w:val="z-Bottom of Form1"/>
    <w:basedOn w:val="1"/>
    <w:next w:val="1"/>
    <w:hidden/>
    <w:unhideWhenUsed/>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uiPriority w:val="99"/>
    <w:rPr>
      <w:rFonts w:ascii="Arial" w:hAnsi="Arial"/>
      <w:vanish/>
      <w:sz w:val="16"/>
      <w:szCs w:val="16"/>
      <w:lang w:eastAsia="zh-CN"/>
    </w:rPr>
  </w:style>
  <w:style w:type="paragraph" w:customStyle="1" w:styleId="285">
    <w:name w:val="HTML Bottom of Form"/>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uiPriority w:val="0"/>
  </w:style>
  <w:style w:type="paragraph" w:customStyle="1" w:styleId="291">
    <w:name w:val="Test"/>
    <w:basedOn w:val="1"/>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uiPriority w:val="99"/>
    <w:rPr>
      <w:rFonts w:ascii="Times New Roman" w:hAnsi="Times New Roman" w:cs="Times New Roman"/>
      <w:sz w:val="20"/>
      <w:szCs w:val="20"/>
      <w:lang w:eastAsia="zh-CN"/>
    </w:rPr>
  </w:style>
  <w:style w:type="paragraph" w:customStyle="1" w:styleId="296">
    <w:name w:val="ordinary-output"/>
    <w:basedOn w:val="1"/>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uiPriority w:val="0"/>
    <w:rPr>
      <w:rFonts w:ascii="Times New Roman" w:hAnsi="Times New Roman" w:eastAsia="MS Mincho" w:cs="Times New Roman"/>
      <w:szCs w:val="24"/>
      <w:lang w:eastAsia="zh-CN"/>
    </w:rPr>
  </w:style>
  <w:style w:type="table" w:customStyle="1" w:styleId="300">
    <w:name w:val="网格型1"/>
    <w:basedOn w:val="59"/>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Subtitle Char"/>
    <w:basedOn w:val="74"/>
    <w:link w:val="44"/>
    <w:uiPriority w:val="11"/>
    <w:rPr>
      <w:rFonts w:ascii="Calibri Light" w:hAnsi="Calibri Light"/>
      <w:b/>
      <w:i/>
      <w:iCs/>
      <w:color w:val="4472C4"/>
      <w:spacing w:val="15"/>
      <w:szCs w:val="24"/>
      <w:lang w:eastAsia="zh-CN"/>
    </w:rPr>
  </w:style>
  <w:style w:type="table" w:customStyle="1" w:styleId="304">
    <w:name w:val="Table Grid Light1"/>
    <w:basedOn w:val="59"/>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uiPriority w:val="0"/>
  </w:style>
  <w:style w:type="character" w:customStyle="1" w:styleId="307">
    <w:name w:val="Title Char"/>
    <w:basedOn w:val="74"/>
    <w:link w:val="56"/>
    <w:uiPriority w:val="0"/>
    <w:rPr>
      <w:rFonts w:ascii="Arial" w:hAnsi="Arial" w:eastAsia="MS Mincho" w:cs="Times New Roman"/>
      <w:b/>
      <w:sz w:val="24"/>
      <w:szCs w:val="20"/>
      <w:lang w:val="de-DE" w:eastAsia="ja-JP"/>
    </w:rPr>
  </w:style>
  <w:style w:type="character" w:customStyle="1" w:styleId="308">
    <w:name w:val="B1 Char"/>
    <w:locked/>
    <w:uiPriority w:val="0"/>
    <w:rPr>
      <w:rFonts w:ascii="Times New Roman" w:hAnsi="Times New Roman" w:eastAsia="宋体" w:cs="Times New Roman"/>
      <w:sz w:val="20"/>
      <w:szCs w:val="20"/>
      <w:lang w:val="en-GB"/>
    </w:rPr>
  </w:style>
  <w:style w:type="paragraph" w:customStyle="1" w:styleId="309">
    <w:name w:val="TableText"/>
    <w:basedOn w:val="33"/>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uiPriority w:val="0"/>
  </w:style>
  <w:style w:type="paragraph" w:customStyle="1" w:styleId="313">
    <w:name w:val="Überschrift 2.Head2A.2"/>
    <w:basedOn w:val="2"/>
    <w:next w:val="1"/>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uiPriority w:val="0"/>
    <w:pPr>
      <w:widowControl w:val="0"/>
      <w:spacing w:after="0"/>
      <w:jc w:val="both"/>
    </w:pPr>
    <w:rPr>
      <w:rFonts w:eastAsia="宋体"/>
      <w:color w:val="0000FF"/>
      <w:kern w:val="2"/>
      <w:sz w:val="21"/>
      <w:szCs w:val="20"/>
    </w:rPr>
  </w:style>
  <w:style w:type="paragraph" w:customStyle="1" w:styleId="316">
    <w:name w:val="Balloon Text1"/>
    <w:basedOn w:val="1"/>
    <w:semiHidden/>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uiPriority w:val="0"/>
    <w:pPr>
      <w:spacing w:before="360" w:line="240" w:lineRule="atLeast"/>
      <w:jc w:val="center"/>
    </w:pPr>
    <w:rPr>
      <w:rFonts w:eastAsia="MS Mincho"/>
      <w:sz w:val="20"/>
      <w:szCs w:val="20"/>
      <w:lang w:eastAsia="ja-JP"/>
    </w:rPr>
  </w:style>
  <w:style w:type="character" w:customStyle="1" w:styleId="318">
    <w:name w:val="Body Text Indent Char1"/>
    <w:basedOn w:val="74"/>
    <w:link w:val="33"/>
    <w:uiPriority w:val="99"/>
    <w:rPr>
      <w:rFonts w:ascii="Times New Roman" w:hAnsi="Times New Roman" w:cs="Times New Roman"/>
      <w:sz w:val="20"/>
      <w:szCs w:val="20"/>
      <w:lang w:val="en-GB"/>
    </w:rPr>
  </w:style>
  <w:style w:type="character" w:customStyle="1" w:styleId="319">
    <w:name w:val="Body Text First Indent 2 Char"/>
    <w:basedOn w:val="318"/>
    <w:link w:val="58"/>
    <w:uiPriority w:val="0"/>
    <w:rPr>
      <w:rFonts w:ascii="Times New Roman" w:hAnsi="Times New Roman" w:eastAsia="MS Mincho" w:cs="Times New Roman"/>
      <w:sz w:val="20"/>
      <w:szCs w:val="20"/>
      <w:lang w:val="en-GB"/>
    </w:rPr>
  </w:style>
  <w:style w:type="paragraph" w:customStyle="1" w:styleId="320">
    <w:name w:val="List 1"/>
    <w:basedOn w:val="1"/>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uiPriority w:val="0"/>
    <w:pPr>
      <w:spacing w:after="180"/>
      <w:jc w:val="center"/>
    </w:pPr>
    <w:rPr>
      <w:rFonts w:eastAsia="MS Mincho"/>
      <w:sz w:val="20"/>
      <w:szCs w:val="20"/>
      <w:lang w:val="en-GB" w:eastAsia="ja-JP"/>
    </w:rPr>
  </w:style>
  <w:style w:type="paragraph" w:customStyle="1" w:styleId="322">
    <w:name w:val="Nor'"/>
    <w:basedOn w:val="321"/>
    <w:uiPriority w:val="0"/>
    <w:rPr>
      <w:b/>
    </w:rPr>
  </w:style>
  <w:style w:type="table" w:customStyle="1" w:styleId="323">
    <w:name w:val="浅色列表1"/>
    <w:basedOn w:val="59"/>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uiPriority w:val="0"/>
    <w:pPr>
      <w:spacing w:after="220"/>
    </w:pPr>
    <w:rPr>
      <w:rFonts w:ascii="Arial" w:hAnsi="Arial" w:eastAsia="宋体"/>
      <w:sz w:val="22"/>
      <w:lang w:eastAsia="en-US"/>
    </w:rPr>
  </w:style>
  <w:style w:type="paragraph" w:customStyle="1" w:styleId="325">
    <w:name w:val="样式 正文"/>
    <w:basedOn w:val="1"/>
    <w:link w:val="326"/>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uiPriority w:val="0"/>
    <w:rPr>
      <w:rFonts w:ascii="Times New Roman" w:hAnsi="Times New Roman" w:cs="宋体"/>
      <w:kern w:val="2"/>
      <w:sz w:val="21"/>
      <w:szCs w:val="20"/>
      <w:lang w:eastAsia="zh-CN"/>
    </w:rPr>
  </w:style>
  <w:style w:type="paragraph" w:customStyle="1" w:styleId="327">
    <w:name w:val="公式"/>
    <w:basedOn w:val="1"/>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jc w:val="left"/>
      <w:textAlignment w:val="auto"/>
    </w:pPr>
    <w:rPr>
      <w:rFonts w:ascii="Calibri" w:hAnsi="Calibri" w:eastAsia="Calibri"/>
      <w:sz w:val="22"/>
      <w:szCs w:val="22"/>
      <w:lang w:val="en-US" w:eastAsia="en-US"/>
    </w:rPr>
  </w:style>
  <w:style w:type="paragraph" w:customStyle="1" w:styleId="334">
    <w:name w:val="Table of Figures1"/>
    <w:basedOn w:val="1"/>
    <w:next w:val="1"/>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uiPriority w:val="0"/>
    <w:pPr>
      <w:keepNext/>
      <w:numPr>
        <w:ilvl w:val="0"/>
        <w:numId w:val="21"/>
      </w:numPr>
      <w:autoSpaceDE w:val="0"/>
      <w:autoSpaceDN w:val="0"/>
      <w:adjustRightInd w:val="0"/>
      <w:spacing w:before="60" w:after="60" w:line="240" w:lineRule="auto"/>
      <w:jc w:val="both"/>
    </w:pPr>
    <w:rPr>
      <w:rFonts w:ascii="Arial" w:hAnsi="Arial" w:eastAsia="宋体" w:cs="Arial"/>
      <w:color w:val="0000FF"/>
      <w:kern w:val="2"/>
      <w:sz w:val="20"/>
      <w:szCs w:val="20"/>
      <w:lang w:val="en-US" w:eastAsia="zh-CN" w:bidi="ar-SA"/>
    </w:rPr>
  </w:style>
  <w:style w:type="paragraph" w:customStyle="1" w:styleId="337">
    <w:name w:val="Numbered List"/>
    <w:basedOn w:val="1"/>
    <w:uiPriority w:val="0"/>
    <w:pPr>
      <w:numPr>
        <w:ilvl w:val="0"/>
        <w:numId w:val="22"/>
      </w:numPr>
      <w:jc w:val="both"/>
    </w:pPr>
    <w:rPr>
      <w:rFonts w:eastAsia="MS Mincho"/>
      <w:sz w:val="20"/>
      <w:szCs w:val="20"/>
      <w:lang w:val="en-GB" w:eastAsia="en-US"/>
    </w:rPr>
  </w:style>
  <w:style w:type="paragraph" w:customStyle="1" w:styleId="338">
    <w:name w:val="Figure Caption"/>
    <w:basedOn w:val="1"/>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uiPriority w:val="0"/>
    <w:pPr>
      <w:spacing w:before="120" w:after="120" w:line="240" w:lineRule="atLeast"/>
      <w:jc w:val="right"/>
    </w:pPr>
    <w:rPr>
      <w:rFonts w:eastAsia="宋体"/>
      <w:sz w:val="22"/>
      <w:szCs w:val="20"/>
      <w:lang w:eastAsia="en-US"/>
    </w:rPr>
  </w:style>
  <w:style w:type="paragraph" w:customStyle="1" w:styleId="340">
    <w:name w:val="multifig"/>
    <w:basedOn w:val="1"/>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uiPriority w:val="0"/>
    <w:pPr>
      <w:spacing w:before="120" w:line="240" w:lineRule="exact"/>
      <w:jc w:val="both"/>
    </w:pPr>
    <w:rPr>
      <w:rFonts w:eastAsia="MS Mincho"/>
      <w:sz w:val="20"/>
      <w:szCs w:val="20"/>
      <w:lang w:eastAsia="en-US"/>
    </w:rPr>
  </w:style>
  <w:style w:type="character" w:customStyle="1" w:styleId="344">
    <w:name w:val="Style 10 pt Char Char"/>
    <w:uiPriority w:val="0"/>
    <w:rPr>
      <w:rFonts w:ascii="Arial" w:hAnsi="Arial" w:eastAsia="MS Mincho" w:cs="Arial"/>
      <w:color w:val="0000FF"/>
      <w:kern w:val="2"/>
      <w:lang w:val="en-US" w:eastAsia="en-US" w:bidi="ar-SA"/>
    </w:rPr>
  </w:style>
  <w:style w:type="paragraph" w:customStyle="1" w:styleId="345">
    <w:name w:val="Style 10 pt Bold Char"/>
    <w:basedOn w:val="1"/>
    <w:uiPriority w:val="0"/>
    <w:pPr>
      <w:spacing w:before="60" w:after="60" w:line="240" w:lineRule="exact"/>
      <w:jc w:val="both"/>
    </w:pPr>
    <w:rPr>
      <w:rFonts w:eastAsia="MS Mincho"/>
      <w:b/>
      <w:sz w:val="20"/>
      <w:szCs w:val="20"/>
      <w:lang w:eastAsia="en-US"/>
    </w:rPr>
  </w:style>
  <w:style w:type="character" w:customStyle="1" w:styleId="346">
    <w:name w:val="Style 10 pt Bold Char Char"/>
    <w:uiPriority w:val="0"/>
    <w:rPr>
      <w:rFonts w:ascii="Arial" w:hAnsi="Arial" w:eastAsia="MS Mincho" w:cs="Arial"/>
      <w:b/>
      <w:color w:val="0000FF"/>
      <w:kern w:val="2"/>
      <w:lang w:val="en-US" w:eastAsia="en-US" w:bidi="ar-SA"/>
    </w:rPr>
  </w:style>
  <w:style w:type="character" w:customStyle="1" w:styleId="347">
    <w:name w:val="HTML Preformatted Char"/>
    <w:basedOn w:val="74"/>
    <w:link w:val="52"/>
    <w:uiPriority w:val="0"/>
    <w:rPr>
      <w:rFonts w:ascii="Courier New" w:hAnsi="Courier New" w:eastAsia="Batang" w:cs="Courier New"/>
      <w:sz w:val="20"/>
      <w:szCs w:val="20"/>
      <w:lang w:eastAsia="ko-KR"/>
    </w:rPr>
  </w:style>
  <w:style w:type="paragraph" w:customStyle="1" w:styleId="348">
    <w:name w:val="Bullet"/>
    <w:basedOn w:val="1"/>
    <w:uiPriority w:val="0"/>
    <w:pPr>
      <w:numPr>
        <w:ilvl w:val="0"/>
        <w:numId w:val="23"/>
      </w:numPr>
    </w:pPr>
    <w:rPr>
      <w:rFonts w:eastAsia="宋体"/>
      <w:lang w:eastAsia="en-US"/>
    </w:rPr>
  </w:style>
  <w:style w:type="paragraph" w:customStyle="1" w:styleId="349">
    <w:name w:val="FigureCentered"/>
    <w:basedOn w:val="1"/>
    <w:next w:val="1"/>
    <w:uiPriority w:val="0"/>
    <w:pPr>
      <w:keepNext/>
      <w:spacing w:before="60" w:after="60" w:line="240" w:lineRule="atLeast"/>
      <w:jc w:val="center"/>
    </w:pPr>
    <w:rPr>
      <w:rFonts w:eastAsia="宋体"/>
      <w:szCs w:val="20"/>
      <w:lang w:eastAsia="en-US"/>
    </w:rPr>
  </w:style>
  <w:style w:type="character" w:customStyle="1" w:styleId="350">
    <w:name w:val="Equation-Numbered Char"/>
    <w:uiPriority w:val="0"/>
    <w:rPr>
      <w:rFonts w:ascii="Arial" w:hAnsi="Arial" w:eastAsia="宋体" w:cs="Arial"/>
      <w:color w:val="0000FF"/>
      <w:kern w:val="2"/>
      <w:sz w:val="22"/>
      <w:lang w:val="en-US" w:eastAsia="en-US" w:bidi="ar-SA"/>
    </w:rPr>
  </w:style>
  <w:style w:type="paragraph" w:customStyle="1" w:styleId="351">
    <w:name w:val="item"/>
    <w:basedOn w:val="1"/>
    <w:uiPriority w:val="0"/>
    <w:pPr>
      <w:numPr>
        <w:ilvl w:val="0"/>
        <w:numId w:val="24"/>
      </w:numPr>
      <w:jc w:val="both"/>
    </w:pPr>
    <w:rPr>
      <w:rFonts w:eastAsia="MS Mincho"/>
      <w:sz w:val="20"/>
      <w:szCs w:val="20"/>
      <w:lang w:val="en-GB" w:eastAsia="en-US"/>
    </w:rPr>
  </w:style>
  <w:style w:type="paragraph" w:customStyle="1" w:styleId="352">
    <w:name w:val="PaperTableCell"/>
    <w:basedOn w:val="1"/>
    <w:uiPriority w:val="0"/>
    <w:pPr>
      <w:jc w:val="both"/>
    </w:pPr>
    <w:rPr>
      <w:rFonts w:eastAsia="宋体"/>
      <w:sz w:val="16"/>
      <w:lang w:eastAsia="en-US"/>
    </w:rPr>
  </w:style>
  <w:style w:type="paragraph" w:customStyle="1" w:styleId="353">
    <w:name w:val="figure"/>
    <w:basedOn w:val="1"/>
    <w:uiPriority w:val="0"/>
    <w:pPr>
      <w:keepNext/>
      <w:keepLines/>
      <w:spacing w:before="60" w:after="60" w:line="240" w:lineRule="atLeast"/>
      <w:jc w:val="center"/>
    </w:pPr>
    <w:rPr>
      <w:rFonts w:eastAsia="宋体"/>
      <w:sz w:val="20"/>
      <w:szCs w:val="20"/>
      <w:lang w:eastAsia="en-US"/>
    </w:rPr>
  </w:style>
  <w:style w:type="character" w:customStyle="1" w:styleId="354">
    <w:name w:val="moz-txt-tag"/>
    <w:uiPriority w:val="0"/>
    <w:rPr>
      <w:rFonts w:ascii="Arial" w:hAnsi="Arial" w:eastAsia="宋体" w:cs="Arial"/>
      <w:color w:val="0000FF"/>
      <w:kern w:val="2"/>
      <w:lang w:val="en-US" w:eastAsia="zh-CN" w:bidi="ar-SA"/>
    </w:rPr>
  </w:style>
  <w:style w:type="paragraph" w:customStyle="1" w:styleId="355">
    <w:name w:val="Body Text Indent 31"/>
    <w:basedOn w:val="1"/>
    <w:next w:val="48"/>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uiPriority w:val="0"/>
    <w:pPr>
      <w:keepNext/>
      <w:jc w:val="center"/>
    </w:pPr>
    <w:rPr>
      <w:rFonts w:ascii="Arial" w:hAnsi="Arial" w:eastAsia="Calibri" w:cs="Arial"/>
      <w:sz w:val="18"/>
      <w:szCs w:val="18"/>
      <w:lang w:eastAsia="en-US"/>
    </w:rPr>
  </w:style>
  <w:style w:type="paragraph" w:customStyle="1" w:styleId="357">
    <w:name w:val="th"/>
    <w:basedOn w:val="1"/>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59">
    <w:name w:val="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paragraph" w:customStyle="1" w:styleId="360">
    <w:name w:val="Char Char Char Char Char Char1 Char Char1"/>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character" w:customStyle="1" w:styleId="361">
    <w:name w:val="op_dict_text22"/>
    <w:basedOn w:val="74"/>
    <w:uiPriority w:val="0"/>
  </w:style>
  <w:style w:type="character" w:customStyle="1" w:styleId="362">
    <w:name w:val="def"/>
    <w:basedOn w:val="74"/>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uiPriority w:val="0"/>
    <w:rPr>
      <w:rFonts w:ascii="Times New Roman" w:hAnsi="Times New Roman" w:eastAsia="Malgun Gothic" w:cs="Times New Roman"/>
      <w:sz w:val="20"/>
      <w:szCs w:val="20"/>
      <w:lang w:val="en-GB" w:eastAsia="zh-CN"/>
    </w:rPr>
  </w:style>
  <w:style w:type="paragraph" w:styleId="365">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66">
    <w:name w:val="high-light-bg4"/>
    <w:basedOn w:val="74"/>
    <w:uiPriority w:val="0"/>
  </w:style>
  <w:style w:type="character" w:customStyle="1" w:styleId="367">
    <w:name w:val="Title Char2"/>
    <w:basedOn w:val="74"/>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uiPriority w:val="0"/>
    <w:pPr>
      <w:spacing w:before="100" w:after="100"/>
      <w:ind w:left="860"/>
    </w:pPr>
    <w:rPr>
      <w:rFonts w:ascii="Times" w:hAnsi="Times" w:eastAsia="MS Gothic"/>
      <w:szCs w:val="20"/>
      <w:lang w:val="en-GB" w:eastAsia="ja-JP"/>
    </w:rPr>
  </w:style>
  <w:style w:type="paragraph" w:customStyle="1" w:styleId="370">
    <w:name w:val="佐藤２"/>
    <w:basedOn w:val="1"/>
    <w:uiPriority w:val="0"/>
    <w:pPr>
      <w:numPr>
        <w:ilvl w:val="0"/>
        <w:numId w:val="25"/>
      </w:numPr>
      <w:spacing w:after="180"/>
    </w:pPr>
    <w:rPr>
      <w:rFonts w:eastAsia="MS Gothic"/>
      <w:szCs w:val="20"/>
      <w:lang w:val="en-GB" w:eastAsia="ja-JP"/>
    </w:rPr>
  </w:style>
  <w:style w:type="paragraph" w:customStyle="1" w:styleId="371">
    <w:name w:val="List Bullet Last"/>
    <w:basedOn w:val="26"/>
    <w:next w:val="32"/>
    <w:uiPriority w:val="0"/>
    <w:pPr>
      <w:numPr>
        <w:numId w:val="0"/>
      </w:numPr>
      <w:spacing w:after="240"/>
      <w:ind w:left="714" w:hanging="357"/>
      <w:contextualSpacing w:val="0"/>
    </w:pPr>
    <w:rPr>
      <w:rFonts w:ascii="Arial" w:hAnsi="Arial" w:eastAsia="MS Gothic"/>
      <w:szCs w:val="20"/>
      <w:lang w:val="en-GB" w:eastAsia="ja-JP"/>
    </w:rPr>
  </w:style>
  <w:style w:type="character" w:customStyle="1" w:styleId="372">
    <w:name w:val="Body Text 3 Char"/>
    <w:basedOn w:val="74"/>
    <w:link w:val="31"/>
    <w:uiPriority w:val="0"/>
    <w:rPr>
      <w:rFonts w:ascii="Times New Roman" w:hAnsi="Times New Roman" w:eastAsia="MS Gothic" w:cs="Times New Roman"/>
      <w:sz w:val="24"/>
      <w:szCs w:val="20"/>
      <w:lang w:val="en-GB" w:eastAsia="ja-JP"/>
    </w:rPr>
  </w:style>
  <w:style w:type="paragraph" w:customStyle="1" w:styleId="373">
    <w:name w:val="Table_Text"/>
    <w:basedOn w:val="1"/>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uiPriority w:val="0"/>
    <w:pPr>
      <w:widowControl w:val="0"/>
      <w:autoSpaceDE w:val="0"/>
      <w:autoSpaceDN w:val="0"/>
      <w:adjustRightInd w:val="0"/>
      <w:spacing w:after="0" w:line="240" w:lineRule="auto"/>
    </w:pPr>
    <w:rPr>
      <w:rFonts w:ascii="MS PGothic" w:hAnsi="Century" w:eastAsia="MS PGothic" w:cs="Times New Roman"/>
      <w:sz w:val="20"/>
      <w:szCs w:val="20"/>
      <w:lang w:val="en-US" w:eastAsia="ja-JP" w:bidi="ar-SA"/>
    </w:rPr>
  </w:style>
  <w:style w:type="character" w:customStyle="1" w:styleId="376">
    <w:name w:val="図表番号 (文字)"/>
    <w:uiPriority w:val="0"/>
    <w:rPr>
      <w:rFonts w:eastAsia="MS Gothic"/>
      <w:b/>
      <w:kern w:val="2"/>
      <w:sz w:val="24"/>
      <w:lang w:val="en-GB"/>
    </w:rPr>
  </w:style>
  <w:style w:type="paragraph" w:customStyle="1" w:styleId="377">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378">
    <w:name w:val="Char Char Char Car Car Char Char Car Car"/>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 w:val="20"/>
      <w:szCs w:val="20"/>
      <w:lang w:val="en-US" w:eastAsia="ja-JP" w:bidi="ar-SA"/>
    </w:rPr>
  </w:style>
  <w:style w:type="paragraph" w:customStyle="1" w:styleId="379">
    <w:name w:val="Char Char1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1">
    <w:name w:val="Char Char1 Char Char Char Char Char Char Char Char Char Char Char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uiPriority w:val="99"/>
    <w:pPr>
      <w:spacing w:after="0" w:line="240" w:lineRule="auto"/>
    </w:pPr>
    <w:rPr>
      <w:rFonts w:ascii="Times New Roman" w:hAnsi="Times New Roman" w:eastAsia="MS Gothic" w:cs="Times New Roman"/>
      <w:sz w:val="24"/>
      <w:szCs w:val="20"/>
      <w:lang w:val="en-GB" w:eastAsia="ja-JP" w:bidi="ar-SA"/>
    </w:rPr>
  </w:style>
  <w:style w:type="character" w:customStyle="1" w:styleId="384">
    <w:name w:val="Doc-title Char"/>
    <w:link w:val="330"/>
    <w:uiPriority w:val="0"/>
    <w:rPr>
      <w:rFonts w:ascii="Arial" w:hAnsi="Arial" w:cs="Arial"/>
      <w:sz w:val="20"/>
      <w:szCs w:val="20"/>
      <w:lang w:eastAsia="zh-CN"/>
    </w:rPr>
  </w:style>
  <w:style w:type="paragraph" w:customStyle="1" w:styleId="385">
    <w:name w:val="msonormal"/>
    <w:basedOn w:val="1"/>
    <w:uiPriority w:val="0"/>
    <w:pPr>
      <w:spacing w:before="100" w:beforeAutospacing="1" w:after="100" w:afterAutospacing="1"/>
    </w:pPr>
    <w:rPr>
      <w:rFonts w:ascii="宋体" w:hAnsi="宋体" w:eastAsia="宋体" w:cs="宋体"/>
      <w:lang w:eastAsia="zh-CN"/>
    </w:rPr>
  </w:style>
  <w:style w:type="paragraph" w:customStyle="1" w:styleId="386">
    <w:name w:val="font5"/>
    <w:basedOn w:val="1"/>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pPr>
      <w:spacing w:after="0" w:line="240" w:lineRule="auto"/>
    </w:pPr>
    <w:rPr>
      <w:rFonts w:ascii="CG Times (WN)" w:hAnsi="CG Times (WN)"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pPr>
      <w:spacing w:after="0" w:line="240" w:lineRule="auto"/>
    </w:pPr>
    <w:rPr>
      <w:rFonts w:ascii="CG Times (WN)" w:hAnsi="CG Times (WN)"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pPr>
      <w:spacing w:after="0" w:line="240" w:lineRule="auto"/>
    </w:pPr>
    <w:rPr>
      <w:rFonts w:ascii="CG Times (WN)" w:hAnsi="CG Times (WN)"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pPr>
      <w:spacing w:after="0" w:line="240" w:lineRule="auto"/>
    </w:pPr>
    <w:rPr>
      <w:rFonts w:ascii="Times New Roman" w:hAnsi="Times New Roman" w:eastAsia="Batang"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3EQ6UJ4K66FU-702124171-43636</_dlc_DocId>
    <_dlc_DocIdUrl xmlns="401a1e0c-8dbe-4950-85d1-4031081349ee">
      <Url>https://qualcomm.sharepoint.com/teams/meridian1/_layouts/15/DocIdRedir.aspx?ID=3EQ6UJ4K66FU-702124171-43636</Url>
      <Description>3EQ6UJ4K66FU-702124171-43636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datastoreItem>
</file>

<file path=customXml/itemProps2.xml><?xml version="1.0" encoding="utf-8"?>
<ds:datastoreItem xmlns:ds="http://schemas.openxmlformats.org/officeDocument/2006/customXml" ds:itemID="{AE7BBC97-CC77-4CC3-A1EB-40D6AAD11439}">
  <ds:schemaRefs/>
</ds:datastoreItem>
</file>

<file path=customXml/itemProps3.xml><?xml version="1.0" encoding="utf-8"?>
<ds:datastoreItem xmlns:ds="http://schemas.openxmlformats.org/officeDocument/2006/customXml" ds:itemID="{339F2748-2F6D-48E1-9F2C-4227A792B07D}">
  <ds:schemaRefs/>
</ds:datastoreItem>
</file>

<file path=customXml/itemProps4.xml><?xml version="1.0" encoding="utf-8"?>
<ds:datastoreItem xmlns:ds="http://schemas.openxmlformats.org/officeDocument/2006/customXml" ds:itemID="{F9E1A419-040C-44DB-A018-C30AB88452ED}">
  <ds:schemaRefs/>
</ds:datastoreItem>
</file>

<file path=customXml/itemProps5.xml><?xml version="1.0" encoding="utf-8"?>
<ds:datastoreItem xmlns:ds="http://schemas.openxmlformats.org/officeDocument/2006/customXml" ds:itemID="{67B2EF6B-B266-4E4B-93A2-61204B85EF67}">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1</Pages>
  <Words>869</Words>
  <Characters>4959</Characters>
  <Lines>41</Lines>
  <Paragraphs>11</Paragraphs>
  <TotalTime>1</TotalTime>
  <ScaleCrop>false</ScaleCrop>
  <LinksUpToDate>false</LinksUpToDate>
  <CharactersWithSpaces>5817</CharactersWithSpaces>
  <Application>WPS Office_11.8.2.11019_F1E327BC-269C-435d-A152-05C5408002CA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2022-10-10T06:03:00Z</dcterms:created>
  <dc:creator>Md Saifur Rahman/Communication Standards /SRA/Staff Engineer/Samsung Electronics (STA)</dc:creator>
  <cp:keywords>CTPClassification=CTP_NT</cp:keywords>
  <cp:lastModifiedBy>ZTE</cp:lastModifiedBy>
  <dcterms:modified xsi:type="dcterms:W3CDTF">2022-10-10T15:28:19Z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712791f4-668e-4d29-bbb6-df2d6296d582</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2052-11.8.2.11019</vt:lpwstr>
  </property>
  <property fmtid="{D5CDD505-2E9C-101B-9397-08002B2CF9AE}" pid="16" name="ICV">
    <vt:lpwstr>0543769BE3DF48C08A1AAED68E414A14</vt:lpwstr>
  </property>
</Properties>
</file>