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B9EA" w14:textId="3FDBB457" w:rsidR="00436A41" w:rsidRPr="00E03808" w:rsidRDefault="00436A41" w:rsidP="00436A41">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de-DE" w:eastAsia="en-US"/>
        </w:rPr>
      </w:pPr>
      <w:r w:rsidRPr="00E03808">
        <w:rPr>
          <w:rFonts w:ascii="Arial" w:eastAsia="SimSun" w:hAnsi="Arial" w:cs="Arial"/>
          <w:b/>
          <w:bCs/>
          <w:sz w:val="22"/>
          <w:szCs w:val="22"/>
          <w:lang w:val="de-DE" w:eastAsia="en-US"/>
        </w:rPr>
        <w:t>3GPP TSG RAN WG1#110</w:t>
      </w:r>
      <w:r w:rsidR="00E03808" w:rsidRPr="00E03808">
        <w:rPr>
          <w:rFonts w:ascii="Arial" w:eastAsia="SimSun" w:hAnsi="Arial" w:cs="Arial"/>
          <w:b/>
          <w:bCs/>
          <w:sz w:val="22"/>
          <w:szCs w:val="22"/>
          <w:lang w:val="de-DE" w:eastAsia="en-US"/>
        </w:rPr>
        <w:t>bis</w:t>
      </w:r>
      <w:r w:rsidR="00E03808">
        <w:rPr>
          <w:rFonts w:ascii="Arial" w:eastAsia="SimSun" w:hAnsi="Arial" w:cs="Arial"/>
          <w:b/>
          <w:bCs/>
          <w:sz w:val="22"/>
          <w:szCs w:val="22"/>
          <w:lang w:val="de-DE" w:eastAsia="en-US"/>
        </w:rPr>
        <w:t>-e</w:t>
      </w:r>
      <w:r w:rsidRPr="00E03808">
        <w:rPr>
          <w:rFonts w:ascii="Arial" w:eastAsia="SimSun" w:hAnsi="Arial" w:cs="Arial"/>
          <w:b/>
          <w:bCs/>
          <w:sz w:val="22"/>
          <w:szCs w:val="22"/>
          <w:lang w:val="de-DE" w:eastAsia="en-US"/>
        </w:rPr>
        <w:tab/>
      </w:r>
      <w:r w:rsidRPr="00E03808">
        <w:rPr>
          <w:rFonts w:ascii="Arial" w:eastAsia="SimSun" w:hAnsi="Arial" w:cs="Arial"/>
          <w:b/>
          <w:bCs/>
          <w:sz w:val="22"/>
          <w:szCs w:val="22"/>
          <w:lang w:val="de-DE" w:eastAsia="zh-CN"/>
        </w:rPr>
        <w:tab/>
      </w:r>
      <w:r w:rsidRPr="00E03808">
        <w:rPr>
          <w:rFonts w:ascii="Arial" w:eastAsia="SimSun" w:hAnsi="Arial" w:cs="Arial"/>
          <w:b/>
          <w:bCs/>
          <w:sz w:val="22"/>
          <w:szCs w:val="22"/>
          <w:lang w:val="de-DE" w:eastAsia="en-US"/>
        </w:rPr>
        <w:t>R1-22xxxxx</w:t>
      </w:r>
    </w:p>
    <w:p w14:paraId="1E8A0147" w14:textId="1281EA56" w:rsidR="00436A41" w:rsidRPr="00436A41" w:rsidRDefault="00E03808" w:rsidP="00436A41">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lang w:val="en-GB" w:eastAsia="en-US"/>
        </w:rPr>
      </w:pPr>
      <w:bookmarkStart w:id="0" w:name="_Hlk111652075"/>
      <w:r>
        <w:rPr>
          <w:rFonts w:ascii="Arial" w:eastAsia="SimSun" w:hAnsi="Arial" w:cs="Arial"/>
          <w:b/>
          <w:bCs/>
          <w:sz w:val="22"/>
          <w:szCs w:val="22"/>
          <w:lang w:val="en-GB" w:eastAsia="en-US"/>
        </w:rPr>
        <w:t>e-Meeting</w:t>
      </w:r>
      <w:r w:rsidR="00436A41" w:rsidRPr="00436A41">
        <w:rPr>
          <w:rFonts w:ascii="Arial" w:eastAsia="SimSun" w:hAnsi="Arial" w:cs="Arial"/>
          <w:b/>
          <w:bCs/>
          <w:sz w:val="22"/>
          <w:szCs w:val="22"/>
          <w:lang w:val="en-GB" w:eastAsia="en-US"/>
        </w:rPr>
        <w:t xml:space="preserve">, </w:t>
      </w:r>
      <w:r>
        <w:rPr>
          <w:rFonts w:ascii="Arial" w:eastAsia="SimSun" w:hAnsi="Arial" w:cs="Arial"/>
          <w:b/>
          <w:bCs/>
          <w:sz w:val="22"/>
          <w:szCs w:val="22"/>
          <w:lang w:val="en-GB" w:eastAsia="en-US"/>
        </w:rPr>
        <w:t xml:space="preserve">October </w:t>
      </w:r>
      <w:r w:rsidR="00436A41" w:rsidRPr="00436A41">
        <w:rPr>
          <w:rFonts w:ascii="Arial" w:eastAsia="SimSun" w:hAnsi="Arial" w:cs="Arial"/>
          <w:b/>
          <w:bCs/>
          <w:sz w:val="22"/>
          <w:szCs w:val="22"/>
          <w:lang w:val="en-GB" w:eastAsia="en-US"/>
        </w:rPr>
        <w:t xml:space="preserve"> </w:t>
      </w:r>
      <w:r>
        <w:rPr>
          <w:rFonts w:ascii="Arial" w:eastAsia="SimSun" w:hAnsi="Arial" w:cs="Arial"/>
          <w:b/>
          <w:bCs/>
          <w:sz w:val="22"/>
          <w:szCs w:val="22"/>
          <w:lang w:val="en-GB" w:eastAsia="en-US"/>
        </w:rPr>
        <w:t>10th</w:t>
      </w:r>
      <w:r w:rsidR="00436A41" w:rsidRPr="00436A41">
        <w:rPr>
          <w:rFonts w:ascii="Arial" w:eastAsia="SimSun" w:hAnsi="Arial" w:cs="Arial"/>
          <w:b/>
          <w:bCs/>
          <w:sz w:val="22"/>
          <w:szCs w:val="22"/>
          <w:lang w:val="en-GB" w:eastAsia="en-US"/>
        </w:rPr>
        <w:t xml:space="preserve"> – </w:t>
      </w:r>
      <w:r>
        <w:rPr>
          <w:rFonts w:ascii="Arial" w:eastAsia="SimSun" w:hAnsi="Arial" w:cs="Arial"/>
          <w:b/>
          <w:bCs/>
          <w:sz w:val="22"/>
          <w:szCs w:val="22"/>
          <w:lang w:val="en-GB" w:eastAsia="en-US"/>
        </w:rPr>
        <w:t>19</w:t>
      </w:r>
      <w:r w:rsidR="00436A41" w:rsidRPr="00436A41">
        <w:rPr>
          <w:rFonts w:ascii="Arial" w:eastAsia="SimSun" w:hAnsi="Arial" w:cs="Arial"/>
          <w:b/>
          <w:bCs/>
          <w:sz w:val="22"/>
          <w:szCs w:val="22"/>
          <w:lang w:val="en-GB" w:eastAsia="en-US"/>
        </w:rPr>
        <w:t>th, 2022</w:t>
      </w:r>
    </w:p>
    <w:bookmarkEnd w:id="0"/>
    <w:p w14:paraId="18D916A8" w14:textId="77777777" w:rsidR="005C3E04" w:rsidRPr="005C3E04" w:rsidRDefault="005C3E04" w:rsidP="005C3E04">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5B46E7CC" w14:textId="34797D5E" w:rsidR="005C3E04" w:rsidRPr="005C3E04" w:rsidRDefault="005C3E04" w:rsidP="005C3E04">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sidRPr="005C3E04">
        <w:rPr>
          <w:rFonts w:ascii="Arial" w:eastAsia="SimSun" w:hAnsi="Arial" w:cs="Arial"/>
          <w:b/>
          <w:bCs/>
          <w:sz w:val="22"/>
          <w:szCs w:val="20"/>
          <w:lang w:val="en-GB" w:eastAsia="zh-CN"/>
        </w:rPr>
        <w:t>Agenda Item:</w:t>
      </w:r>
      <w:r w:rsidRPr="005C3E04">
        <w:rPr>
          <w:rFonts w:ascii="Arial" w:eastAsia="SimSun" w:hAnsi="Arial" w:cs="Arial"/>
          <w:b/>
          <w:bCs/>
          <w:sz w:val="22"/>
          <w:szCs w:val="20"/>
          <w:lang w:val="en-GB" w:eastAsia="zh-CN"/>
        </w:rPr>
        <w:tab/>
        <w:t>8.2</w:t>
      </w:r>
    </w:p>
    <w:p w14:paraId="4A3762DD" w14:textId="582BA242" w:rsidR="005C3E04" w:rsidRPr="005C3E04" w:rsidRDefault="005C3E04" w:rsidP="005C3E04">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sidRPr="005C3E04">
        <w:rPr>
          <w:rFonts w:ascii="Arial" w:eastAsia="SimSun" w:hAnsi="Arial" w:cs="Arial"/>
          <w:b/>
          <w:bCs/>
          <w:sz w:val="22"/>
          <w:szCs w:val="20"/>
          <w:lang w:val="en-GB" w:eastAsia="zh-CN"/>
        </w:rPr>
        <w:t>Source:</w:t>
      </w:r>
      <w:r w:rsidRPr="005C3E04">
        <w:rPr>
          <w:rFonts w:ascii="Arial" w:eastAsia="SimSun" w:hAnsi="Arial" w:cs="Arial"/>
          <w:b/>
          <w:bCs/>
          <w:sz w:val="22"/>
          <w:szCs w:val="20"/>
          <w:lang w:val="en-GB" w:eastAsia="zh-CN"/>
        </w:rPr>
        <w:tab/>
      </w:r>
      <w:r w:rsidR="00AE1506" w:rsidRPr="00AE1506">
        <w:rPr>
          <w:rFonts w:ascii="Arial" w:eastAsia="SimSun" w:hAnsi="Arial" w:cs="Arial"/>
          <w:b/>
          <w:bCs/>
          <w:sz w:val="22"/>
          <w:szCs w:val="20"/>
          <w:lang w:val="en-GB" w:eastAsia="zh-CN"/>
        </w:rPr>
        <w:t xml:space="preserve">Qualcomm Incorporated </w:t>
      </w:r>
      <w:r w:rsidRPr="005C3E04">
        <w:rPr>
          <w:rFonts w:ascii="Arial" w:eastAsia="SimSun" w:hAnsi="Arial" w:cs="Arial"/>
          <w:b/>
          <w:bCs/>
          <w:sz w:val="22"/>
          <w:szCs w:val="20"/>
          <w:lang w:val="en-GB" w:eastAsia="zh-CN"/>
        </w:rPr>
        <w:t>(</w:t>
      </w:r>
      <w:r w:rsidR="00AE1506">
        <w:rPr>
          <w:rFonts w:ascii="Arial" w:eastAsia="SimSun" w:hAnsi="Arial" w:cs="Arial"/>
          <w:b/>
          <w:bCs/>
          <w:sz w:val="22"/>
          <w:szCs w:val="20"/>
          <w:lang w:val="en-GB" w:eastAsia="zh-CN"/>
        </w:rPr>
        <w:t>Moderator</w:t>
      </w:r>
      <w:r w:rsidRPr="005C3E04">
        <w:rPr>
          <w:rFonts w:ascii="Arial" w:eastAsia="SimSun" w:hAnsi="Arial" w:cs="Arial"/>
          <w:b/>
          <w:bCs/>
          <w:sz w:val="22"/>
          <w:szCs w:val="20"/>
          <w:lang w:val="en-GB" w:eastAsia="zh-CN"/>
        </w:rPr>
        <w:t>)</w:t>
      </w:r>
    </w:p>
    <w:p w14:paraId="49D88563" w14:textId="54A0720E" w:rsidR="005C3E04" w:rsidRPr="005C3E04" w:rsidRDefault="005C3E04" w:rsidP="005C3E04">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sidRPr="005C3E04">
        <w:rPr>
          <w:rFonts w:ascii="Arial" w:eastAsia="SimSun" w:hAnsi="Arial" w:cs="Arial"/>
          <w:b/>
          <w:bCs/>
          <w:sz w:val="22"/>
          <w:szCs w:val="20"/>
          <w:lang w:val="en-GB" w:eastAsia="zh-CN"/>
        </w:rPr>
        <w:t>Title:</w:t>
      </w:r>
      <w:r w:rsidRPr="005C3E04">
        <w:rPr>
          <w:rFonts w:ascii="Arial" w:eastAsia="SimSun" w:hAnsi="Arial" w:cs="Arial"/>
          <w:b/>
          <w:bCs/>
          <w:sz w:val="22"/>
          <w:szCs w:val="20"/>
          <w:lang w:val="en-GB" w:eastAsia="zh-CN"/>
        </w:rPr>
        <w:tab/>
      </w:r>
      <w:r w:rsidR="00436A41">
        <w:rPr>
          <w:rFonts w:ascii="Arial" w:eastAsia="SimSun" w:hAnsi="Arial" w:cs="Arial"/>
          <w:b/>
          <w:bCs/>
          <w:sz w:val="22"/>
          <w:szCs w:val="20"/>
          <w:lang w:val="en-GB" w:eastAsia="zh-CN"/>
        </w:rPr>
        <w:t xml:space="preserve">Draft FL Summary </w:t>
      </w:r>
      <w:r w:rsidR="00AE1506" w:rsidRPr="00AE1506">
        <w:rPr>
          <w:rFonts w:ascii="Arial" w:eastAsia="SimSun" w:hAnsi="Arial" w:cs="Arial"/>
          <w:b/>
          <w:bCs/>
          <w:sz w:val="22"/>
          <w:szCs w:val="20"/>
          <w:lang w:val="en-GB" w:eastAsia="zh-CN"/>
        </w:rPr>
        <w:t>Maintenance of Channel Access Mechanisms for NR in 52.6 to 71GHz band</w:t>
      </w:r>
    </w:p>
    <w:p w14:paraId="1281FD49" w14:textId="77777777" w:rsidR="005C3E04" w:rsidRPr="005C3E04" w:rsidRDefault="005C3E04" w:rsidP="005C3E04">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sidRPr="005C3E04">
        <w:rPr>
          <w:rFonts w:ascii="Arial" w:eastAsia="SimSun" w:hAnsi="Arial" w:cs="Arial"/>
          <w:b/>
          <w:bCs/>
          <w:sz w:val="22"/>
          <w:szCs w:val="20"/>
          <w:lang w:val="en-GB" w:eastAsia="zh-CN"/>
        </w:rPr>
        <w:t>Document for:</w:t>
      </w:r>
      <w:r w:rsidRPr="005C3E04">
        <w:rPr>
          <w:rFonts w:ascii="Arial" w:eastAsia="SimSun" w:hAnsi="Arial" w:cs="Arial"/>
          <w:b/>
          <w:bCs/>
          <w:sz w:val="22"/>
          <w:szCs w:val="20"/>
          <w:lang w:val="en-GB" w:eastAsia="zh-CN"/>
        </w:rPr>
        <w:tab/>
        <w:t>Discussion, Decision</w:t>
      </w:r>
    </w:p>
    <w:p w14:paraId="1EBD64D3" w14:textId="77777777" w:rsidR="005C3E04" w:rsidRDefault="005C3E04" w:rsidP="003D46FA">
      <w:pPr>
        <w:ind w:left="360" w:hanging="360"/>
      </w:pPr>
    </w:p>
    <w:p w14:paraId="72CAB136" w14:textId="23D84F93" w:rsidR="00A01B2F" w:rsidRPr="002369EA" w:rsidRDefault="00A01B2F" w:rsidP="00AE3883">
      <w:pPr>
        <w:pStyle w:val="Heading2"/>
        <w:numPr>
          <w:ilvl w:val="0"/>
          <w:numId w:val="37"/>
        </w:numPr>
        <w:rPr>
          <w:rFonts w:ascii="Arial" w:hAnsi="Arial" w:cs="Arial"/>
        </w:rPr>
      </w:pPr>
      <w:r w:rsidRPr="002369EA">
        <w:rPr>
          <w:rFonts w:ascii="Arial" w:hAnsi="Arial" w:cs="Arial"/>
        </w:rPr>
        <w:t xml:space="preserve">Issues </w:t>
      </w:r>
      <w:r w:rsidR="002369EA">
        <w:rPr>
          <w:rFonts w:ascii="Arial" w:hAnsi="Arial" w:cs="Arial"/>
        </w:rPr>
        <w:t xml:space="preserve">for </w:t>
      </w:r>
      <w:r w:rsidR="00362135">
        <w:rPr>
          <w:rFonts w:ascii="Arial" w:hAnsi="Arial" w:cs="Arial"/>
        </w:rPr>
        <w:t>Channel Access Aspects</w:t>
      </w:r>
    </w:p>
    <w:p w14:paraId="45C16A3F" w14:textId="4AF25914" w:rsidR="00A01B2F" w:rsidRPr="00436A41" w:rsidRDefault="00A01B2F" w:rsidP="00A01B2F">
      <w:pPr>
        <w:spacing w:after="160" w:line="259" w:lineRule="auto"/>
        <w:jc w:val="center"/>
        <w:rPr>
          <w:b/>
          <w:bCs/>
          <w:kern w:val="2"/>
        </w:rPr>
      </w:pPr>
      <w:r w:rsidRPr="00436A41">
        <w:rPr>
          <w:b/>
        </w:rPr>
        <w:t xml:space="preserve">Table </w:t>
      </w:r>
      <w:r w:rsidR="002369EA" w:rsidRPr="00436A41">
        <w:rPr>
          <w:b/>
        </w:rPr>
        <w:t>1</w:t>
      </w:r>
      <w:r w:rsidRPr="00436A41">
        <w:rPr>
          <w:b/>
        </w:rPr>
        <w:t xml:space="preserve"> </w:t>
      </w:r>
      <w:r w:rsidR="002369EA" w:rsidRPr="00436A41">
        <w:rPr>
          <w:b/>
        </w:rPr>
        <w:t>–</w:t>
      </w:r>
      <w:r w:rsidRPr="00436A41">
        <w:rPr>
          <w:b/>
        </w:rPr>
        <w:t xml:space="preserve"> </w:t>
      </w:r>
      <w:r w:rsidR="002369EA" w:rsidRPr="00436A41">
        <w:rPr>
          <w:b/>
        </w:rPr>
        <w:t xml:space="preserve">Identified issues for </w:t>
      </w:r>
      <w:r w:rsidR="00362135">
        <w:rPr>
          <w:b/>
        </w:rPr>
        <w:t>Channel Access Aspects</w:t>
      </w:r>
    </w:p>
    <w:tbl>
      <w:tblPr>
        <w:tblStyle w:val="TableGrid"/>
        <w:tblW w:w="4848" w:type="pct"/>
        <w:tblLook w:val="04A0" w:firstRow="1" w:lastRow="0" w:firstColumn="1" w:lastColumn="0" w:noHBand="0" w:noVBand="1"/>
      </w:tblPr>
      <w:tblGrid>
        <w:gridCol w:w="803"/>
        <w:gridCol w:w="3198"/>
        <w:gridCol w:w="5623"/>
      </w:tblGrid>
      <w:tr w:rsidR="005F69D4" w:rsidRPr="0046767E" w14:paraId="52CEFE6A" w14:textId="77777777" w:rsidTr="00CB6B70">
        <w:trPr>
          <w:trHeight w:val="53"/>
        </w:trPr>
        <w:tc>
          <w:tcPr>
            <w:tcW w:w="445" w:type="pct"/>
            <w:shd w:val="clear" w:color="auto" w:fill="BFBFBF" w:themeFill="background1" w:themeFillShade="BF"/>
            <w:vAlign w:val="center"/>
          </w:tcPr>
          <w:p w14:paraId="2815BEF1" w14:textId="77777777" w:rsidR="005F69D4" w:rsidRPr="0046767E" w:rsidRDefault="005F69D4" w:rsidP="00E37227">
            <w:pPr>
              <w:snapToGrid w:val="0"/>
              <w:rPr>
                <w:b/>
                <w:sz w:val="22"/>
                <w:szCs w:val="22"/>
              </w:rPr>
            </w:pPr>
            <w:r w:rsidRPr="0046767E">
              <w:rPr>
                <w:b/>
                <w:sz w:val="22"/>
                <w:szCs w:val="22"/>
              </w:rPr>
              <w:t>Issue#</w:t>
            </w:r>
          </w:p>
        </w:tc>
        <w:tc>
          <w:tcPr>
            <w:tcW w:w="1469" w:type="pct"/>
            <w:shd w:val="clear" w:color="auto" w:fill="BFBFBF" w:themeFill="background1" w:themeFillShade="BF"/>
            <w:vAlign w:val="center"/>
          </w:tcPr>
          <w:p w14:paraId="654AE509" w14:textId="2D4F519F" w:rsidR="005F69D4" w:rsidRPr="0046767E" w:rsidRDefault="005F69D4" w:rsidP="00E37227">
            <w:pPr>
              <w:snapToGrid w:val="0"/>
              <w:rPr>
                <w:b/>
                <w:sz w:val="22"/>
                <w:szCs w:val="22"/>
              </w:rPr>
            </w:pPr>
            <w:r w:rsidRPr="0046767E">
              <w:rPr>
                <w:b/>
                <w:sz w:val="22"/>
                <w:szCs w:val="22"/>
              </w:rPr>
              <w:t>Issue</w:t>
            </w:r>
          </w:p>
        </w:tc>
        <w:tc>
          <w:tcPr>
            <w:tcW w:w="3086" w:type="pct"/>
            <w:shd w:val="clear" w:color="auto" w:fill="BFBFBF" w:themeFill="background1" w:themeFillShade="BF"/>
            <w:vAlign w:val="center"/>
          </w:tcPr>
          <w:p w14:paraId="05418109" w14:textId="77777777" w:rsidR="005F69D4" w:rsidRPr="0046767E" w:rsidRDefault="005F69D4" w:rsidP="00E37227">
            <w:pPr>
              <w:snapToGrid w:val="0"/>
              <w:rPr>
                <w:b/>
                <w:sz w:val="22"/>
                <w:szCs w:val="22"/>
              </w:rPr>
            </w:pPr>
            <w:r w:rsidRPr="0046767E">
              <w:rPr>
                <w:b/>
                <w:sz w:val="22"/>
                <w:szCs w:val="22"/>
              </w:rPr>
              <w:t>References</w:t>
            </w:r>
          </w:p>
        </w:tc>
      </w:tr>
      <w:tr w:rsidR="005F69D4" w:rsidRPr="0046767E" w14:paraId="4FA7BBDD" w14:textId="77777777" w:rsidTr="00CB6B70">
        <w:trPr>
          <w:trHeight w:val="66"/>
        </w:trPr>
        <w:tc>
          <w:tcPr>
            <w:tcW w:w="445" w:type="pct"/>
            <w:vAlign w:val="center"/>
          </w:tcPr>
          <w:p w14:paraId="6A0309FD" w14:textId="2FEF2671" w:rsidR="005F69D4" w:rsidRPr="0046767E" w:rsidRDefault="00E11A00" w:rsidP="002369EA">
            <w:pPr>
              <w:snapToGrid w:val="0"/>
              <w:rPr>
                <w:sz w:val="22"/>
                <w:szCs w:val="22"/>
              </w:rPr>
            </w:pPr>
            <w:r w:rsidRPr="0046767E">
              <w:rPr>
                <w:sz w:val="22"/>
                <w:szCs w:val="22"/>
              </w:rPr>
              <w:t>CA</w:t>
            </w:r>
            <w:r w:rsidR="005F69D4" w:rsidRPr="0046767E">
              <w:rPr>
                <w:sz w:val="22"/>
                <w:szCs w:val="22"/>
              </w:rPr>
              <w:t xml:space="preserve">-1 </w:t>
            </w:r>
          </w:p>
        </w:tc>
        <w:tc>
          <w:tcPr>
            <w:tcW w:w="1469" w:type="pct"/>
            <w:vAlign w:val="center"/>
          </w:tcPr>
          <w:p w14:paraId="38624A9A" w14:textId="3C9FB64A" w:rsidR="005F69D4" w:rsidRPr="0046767E" w:rsidRDefault="005F69D4" w:rsidP="002369EA">
            <w:pPr>
              <w:snapToGrid w:val="0"/>
              <w:rPr>
                <w:rFonts w:eastAsia="DengXian"/>
                <w:color w:val="000000" w:themeColor="text1"/>
                <w:sz w:val="22"/>
                <w:szCs w:val="22"/>
                <w:lang w:eastAsia="zh-CN"/>
              </w:rPr>
            </w:pPr>
            <w:r w:rsidRPr="0046767E">
              <w:rPr>
                <w:rFonts w:eastAsia="DengXian"/>
                <w:color w:val="000000" w:themeColor="text1"/>
                <w:sz w:val="22"/>
                <w:szCs w:val="22"/>
                <w:lang w:eastAsia="zh-CN"/>
              </w:rPr>
              <w:t xml:space="preserve">UL Contention Exempt Short Control </w:t>
            </w:r>
            <w:proofErr w:type="gramStart"/>
            <w:r w:rsidRPr="0046767E">
              <w:rPr>
                <w:rFonts w:eastAsia="DengXian"/>
                <w:color w:val="000000" w:themeColor="text1"/>
                <w:sz w:val="22"/>
                <w:szCs w:val="22"/>
                <w:lang w:eastAsia="zh-CN"/>
              </w:rPr>
              <w:t>Signaling  :</w:t>
            </w:r>
            <w:proofErr w:type="gramEnd"/>
            <w:r w:rsidRPr="0046767E">
              <w:rPr>
                <w:rFonts w:eastAsia="DengXian"/>
                <w:color w:val="000000" w:themeColor="text1"/>
                <w:sz w:val="22"/>
                <w:szCs w:val="22"/>
                <w:lang w:eastAsia="zh-CN"/>
              </w:rPr>
              <w:t xml:space="preserve"> Duty Cycle and Enable Disable</w:t>
            </w:r>
          </w:p>
        </w:tc>
        <w:tc>
          <w:tcPr>
            <w:tcW w:w="3086" w:type="pct"/>
            <w:vAlign w:val="center"/>
          </w:tcPr>
          <w:p w14:paraId="258D043A" w14:textId="77777777" w:rsidR="005F69D4" w:rsidRPr="0046767E" w:rsidRDefault="005F69D4" w:rsidP="002369EA">
            <w:pPr>
              <w:snapToGrid w:val="0"/>
              <w:rPr>
                <w:rFonts w:eastAsia="Batang"/>
                <w:snapToGrid w:val="0"/>
                <w:kern w:val="2"/>
                <w:sz w:val="22"/>
                <w:szCs w:val="22"/>
              </w:rPr>
            </w:pPr>
            <w:r w:rsidRPr="0046767E">
              <w:rPr>
                <w:rFonts w:eastAsia="Batang"/>
                <w:snapToGrid w:val="0"/>
                <w:kern w:val="2"/>
                <w:sz w:val="22"/>
                <w:szCs w:val="22"/>
              </w:rPr>
              <w:t>Nokia, Nokia Shanghai Bell[R1-2210055]</w:t>
            </w:r>
          </w:p>
          <w:p w14:paraId="602226C6" w14:textId="77777777" w:rsidR="005F69D4" w:rsidRPr="0046767E" w:rsidRDefault="005F69D4" w:rsidP="002369EA">
            <w:pPr>
              <w:snapToGrid w:val="0"/>
              <w:rPr>
                <w:rFonts w:eastAsia="Batang"/>
                <w:snapToGrid w:val="0"/>
                <w:kern w:val="2"/>
                <w:sz w:val="22"/>
                <w:szCs w:val="22"/>
              </w:rPr>
            </w:pPr>
            <w:r w:rsidRPr="0046767E">
              <w:rPr>
                <w:rFonts w:eastAsia="Batang"/>
                <w:snapToGrid w:val="0"/>
                <w:kern w:val="2"/>
                <w:sz w:val="22"/>
                <w:szCs w:val="22"/>
              </w:rPr>
              <w:t>Intel Corporation[R1-2209032]</w:t>
            </w:r>
          </w:p>
          <w:p w14:paraId="68DE86DD" w14:textId="77777777" w:rsidR="005F69D4" w:rsidRPr="0046767E" w:rsidRDefault="005F69D4" w:rsidP="002369EA">
            <w:pPr>
              <w:snapToGrid w:val="0"/>
              <w:rPr>
                <w:color w:val="000000"/>
                <w:sz w:val="22"/>
                <w:szCs w:val="22"/>
              </w:rPr>
            </w:pPr>
            <w:r w:rsidRPr="0046767E">
              <w:rPr>
                <w:color w:val="000000"/>
                <w:sz w:val="22"/>
                <w:szCs w:val="22"/>
              </w:rPr>
              <w:t>Qualcomm Incorporated[R1-2209940]</w:t>
            </w:r>
          </w:p>
          <w:p w14:paraId="2DD4C406" w14:textId="48D8259F" w:rsidR="00036AB3" w:rsidRPr="0046767E" w:rsidRDefault="00036AB3" w:rsidP="002369EA">
            <w:pPr>
              <w:snapToGrid w:val="0"/>
              <w:rPr>
                <w:sz w:val="22"/>
                <w:szCs w:val="22"/>
              </w:rPr>
            </w:pPr>
            <w:r w:rsidRPr="0046767E">
              <w:rPr>
                <w:color w:val="000000"/>
                <w:sz w:val="22"/>
                <w:szCs w:val="22"/>
              </w:rPr>
              <w:t>Oppo[</w:t>
            </w:r>
            <w:r w:rsidRPr="0046767E">
              <w:rPr>
                <w:sz w:val="22"/>
                <w:szCs w:val="22"/>
              </w:rPr>
              <w:t>R1-</w:t>
            </w:r>
            <w:proofErr w:type="gramStart"/>
            <w:r w:rsidRPr="0046767E">
              <w:rPr>
                <w:sz w:val="22"/>
                <w:szCs w:val="22"/>
              </w:rPr>
              <w:t>2208827][</w:t>
            </w:r>
            <w:proofErr w:type="gramEnd"/>
            <w:r w:rsidRPr="0046767E">
              <w:rPr>
                <w:sz w:val="22"/>
                <w:szCs w:val="22"/>
              </w:rPr>
              <w:t>R1-2208826]</w:t>
            </w:r>
          </w:p>
        </w:tc>
      </w:tr>
      <w:tr w:rsidR="005F69D4" w:rsidRPr="0046767E" w14:paraId="15F097C4" w14:textId="77777777" w:rsidTr="00CB6B70">
        <w:trPr>
          <w:trHeight w:val="66"/>
        </w:trPr>
        <w:tc>
          <w:tcPr>
            <w:tcW w:w="445" w:type="pct"/>
            <w:vAlign w:val="center"/>
          </w:tcPr>
          <w:p w14:paraId="34670BF4" w14:textId="7401F691" w:rsidR="005F69D4" w:rsidRPr="0046767E" w:rsidRDefault="00E11A00">
            <w:pPr>
              <w:snapToGrid w:val="0"/>
              <w:rPr>
                <w:sz w:val="22"/>
                <w:szCs w:val="22"/>
              </w:rPr>
            </w:pPr>
            <w:r w:rsidRPr="0046767E">
              <w:rPr>
                <w:sz w:val="22"/>
                <w:szCs w:val="22"/>
              </w:rPr>
              <w:t>CA</w:t>
            </w:r>
            <w:r w:rsidR="009E1DB3" w:rsidRPr="0046767E">
              <w:rPr>
                <w:sz w:val="22"/>
                <w:szCs w:val="22"/>
              </w:rPr>
              <w:t>-2</w:t>
            </w:r>
          </w:p>
        </w:tc>
        <w:tc>
          <w:tcPr>
            <w:tcW w:w="1469" w:type="pct"/>
            <w:vAlign w:val="center"/>
          </w:tcPr>
          <w:p w14:paraId="70425EB0" w14:textId="5D6D2979" w:rsidR="005F69D4" w:rsidRPr="0046767E" w:rsidRDefault="005F69D4">
            <w:pPr>
              <w:snapToGrid w:val="0"/>
              <w:rPr>
                <w:rFonts w:eastAsia="DengXian"/>
                <w:color w:val="000000" w:themeColor="text1"/>
                <w:sz w:val="22"/>
                <w:szCs w:val="22"/>
                <w:lang w:eastAsia="zh-CN"/>
              </w:rPr>
            </w:pPr>
            <w:proofErr w:type="spellStart"/>
            <w:r w:rsidRPr="0046767E">
              <w:rPr>
                <w:rFonts w:eastAsia="DengXian"/>
                <w:color w:val="000000" w:themeColor="text1"/>
                <w:sz w:val="22"/>
                <w:szCs w:val="22"/>
                <w:lang w:eastAsia="zh-CN"/>
              </w:rPr>
              <w:t>ChannelAccess-CPExt</w:t>
            </w:r>
            <w:proofErr w:type="spellEnd"/>
            <w:r w:rsidRPr="0046767E">
              <w:rPr>
                <w:rFonts w:eastAsia="DengXian"/>
                <w:color w:val="000000" w:themeColor="text1"/>
                <w:sz w:val="22"/>
                <w:szCs w:val="22"/>
                <w:lang w:eastAsia="zh-CN"/>
              </w:rPr>
              <w:t xml:space="preserve"> field Indication within RAR UL Grant</w:t>
            </w:r>
          </w:p>
        </w:tc>
        <w:tc>
          <w:tcPr>
            <w:tcW w:w="3086" w:type="pct"/>
            <w:vAlign w:val="center"/>
          </w:tcPr>
          <w:p w14:paraId="24335C9F" w14:textId="77777777" w:rsidR="005F69D4" w:rsidRPr="0046767E" w:rsidRDefault="005F69D4">
            <w:pPr>
              <w:snapToGrid w:val="0"/>
              <w:rPr>
                <w:rFonts w:eastAsia="Times New Roman"/>
                <w:color w:val="000000"/>
                <w:sz w:val="22"/>
                <w:szCs w:val="22"/>
              </w:rPr>
            </w:pPr>
            <w:r w:rsidRPr="0046767E">
              <w:rPr>
                <w:rFonts w:eastAsia="Times New Roman"/>
                <w:color w:val="000000"/>
                <w:sz w:val="22"/>
                <w:szCs w:val="22"/>
              </w:rPr>
              <w:t>NTT DOCOMO, INC.[R1-2210168]</w:t>
            </w:r>
          </w:p>
          <w:p w14:paraId="74A7B568" w14:textId="77777777" w:rsidR="005F69D4" w:rsidRPr="0046767E" w:rsidRDefault="005F69D4">
            <w:pPr>
              <w:snapToGrid w:val="0"/>
              <w:rPr>
                <w:rFonts w:eastAsia="Times New Roman"/>
                <w:color w:val="000000"/>
                <w:sz w:val="22"/>
                <w:szCs w:val="22"/>
              </w:rPr>
            </w:pPr>
            <w:r w:rsidRPr="0046767E">
              <w:rPr>
                <w:rFonts w:eastAsia="Times New Roman"/>
                <w:color w:val="000000"/>
                <w:sz w:val="22"/>
                <w:szCs w:val="22"/>
              </w:rPr>
              <w:t xml:space="preserve">Huawei, </w:t>
            </w:r>
            <w:proofErr w:type="spellStart"/>
            <w:r w:rsidRPr="0046767E">
              <w:rPr>
                <w:rFonts w:eastAsia="Times New Roman"/>
                <w:color w:val="000000"/>
                <w:sz w:val="22"/>
                <w:szCs w:val="22"/>
              </w:rPr>
              <w:t>HiSilicon</w:t>
            </w:r>
            <w:proofErr w:type="spellEnd"/>
            <w:r w:rsidRPr="0046767E">
              <w:rPr>
                <w:rFonts w:eastAsia="Times New Roman"/>
                <w:color w:val="000000"/>
                <w:sz w:val="22"/>
                <w:szCs w:val="22"/>
              </w:rPr>
              <w:t xml:space="preserve">[R1-2208477] </w:t>
            </w:r>
          </w:p>
          <w:p w14:paraId="26ECD02B" w14:textId="722AF28B" w:rsidR="005F69D4" w:rsidRPr="0046767E" w:rsidRDefault="005F69D4">
            <w:pPr>
              <w:snapToGrid w:val="0"/>
              <w:rPr>
                <w:rFonts w:eastAsia="Times New Roman"/>
                <w:color w:val="000000"/>
                <w:sz w:val="22"/>
                <w:szCs w:val="22"/>
              </w:rPr>
            </w:pPr>
            <w:r w:rsidRPr="0046767E">
              <w:rPr>
                <w:rFonts w:eastAsia="Times New Roman"/>
                <w:color w:val="000000"/>
                <w:sz w:val="22"/>
                <w:szCs w:val="22"/>
              </w:rPr>
              <w:t>vivo[R1-2208594]</w:t>
            </w:r>
          </w:p>
          <w:p w14:paraId="07A01DED" w14:textId="77777777" w:rsidR="005F69D4" w:rsidRPr="0046767E" w:rsidRDefault="005F69D4">
            <w:pPr>
              <w:snapToGrid w:val="0"/>
              <w:rPr>
                <w:rFonts w:eastAsia="Times New Roman"/>
                <w:color w:val="000000"/>
                <w:sz w:val="22"/>
                <w:szCs w:val="22"/>
              </w:rPr>
            </w:pPr>
            <w:r w:rsidRPr="0046767E">
              <w:rPr>
                <w:rFonts w:eastAsia="Times New Roman"/>
                <w:color w:val="000000"/>
                <w:sz w:val="22"/>
                <w:szCs w:val="22"/>
              </w:rPr>
              <w:t xml:space="preserve">ZTE, </w:t>
            </w:r>
            <w:proofErr w:type="spellStart"/>
            <w:r w:rsidRPr="0046767E">
              <w:rPr>
                <w:rFonts w:eastAsia="Times New Roman"/>
                <w:color w:val="000000"/>
                <w:sz w:val="22"/>
                <w:szCs w:val="22"/>
              </w:rPr>
              <w:t>Sanechips</w:t>
            </w:r>
            <w:proofErr w:type="spellEnd"/>
            <w:r w:rsidRPr="0046767E">
              <w:rPr>
                <w:rFonts w:eastAsia="Times New Roman"/>
                <w:color w:val="000000"/>
                <w:sz w:val="22"/>
                <w:szCs w:val="22"/>
              </w:rPr>
              <w:t>[R1-2208704]</w:t>
            </w:r>
          </w:p>
          <w:p w14:paraId="056FEAAC" w14:textId="77777777" w:rsidR="005F69D4" w:rsidRPr="0046767E" w:rsidRDefault="005F69D4">
            <w:pPr>
              <w:snapToGrid w:val="0"/>
              <w:rPr>
                <w:rFonts w:eastAsia="Times New Roman"/>
                <w:color w:val="000000"/>
                <w:sz w:val="22"/>
                <w:szCs w:val="22"/>
              </w:rPr>
            </w:pPr>
            <w:proofErr w:type="spellStart"/>
            <w:r w:rsidRPr="0046767E">
              <w:rPr>
                <w:rFonts w:eastAsia="Times New Roman"/>
                <w:color w:val="000000"/>
                <w:sz w:val="22"/>
                <w:szCs w:val="22"/>
              </w:rPr>
              <w:t>xiaomi</w:t>
            </w:r>
            <w:proofErr w:type="spellEnd"/>
            <w:r w:rsidRPr="0046767E">
              <w:rPr>
                <w:rFonts w:eastAsia="Times New Roman"/>
                <w:color w:val="000000"/>
                <w:sz w:val="22"/>
                <w:szCs w:val="22"/>
              </w:rPr>
              <w:t>[R1-2209250]</w:t>
            </w:r>
          </w:p>
          <w:p w14:paraId="19DE389B" w14:textId="77777777" w:rsidR="005F69D4" w:rsidRPr="0046767E" w:rsidRDefault="005F69D4">
            <w:pPr>
              <w:snapToGrid w:val="0"/>
              <w:rPr>
                <w:rFonts w:eastAsia="Times New Roman"/>
                <w:color w:val="000000"/>
                <w:sz w:val="22"/>
                <w:szCs w:val="22"/>
              </w:rPr>
            </w:pPr>
            <w:r w:rsidRPr="0046767E">
              <w:rPr>
                <w:rFonts w:eastAsia="Times New Roman"/>
                <w:color w:val="000000"/>
                <w:sz w:val="22"/>
                <w:szCs w:val="22"/>
              </w:rPr>
              <w:t>LG Electronics[R1-2209447]</w:t>
            </w:r>
          </w:p>
          <w:p w14:paraId="0C9E73AB" w14:textId="77777777" w:rsidR="005F69D4" w:rsidRPr="0046767E" w:rsidRDefault="005F69D4">
            <w:pPr>
              <w:snapToGrid w:val="0"/>
              <w:rPr>
                <w:rFonts w:eastAsia="Times New Roman"/>
                <w:color w:val="000000"/>
                <w:sz w:val="22"/>
                <w:szCs w:val="22"/>
              </w:rPr>
            </w:pPr>
            <w:r w:rsidRPr="0046767E">
              <w:rPr>
                <w:rFonts w:eastAsia="Times New Roman"/>
                <w:color w:val="000000"/>
                <w:sz w:val="22"/>
                <w:szCs w:val="22"/>
              </w:rPr>
              <w:t>Samsung[R1-2209692]</w:t>
            </w:r>
          </w:p>
          <w:p w14:paraId="35948957" w14:textId="77777777" w:rsidR="005F69D4" w:rsidRPr="0046767E" w:rsidRDefault="005F69D4">
            <w:pPr>
              <w:snapToGrid w:val="0"/>
              <w:rPr>
                <w:rFonts w:eastAsia="Times New Roman"/>
                <w:color w:val="000000"/>
                <w:sz w:val="22"/>
                <w:szCs w:val="22"/>
              </w:rPr>
            </w:pPr>
            <w:r w:rsidRPr="0046767E">
              <w:rPr>
                <w:rFonts w:eastAsia="Times New Roman"/>
                <w:color w:val="000000"/>
                <w:sz w:val="22"/>
                <w:szCs w:val="22"/>
              </w:rPr>
              <w:t>Qualcomm Incorporated[R1-2209941]</w:t>
            </w:r>
          </w:p>
          <w:p w14:paraId="3D3777FB" w14:textId="05B261E2" w:rsidR="007E068D" w:rsidRPr="0046767E" w:rsidRDefault="007E068D">
            <w:pPr>
              <w:snapToGrid w:val="0"/>
              <w:rPr>
                <w:sz w:val="22"/>
                <w:szCs w:val="22"/>
              </w:rPr>
            </w:pPr>
            <w:r w:rsidRPr="0046767E">
              <w:rPr>
                <w:sz w:val="22"/>
                <w:szCs w:val="22"/>
              </w:rPr>
              <w:t>Nokia</w:t>
            </w:r>
            <w:r w:rsidR="00DB714A" w:rsidRPr="0046767E">
              <w:rPr>
                <w:sz w:val="22"/>
                <w:szCs w:val="22"/>
              </w:rPr>
              <w:t>, Nokia Shanghai Bell [R1-2209432]</w:t>
            </w:r>
          </w:p>
        </w:tc>
      </w:tr>
      <w:tr w:rsidR="005F69D4" w:rsidRPr="0046767E" w14:paraId="627F22EF" w14:textId="77777777" w:rsidTr="00CB6B70">
        <w:trPr>
          <w:trHeight w:val="66"/>
        </w:trPr>
        <w:tc>
          <w:tcPr>
            <w:tcW w:w="445" w:type="pct"/>
            <w:vAlign w:val="center"/>
          </w:tcPr>
          <w:p w14:paraId="3682F1AD" w14:textId="18C11832" w:rsidR="005F69D4" w:rsidRPr="0046767E" w:rsidRDefault="009E1DB3">
            <w:pPr>
              <w:snapToGrid w:val="0"/>
              <w:rPr>
                <w:sz w:val="22"/>
                <w:szCs w:val="22"/>
              </w:rPr>
            </w:pPr>
            <w:r w:rsidRPr="0046767E">
              <w:rPr>
                <w:sz w:val="22"/>
                <w:szCs w:val="22"/>
              </w:rPr>
              <w:t>CA</w:t>
            </w:r>
            <w:r w:rsidR="005F69D4" w:rsidRPr="0046767E">
              <w:rPr>
                <w:sz w:val="22"/>
                <w:szCs w:val="22"/>
              </w:rPr>
              <w:t>-3</w:t>
            </w:r>
          </w:p>
        </w:tc>
        <w:tc>
          <w:tcPr>
            <w:tcW w:w="1469" w:type="pct"/>
            <w:vAlign w:val="center"/>
          </w:tcPr>
          <w:p w14:paraId="587E563C" w14:textId="5D23222A" w:rsidR="005F69D4" w:rsidRPr="0046767E" w:rsidRDefault="005F69D4">
            <w:pPr>
              <w:snapToGrid w:val="0"/>
              <w:rPr>
                <w:rFonts w:eastAsia="DengXian"/>
                <w:color w:val="000000" w:themeColor="text1"/>
                <w:sz w:val="22"/>
                <w:szCs w:val="22"/>
                <w:lang w:eastAsia="zh-CN"/>
              </w:rPr>
            </w:pPr>
            <w:r w:rsidRPr="0046767E">
              <w:rPr>
                <w:rFonts w:eastAsia="DengXian"/>
                <w:color w:val="000000" w:themeColor="text1"/>
                <w:sz w:val="22"/>
                <w:szCs w:val="22"/>
                <w:lang w:eastAsia="zh-CN"/>
              </w:rPr>
              <w:t>LBT Upgrade in COT Sharing and COT Resumption after a gap</w:t>
            </w:r>
          </w:p>
        </w:tc>
        <w:tc>
          <w:tcPr>
            <w:tcW w:w="3086" w:type="pct"/>
            <w:vAlign w:val="center"/>
          </w:tcPr>
          <w:p w14:paraId="1D5EDA2D" w14:textId="77777777" w:rsidR="005F69D4" w:rsidRPr="0046767E" w:rsidRDefault="005F69D4">
            <w:pPr>
              <w:snapToGrid w:val="0"/>
              <w:rPr>
                <w:rFonts w:eastAsia="Times New Roman"/>
                <w:color w:val="000000"/>
                <w:sz w:val="22"/>
                <w:szCs w:val="22"/>
              </w:rPr>
            </w:pPr>
            <w:r w:rsidRPr="0046767E">
              <w:rPr>
                <w:rFonts w:eastAsia="Times New Roman"/>
                <w:color w:val="000000"/>
                <w:sz w:val="22"/>
                <w:szCs w:val="22"/>
              </w:rPr>
              <w:t>WILUS Inc.[R1-2210137]</w:t>
            </w:r>
          </w:p>
          <w:p w14:paraId="1A57A81D" w14:textId="1ED550E4" w:rsidR="005F69D4" w:rsidRPr="0046767E" w:rsidRDefault="005F69D4">
            <w:pPr>
              <w:snapToGrid w:val="0"/>
              <w:rPr>
                <w:rFonts w:eastAsia="Times New Roman"/>
                <w:color w:val="000000"/>
                <w:sz w:val="22"/>
                <w:szCs w:val="22"/>
              </w:rPr>
            </w:pPr>
            <w:r w:rsidRPr="0046767E">
              <w:rPr>
                <w:rFonts w:eastAsia="Times New Roman"/>
                <w:color w:val="000000"/>
                <w:sz w:val="22"/>
                <w:szCs w:val="22"/>
              </w:rPr>
              <w:t>CATT[R1-</w:t>
            </w:r>
            <w:proofErr w:type="gramStart"/>
            <w:r w:rsidRPr="0046767E">
              <w:rPr>
                <w:rFonts w:eastAsia="Times New Roman"/>
                <w:color w:val="000000"/>
                <w:sz w:val="22"/>
                <w:szCs w:val="22"/>
              </w:rPr>
              <w:t>2208935]</w:t>
            </w:r>
            <w:r w:rsidR="00D65002" w:rsidRPr="0046767E">
              <w:rPr>
                <w:rFonts w:eastAsia="Times New Roman"/>
                <w:color w:val="000000"/>
                <w:sz w:val="22"/>
                <w:szCs w:val="22"/>
              </w:rPr>
              <w:t>[</w:t>
            </w:r>
            <w:proofErr w:type="gramEnd"/>
            <w:r w:rsidR="00D65002" w:rsidRPr="0046767E">
              <w:rPr>
                <w:rFonts w:eastAsia="Times New Roman"/>
                <w:color w:val="000000"/>
                <w:sz w:val="22"/>
                <w:szCs w:val="22"/>
              </w:rPr>
              <w:t>R1-2208934]</w:t>
            </w:r>
          </w:p>
          <w:p w14:paraId="76E4CC33" w14:textId="77777777" w:rsidR="005F69D4" w:rsidRPr="0046767E" w:rsidRDefault="005F69D4">
            <w:pPr>
              <w:snapToGrid w:val="0"/>
              <w:rPr>
                <w:rFonts w:eastAsia="Times New Roman"/>
                <w:color w:val="000000"/>
                <w:sz w:val="22"/>
                <w:szCs w:val="22"/>
              </w:rPr>
            </w:pPr>
            <w:r w:rsidRPr="0046767E">
              <w:rPr>
                <w:rFonts w:eastAsia="Times New Roman"/>
                <w:color w:val="000000"/>
                <w:sz w:val="22"/>
                <w:szCs w:val="22"/>
              </w:rPr>
              <w:t>Qualcomm Incorporated[R1-2209940]</w:t>
            </w:r>
          </w:p>
          <w:p w14:paraId="01BF1437" w14:textId="0208033F" w:rsidR="005F69D4" w:rsidRPr="0046767E" w:rsidRDefault="005F69D4">
            <w:pPr>
              <w:snapToGrid w:val="0"/>
              <w:rPr>
                <w:sz w:val="22"/>
                <w:szCs w:val="22"/>
              </w:rPr>
            </w:pPr>
            <w:r w:rsidRPr="0046767E">
              <w:rPr>
                <w:rFonts w:eastAsia="Batang"/>
                <w:snapToGrid w:val="0"/>
                <w:kern w:val="2"/>
                <w:sz w:val="22"/>
                <w:szCs w:val="22"/>
              </w:rPr>
              <w:t xml:space="preserve">Nokia, Nokia Shanghai Bell[R1-2210053] </w:t>
            </w:r>
          </w:p>
        </w:tc>
      </w:tr>
      <w:tr w:rsidR="005F69D4" w:rsidRPr="0046767E" w14:paraId="44560E15" w14:textId="77777777" w:rsidTr="00CB6B70">
        <w:trPr>
          <w:trHeight w:val="66"/>
        </w:trPr>
        <w:tc>
          <w:tcPr>
            <w:tcW w:w="445" w:type="pct"/>
            <w:vAlign w:val="center"/>
          </w:tcPr>
          <w:p w14:paraId="5215BE01" w14:textId="56E67DFE" w:rsidR="005F69D4" w:rsidRPr="0046767E" w:rsidRDefault="009E1DB3" w:rsidP="00295A2F">
            <w:pPr>
              <w:snapToGrid w:val="0"/>
              <w:rPr>
                <w:sz w:val="22"/>
                <w:szCs w:val="22"/>
              </w:rPr>
            </w:pPr>
            <w:r w:rsidRPr="0046767E">
              <w:rPr>
                <w:sz w:val="22"/>
                <w:szCs w:val="22"/>
              </w:rPr>
              <w:t>CA</w:t>
            </w:r>
            <w:r w:rsidR="005F69D4" w:rsidRPr="0046767E">
              <w:rPr>
                <w:sz w:val="22"/>
                <w:szCs w:val="22"/>
              </w:rPr>
              <w:t>-4</w:t>
            </w:r>
          </w:p>
        </w:tc>
        <w:tc>
          <w:tcPr>
            <w:tcW w:w="1469" w:type="pct"/>
            <w:vAlign w:val="center"/>
          </w:tcPr>
          <w:p w14:paraId="272703F5" w14:textId="35782DD5" w:rsidR="005F69D4" w:rsidRPr="0046767E" w:rsidRDefault="005F69D4" w:rsidP="00295A2F">
            <w:pPr>
              <w:snapToGrid w:val="0"/>
              <w:rPr>
                <w:color w:val="000000" w:themeColor="text1"/>
                <w:sz w:val="22"/>
                <w:szCs w:val="22"/>
                <w:lang w:eastAsia="zh-CN"/>
              </w:rPr>
            </w:pPr>
            <w:r w:rsidRPr="0046767E">
              <w:rPr>
                <w:color w:val="000000" w:themeColor="text1"/>
                <w:sz w:val="22"/>
                <w:szCs w:val="22"/>
                <w:lang w:eastAsia="zh-CN"/>
              </w:rPr>
              <w:t xml:space="preserve">Multi-Beam Channel </w:t>
            </w:r>
            <w:proofErr w:type="gramStart"/>
            <w:r w:rsidRPr="0046767E">
              <w:rPr>
                <w:color w:val="000000" w:themeColor="text1"/>
                <w:sz w:val="22"/>
                <w:szCs w:val="22"/>
                <w:lang w:eastAsia="zh-CN"/>
              </w:rPr>
              <w:t>Access :</w:t>
            </w:r>
            <w:proofErr w:type="gramEnd"/>
            <w:r w:rsidRPr="0046767E">
              <w:rPr>
                <w:color w:val="000000" w:themeColor="text1"/>
                <w:sz w:val="22"/>
                <w:szCs w:val="22"/>
                <w:lang w:eastAsia="zh-CN"/>
              </w:rPr>
              <w:t xml:space="preserve"> Independent per beam sensing procedure</w:t>
            </w:r>
          </w:p>
        </w:tc>
        <w:tc>
          <w:tcPr>
            <w:tcW w:w="3086" w:type="pct"/>
            <w:vAlign w:val="center"/>
          </w:tcPr>
          <w:p w14:paraId="3BED2D48" w14:textId="77777777" w:rsidR="005F69D4" w:rsidRPr="0046767E" w:rsidRDefault="005F69D4" w:rsidP="00295A2F">
            <w:pPr>
              <w:snapToGrid w:val="0"/>
              <w:rPr>
                <w:rFonts w:eastAsia="Batang"/>
                <w:snapToGrid w:val="0"/>
                <w:kern w:val="2"/>
                <w:sz w:val="22"/>
                <w:szCs w:val="22"/>
              </w:rPr>
            </w:pPr>
            <w:r w:rsidRPr="0046767E">
              <w:rPr>
                <w:rFonts w:eastAsia="Batang"/>
                <w:snapToGrid w:val="0"/>
                <w:kern w:val="2"/>
                <w:sz w:val="22"/>
                <w:szCs w:val="22"/>
              </w:rPr>
              <w:t xml:space="preserve">Huawei, </w:t>
            </w:r>
            <w:proofErr w:type="spellStart"/>
            <w:r w:rsidRPr="0046767E">
              <w:rPr>
                <w:rFonts w:eastAsia="Batang"/>
                <w:snapToGrid w:val="0"/>
                <w:kern w:val="2"/>
                <w:sz w:val="22"/>
                <w:szCs w:val="22"/>
              </w:rPr>
              <w:t>HiSilicon</w:t>
            </w:r>
            <w:proofErr w:type="spellEnd"/>
            <w:r w:rsidRPr="0046767E">
              <w:rPr>
                <w:rFonts w:eastAsia="Batang"/>
                <w:snapToGrid w:val="0"/>
                <w:kern w:val="2"/>
                <w:sz w:val="22"/>
                <w:szCs w:val="22"/>
              </w:rPr>
              <w:t>[R1-2208476]</w:t>
            </w:r>
          </w:p>
          <w:p w14:paraId="3459FBC9" w14:textId="77777777" w:rsidR="005F69D4" w:rsidRPr="0046767E" w:rsidRDefault="005F69D4" w:rsidP="00295A2F">
            <w:pPr>
              <w:snapToGrid w:val="0"/>
              <w:rPr>
                <w:rFonts w:eastAsia="Batang"/>
                <w:snapToGrid w:val="0"/>
                <w:kern w:val="2"/>
                <w:sz w:val="22"/>
                <w:szCs w:val="22"/>
              </w:rPr>
            </w:pPr>
            <w:r w:rsidRPr="0046767E">
              <w:rPr>
                <w:rFonts w:eastAsia="Batang"/>
                <w:snapToGrid w:val="0"/>
                <w:kern w:val="2"/>
                <w:sz w:val="22"/>
                <w:szCs w:val="22"/>
              </w:rPr>
              <w:t>LG Electronics[R1-2209445]</w:t>
            </w:r>
          </w:p>
          <w:p w14:paraId="391F15BC" w14:textId="77777777" w:rsidR="005F69D4" w:rsidRPr="0046767E" w:rsidRDefault="005F69D4" w:rsidP="00295A2F">
            <w:pPr>
              <w:snapToGrid w:val="0"/>
              <w:rPr>
                <w:rFonts w:eastAsia="Batang"/>
                <w:snapToGrid w:val="0"/>
                <w:kern w:val="2"/>
                <w:sz w:val="22"/>
                <w:szCs w:val="22"/>
              </w:rPr>
            </w:pPr>
            <w:r w:rsidRPr="0046767E">
              <w:rPr>
                <w:rFonts w:eastAsia="Batang"/>
                <w:snapToGrid w:val="0"/>
                <w:kern w:val="2"/>
                <w:sz w:val="22"/>
                <w:szCs w:val="22"/>
              </w:rPr>
              <w:t>Samsung[R1-2209693]</w:t>
            </w:r>
          </w:p>
          <w:p w14:paraId="4DFD4942" w14:textId="77777777" w:rsidR="005F69D4" w:rsidRPr="0046767E" w:rsidRDefault="005F69D4" w:rsidP="00295A2F">
            <w:pPr>
              <w:snapToGrid w:val="0"/>
              <w:rPr>
                <w:rFonts w:eastAsia="Batang"/>
                <w:snapToGrid w:val="0"/>
                <w:kern w:val="2"/>
                <w:sz w:val="22"/>
                <w:szCs w:val="22"/>
              </w:rPr>
            </w:pPr>
            <w:r w:rsidRPr="0046767E">
              <w:rPr>
                <w:rFonts w:eastAsia="Batang"/>
                <w:snapToGrid w:val="0"/>
                <w:kern w:val="2"/>
                <w:sz w:val="22"/>
                <w:szCs w:val="22"/>
              </w:rPr>
              <w:t xml:space="preserve">Huawei, </w:t>
            </w:r>
            <w:proofErr w:type="spellStart"/>
            <w:r w:rsidRPr="0046767E">
              <w:rPr>
                <w:rFonts w:eastAsia="Batang"/>
                <w:snapToGrid w:val="0"/>
                <w:kern w:val="2"/>
                <w:sz w:val="22"/>
                <w:szCs w:val="22"/>
              </w:rPr>
              <w:t>HiSilicon</w:t>
            </w:r>
            <w:proofErr w:type="spellEnd"/>
            <w:r w:rsidRPr="0046767E">
              <w:rPr>
                <w:rFonts w:eastAsia="Batang"/>
                <w:snapToGrid w:val="0"/>
                <w:kern w:val="2"/>
                <w:sz w:val="22"/>
                <w:szCs w:val="22"/>
              </w:rPr>
              <w:t>[R1-2209845]</w:t>
            </w:r>
          </w:p>
          <w:p w14:paraId="0187928C" w14:textId="77777777" w:rsidR="005F69D4" w:rsidRPr="0046767E" w:rsidRDefault="005F69D4" w:rsidP="00295A2F">
            <w:pPr>
              <w:snapToGrid w:val="0"/>
              <w:rPr>
                <w:rFonts w:eastAsia="Batang"/>
                <w:snapToGrid w:val="0"/>
                <w:kern w:val="2"/>
                <w:sz w:val="22"/>
                <w:szCs w:val="22"/>
              </w:rPr>
            </w:pPr>
            <w:r w:rsidRPr="0046767E">
              <w:rPr>
                <w:rFonts w:eastAsia="Batang"/>
                <w:snapToGrid w:val="0"/>
                <w:kern w:val="2"/>
                <w:sz w:val="22"/>
                <w:szCs w:val="22"/>
              </w:rPr>
              <w:t>Qualcomm Incorporated[R1-2209942]</w:t>
            </w:r>
          </w:p>
          <w:p w14:paraId="1ECF8E72" w14:textId="490DBF14" w:rsidR="005F69D4" w:rsidRPr="0046767E" w:rsidRDefault="005F69D4" w:rsidP="00295A2F">
            <w:pPr>
              <w:snapToGrid w:val="0"/>
              <w:rPr>
                <w:sz w:val="22"/>
                <w:szCs w:val="22"/>
              </w:rPr>
            </w:pPr>
            <w:r w:rsidRPr="0046767E">
              <w:rPr>
                <w:rFonts w:eastAsia="Times New Roman"/>
                <w:color w:val="000000"/>
                <w:sz w:val="22"/>
                <w:szCs w:val="22"/>
              </w:rPr>
              <w:t>Qualcomm Incorporated[R1-2209943]</w:t>
            </w:r>
          </w:p>
        </w:tc>
      </w:tr>
      <w:tr w:rsidR="005F69D4" w:rsidRPr="0046767E" w14:paraId="405EA508" w14:textId="77777777" w:rsidTr="00CB6B70">
        <w:trPr>
          <w:trHeight w:val="66"/>
        </w:trPr>
        <w:tc>
          <w:tcPr>
            <w:tcW w:w="445" w:type="pct"/>
            <w:vAlign w:val="center"/>
          </w:tcPr>
          <w:p w14:paraId="68B84C86" w14:textId="57A3833D" w:rsidR="005F69D4" w:rsidRPr="0046767E" w:rsidRDefault="009E1DB3" w:rsidP="00295A2F">
            <w:pPr>
              <w:snapToGrid w:val="0"/>
              <w:rPr>
                <w:sz w:val="22"/>
                <w:szCs w:val="22"/>
              </w:rPr>
            </w:pPr>
            <w:r w:rsidRPr="0046767E">
              <w:rPr>
                <w:sz w:val="22"/>
                <w:szCs w:val="22"/>
              </w:rPr>
              <w:t>CA-5</w:t>
            </w:r>
          </w:p>
        </w:tc>
        <w:tc>
          <w:tcPr>
            <w:tcW w:w="1469" w:type="pct"/>
            <w:vAlign w:val="center"/>
          </w:tcPr>
          <w:p w14:paraId="015C99A9" w14:textId="1EE9AA29" w:rsidR="005F69D4" w:rsidRPr="0046767E" w:rsidRDefault="005F69D4" w:rsidP="00295A2F">
            <w:pPr>
              <w:snapToGrid w:val="0"/>
              <w:rPr>
                <w:color w:val="000000" w:themeColor="text1"/>
                <w:sz w:val="22"/>
                <w:szCs w:val="22"/>
                <w:lang w:eastAsia="zh-CN"/>
              </w:rPr>
            </w:pPr>
            <w:r w:rsidRPr="0046767E">
              <w:rPr>
                <w:color w:val="000000" w:themeColor="text1"/>
                <w:sz w:val="22"/>
                <w:szCs w:val="22"/>
                <w:lang w:eastAsia="zh-CN"/>
              </w:rPr>
              <w:t>TCI State for Inter-Frequency RSSI</w:t>
            </w:r>
          </w:p>
        </w:tc>
        <w:tc>
          <w:tcPr>
            <w:tcW w:w="3086" w:type="pct"/>
            <w:vAlign w:val="center"/>
          </w:tcPr>
          <w:p w14:paraId="587F87DD" w14:textId="17340AF1" w:rsidR="005F69D4" w:rsidRPr="0046767E" w:rsidRDefault="005F69D4" w:rsidP="00295A2F">
            <w:pPr>
              <w:snapToGrid w:val="0"/>
              <w:rPr>
                <w:sz w:val="22"/>
                <w:szCs w:val="22"/>
              </w:rPr>
            </w:pPr>
            <w:r w:rsidRPr="0046767E">
              <w:rPr>
                <w:sz w:val="22"/>
                <w:szCs w:val="22"/>
              </w:rPr>
              <w:t>Ericsson [R1-2209183] [R1-2208182]</w:t>
            </w:r>
          </w:p>
        </w:tc>
      </w:tr>
      <w:tr w:rsidR="005F69D4" w:rsidRPr="0046767E" w14:paraId="110B8920" w14:textId="77777777" w:rsidTr="00CB6B70">
        <w:trPr>
          <w:trHeight w:val="66"/>
        </w:trPr>
        <w:tc>
          <w:tcPr>
            <w:tcW w:w="445" w:type="pct"/>
            <w:vAlign w:val="center"/>
          </w:tcPr>
          <w:p w14:paraId="7319D3D6" w14:textId="3BA26590" w:rsidR="005F69D4" w:rsidRPr="0046767E" w:rsidRDefault="009E1DB3" w:rsidP="00295A2F">
            <w:pPr>
              <w:snapToGrid w:val="0"/>
              <w:rPr>
                <w:sz w:val="22"/>
                <w:szCs w:val="22"/>
              </w:rPr>
            </w:pPr>
            <w:r w:rsidRPr="0046767E">
              <w:rPr>
                <w:sz w:val="22"/>
                <w:szCs w:val="22"/>
              </w:rPr>
              <w:t>CA-6</w:t>
            </w:r>
          </w:p>
        </w:tc>
        <w:tc>
          <w:tcPr>
            <w:tcW w:w="1469" w:type="pct"/>
            <w:vAlign w:val="center"/>
          </w:tcPr>
          <w:p w14:paraId="40E0ACBB" w14:textId="589D2FA1" w:rsidR="005F69D4" w:rsidRPr="0046767E" w:rsidRDefault="005F69D4" w:rsidP="00295A2F">
            <w:pPr>
              <w:snapToGrid w:val="0"/>
              <w:rPr>
                <w:color w:val="000000" w:themeColor="text1"/>
                <w:sz w:val="22"/>
                <w:szCs w:val="22"/>
                <w:lang w:eastAsia="zh-CN"/>
              </w:rPr>
            </w:pPr>
            <w:r w:rsidRPr="0046767E">
              <w:rPr>
                <w:color w:val="000000" w:themeColor="text1"/>
                <w:sz w:val="22"/>
                <w:szCs w:val="22"/>
                <w:lang w:eastAsia="zh-CN"/>
              </w:rPr>
              <w:t>Sensing Beam for PUCCH or SRS</w:t>
            </w:r>
          </w:p>
        </w:tc>
        <w:tc>
          <w:tcPr>
            <w:tcW w:w="3086" w:type="pct"/>
            <w:vAlign w:val="center"/>
          </w:tcPr>
          <w:p w14:paraId="064F62AB" w14:textId="6502A0BB" w:rsidR="005F69D4" w:rsidRPr="0046767E" w:rsidRDefault="005F69D4" w:rsidP="00295A2F">
            <w:pPr>
              <w:snapToGrid w:val="0"/>
              <w:rPr>
                <w:sz w:val="22"/>
                <w:szCs w:val="22"/>
              </w:rPr>
            </w:pPr>
            <w:r w:rsidRPr="0046767E">
              <w:rPr>
                <w:rFonts w:eastAsia="Times New Roman"/>
                <w:color w:val="000000"/>
                <w:sz w:val="22"/>
                <w:szCs w:val="22"/>
              </w:rPr>
              <w:t>NTT DOCOMO, INC.[R1-2209868]</w:t>
            </w:r>
          </w:p>
        </w:tc>
      </w:tr>
      <w:tr w:rsidR="005F69D4" w:rsidRPr="0046767E" w14:paraId="75AB7913" w14:textId="77777777" w:rsidTr="00CB6B70">
        <w:trPr>
          <w:trHeight w:val="66"/>
        </w:trPr>
        <w:tc>
          <w:tcPr>
            <w:tcW w:w="445" w:type="pct"/>
            <w:vAlign w:val="center"/>
          </w:tcPr>
          <w:p w14:paraId="4E0A21A5" w14:textId="55B6652B" w:rsidR="005F69D4" w:rsidRPr="0046767E" w:rsidRDefault="009E1DB3" w:rsidP="00295A2F">
            <w:pPr>
              <w:snapToGrid w:val="0"/>
              <w:rPr>
                <w:sz w:val="22"/>
                <w:szCs w:val="22"/>
              </w:rPr>
            </w:pPr>
            <w:r w:rsidRPr="0046767E">
              <w:rPr>
                <w:sz w:val="22"/>
                <w:szCs w:val="22"/>
              </w:rPr>
              <w:t>CA-7</w:t>
            </w:r>
          </w:p>
        </w:tc>
        <w:tc>
          <w:tcPr>
            <w:tcW w:w="1469" w:type="pct"/>
            <w:vAlign w:val="center"/>
          </w:tcPr>
          <w:p w14:paraId="75B99A98" w14:textId="18E5A0F2" w:rsidR="005F69D4" w:rsidRPr="0046767E" w:rsidRDefault="005F69D4" w:rsidP="00295A2F">
            <w:pPr>
              <w:snapToGrid w:val="0"/>
              <w:rPr>
                <w:color w:val="000000" w:themeColor="text1"/>
                <w:sz w:val="22"/>
                <w:szCs w:val="22"/>
                <w:lang w:eastAsia="zh-CN"/>
              </w:rPr>
            </w:pPr>
            <w:r w:rsidRPr="0046767E">
              <w:rPr>
                <w:color w:val="000000" w:themeColor="text1"/>
                <w:sz w:val="22"/>
                <w:szCs w:val="22"/>
                <w:lang w:eastAsia="zh-CN"/>
              </w:rPr>
              <w:t>CSIRS Validation when CSI-RS is contention Exempt</w:t>
            </w:r>
          </w:p>
        </w:tc>
        <w:tc>
          <w:tcPr>
            <w:tcW w:w="3086" w:type="pct"/>
            <w:vAlign w:val="center"/>
          </w:tcPr>
          <w:p w14:paraId="6C6CA962" w14:textId="591EBBF4" w:rsidR="005F69D4" w:rsidRPr="0046767E" w:rsidRDefault="005F69D4" w:rsidP="00295A2F">
            <w:pPr>
              <w:snapToGrid w:val="0"/>
              <w:rPr>
                <w:sz w:val="22"/>
                <w:szCs w:val="22"/>
              </w:rPr>
            </w:pPr>
            <w:proofErr w:type="spellStart"/>
            <w:r w:rsidRPr="0046767E">
              <w:rPr>
                <w:color w:val="000000"/>
                <w:sz w:val="22"/>
                <w:szCs w:val="22"/>
              </w:rPr>
              <w:t>AsusTek</w:t>
            </w:r>
            <w:proofErr w:type="spellEnd"/>
            <w:r w:rsidRPr="0046767E">
              <w:rPr>
                <w:color w:val="000000"/>
                <w:sz w:val="22"/>
                <w:szCs w:val="22"/>
              </w:rPr>
              <w:t xml:space="preserve"> [R1-2207495]</w:t>
            </w:r>
          </w:p>
        </w:tc>
      </w:tr>
      <w:tr w:rsidR="005F69D4" w:rsidRPr="0046767E" w14:paraId="3ED87C1D" w14:textId="77777777" w:rsidTr="00CB6B70">
        <w:trPr>
          <w:trHeight w:val="66"/>
        </w:trPr>
        <w:tc>
          <w:tcPr>
            <w:tcW w:w="445" w:type="pct"/>
            <w:vAlign w:val="center"/>
          </w:tcPr>
          <w:p w14:paraId="259285EA" w14:textId="0307E7AE" w:rsidR="005F69D4" w:rsidRPr="0046767E" w:rsidRDefault="009E1DB3" w:rsidP="00295A2F">
            <w:pPr>
              <w:snapToGrid w:val="0"/>
              <w:rPr>
                <w:sz w:val="22"/>
                <w:szCs w:val="22"/>
              </w:rPr>
            </w:pPr>
            <w:r w:rsidRPr="0046767E">
              <w:rPr>
                <w:sz w:val="22"/>
                <w:szCs w:val="22"/>
              </w:rPr>
              <w:t>CA-8</w:t>
            </w:r>
          </w:p>
        </w:tc>
        <w:tc>
          <w:tcPr>
            <w:tcW w:w="1469" w:type="pct"/>
            <w:vAlign w:val="center"/>
          </w:tcPr>
          <w:p w14:paraId="012826F3" w14:textId="5961BF5C" w:rsidR="005F69D4" w:rsidRPr="0046767E" w:rsidRDefault="005F69D4" w:rsidP="00295A2F">
            <w:pPr>
              <w:snapToGrid w:val="0"/>
              <w:rPr>
                <w:color w:val="000000" w:themeColor="text1"/>
                <w:sz w:val="22"/>
                <w:szCs w:val="22"/>
                <w:lang w:eastAsia="zh-CN"/>
              </w:rPr>
            </w:pPr>
            <w:r w:rsidRPr="0046767E">
              <w:rPr>
                <w:color w:val="000000" w:themeColor="text1"/>
                <w:sz w:val="22"/>
                <w:szCs w:val="22"/>
                <w:lang w:eastAsia="zh-CN"/>
              </w:rPr>
              <w:t xml:space="preserve">Failure of Type 2 sensing </w:t>
            </w:r>
          </w:p>
        </w:tc>
        <w:tc>
          <w:tcPr>
            <w:tcW w:w="3086" w:type="pct"/>
            <w:vAlign w:val="center"/>
          </w:tcPr>
          <w:p w14:paraId="7C6AE096" w14:textId="1C0C81E2" w:rsidR="005F69D4" w:rsidRPr="0046767E" w:rsidRDefault="005F69D4" w:rsidP="00295A2F">
            <w:pPr>
              <w:snapToGrid w:val="0"/>
              <w:rPr>
                <w:sz w:val="22"/>
                <w:szCs w:val="22"/>
              </w:rPr>
            </w:pPr>
            <w:r w:rsidRPr="0046767E">
              <w:rPr>
                <w:rFonts w:eastAsia="Times New Roman"/>
                <w:color w:val="000000"/>
                <w:sz w:val="22"/>
                <w:szCs w:val="22"/>
              </w:rPr>
              <w:t>WILUS Inc.[R1-2210136]</w:t>
            </w:r>
          </w:p>
        </w:tc>
      </w:tr>
      <w:tr w:rsidR="005F69D4" w:rsidRPr="0046767E" w14:paraId="66A71B34" w14:textId="77777777" w:rsidTr="00CB6B70">
        <w:trPr>
          <w:trHeight w:val="66"/>
        </w:trPr>
        <w:tc>
          <w:tcPr>
            <w:tcW w:w="445" w:type="pct"/>
            <w:vAlign w:val="center"/>
          </w:tcPr>
          <w:p w14:paraId="2731D477" w14:textId="5B82573A" w:rsidR="005F69D4" w:rsidRPr="0046767E" w:rsidRDefault="009E1DB3" w:rsidP="00295A2F">
            <w:pPr>
              <w:snapToGrid w:val="0"/>
              <w:rPr>
                <w:sz w:val="22"/>
                <w:szCs w:val="22"/>
              </w:rPr>
            </w:pPr>
            <w:r w:rsidRPr="0046767E">
              <w:rPr>
                <w:sz w:val="22"/>
                <w:szCs w:val="22"/>
              </w:rPr>
              <w:t>CA-9</w:t>
            </w:r>
          </w:p>
        </w:tc>
        <w:tc>
          <w:tcPr>
            <w:tcW w:w="1469" w:type="pct"/>
            <w:vAlign w:val="center"/>
          </w:tcPr>
          <w:p w14:paraId="3DB0A535" w14:textId="71F1B7FA" w:rsidR="005F69D4" w:rsidRPr="0046767E" w:rsidRDefault="005F69D4" w:rsidP="00295A2F">
            <w:pPr>
              <w:snapToGrid w:val="0"/>
              <w:rPr>
                <w:color w:val="000000" w:themeColor="text1"/>
                <w:sz w:val="22"/>
                <w:szCs w:val="22"/>
                <w:lang w:eastAsia="zh-CN"/>
              </w:rPr>
            </w:pPr>
            <w:r w:rsidRPr="0046767E">
              <w:rPr>
                <w:color w:val="000000" w:themeColor="text1"/>
                <w:sz w:val="22"/>
                <w:szCs w:val="22"/>
                <w:lang w:eastAsia="zh-CN"/>
              </w:rPr>
              <w:t>ED Threshold Editorial</w:t>
            </w:r>
          </w:p>
        </w:tc>
        <w:tc>
          <w:tcPr>
            <w:tcW w:w="3086" w:type="pct"/>
            <w:vAlign w:val="center"/>
          </w:tcPr>
          <w:p w14:paraId="3CBEC323" w14:textId="3B128E40" w:rsidR="005F69D4" w:rsidRPr="0046767E" w:rsidRDefault="005F69D4" w:rsidP="00295A2F">
            <w:pPr>
              <w:snapToGrid w:val="0"/>
              <w:rPr>
                <w:sz w:val="22"/>
                <w:szCs w:val="22"/>
              </w:rPr>
            </w:pPr>
            <w:r w:rsidRPr="0046767E">
              <w:rPr>
                <w:rFonts w:eastAsia="Batang"/>
                <w:snapToGrid w:val="0"/>
                <w:kern w:val="2"/>
                <w:sz w:val="22"/>
                <w:szCs w:val="22"/>
              </w:rPr>
              <w:t xml:space="preserve">Huawei, </w:t>
            </w:r>
            <w:proofErr w:type="spellStart"/>
            <w:r w:rsidRPr="0046767E">
              <w:rPr>
                <w:rFonts w:eastAsia="Batang"/>
                <w:snapToGrid w:val="0"/>
                <w:kern w:val="2"/>
                <w:sz w:val="22"/>
                <w:szCs w:val="22"/>
              </w:rPr>
              <w:t>HiSilicon</w:t>
            </w:r>
            <w:proofErr w:type="spellEnd"/>
            <w:r w:rsidRPr="0046767E">
              <w:rPr>
                <w:rFonts w:eastAsia="Batang"/>
                <w:snapToGrid w:val="0"/>
                <w:kern w:val="2"/>
                <w:sz w:val="22"/>
                <w:szCs w:val="22"/>
              </w:rPr>
              <w:t>[R1-2209819]</w:t>
            </w:r>
          </w:p>
        </w:tc>
      </w:tr>
      <w:tr w:rsidR="00320451" w:rsidRPr="0046767E" w14:paraId="3C1599B3" w14:textId="77777777" w:rsidTr="00CB6B70">
        <w:trPr>
          <w:trHeight w:val="66"/>
        </w:trPr>
        <w:tc>
          <w:tcPr>
            <w:tcW w:w="445" w:type="pct"/>
            <w:vAlign w:val="center"/>
          </w:tcPr>
          <w:p w14:paraId="46D15392" w14:textId="010DD34D" w:rsidR="00320451" w:rsidRPr="0046767E" w:rsidRDefault="00B121A3" w:rsidP="00295A2F">
            <w:pPr>
              <w:snapToGrid w:val="0"/>
              <w:rPr>
                <w:sz w:val="22"/>
                <w:szCs w:val="22"/>
              </w:rPr>
            </w:pPr>
            <w:r w:rsidRPr="0046767E">
              <w:rPr>
                <w:sz w:val="22"/>
                <w:szCs w:val="22"/>
              </w:rPr>
              <w:t>CA-10</w:t>
            </w:r>
          </w:p>
        </w:tc>
        <w:tc>
          <w:tcPr>
            <w:tcW w:w="1469" w:type="pct"/>
            <w:vAlign w:val="center"/>
          </w:tcPr>
          <w:p w14:paraId="677FD151" w14:textId="1860212E" w:rsidR="00320451" w:rsidRPr="0046767E" w:rsidRDefault="00BF20BC" w:rsidP="00295A2F">
            <w:pPr>
              <w:snapToGrid w:val="0"/>
              <w:rPr>
                <w:color w:val="000000" w:themeColor="text1"/>
                <w:sz w:val="22"/>
                <w:szCs w:val="22"/>
                <w:lang w:eastAsia="zh-CN"/>
              </w:rPr>
            </w:pPr>
            <w:r w:rsidRPr="0046767E">
              <w:rPr>
                <w:iCs/>
                <w:sz w:val="22"/>
                <w:szCs w:val="22"/>
              </w:rPr>
              <w:t>Editorial</w:t>
            </w:r>
            <w:r w:rsidRPr="0046767E">
              <w:rPr>
                <w:i/>
                <w:sz w:val="22"/>
                <w:szCs w:val="22"/>
              </w:rPr>
              <w:t xml:space="preserve">: </w:t>
            </w:r>
            <w:proofErr w:type="spellStart"/>
            <w:r w:rsidRPr="0046767E">
              <w:rPr>
                <w:i/>
                <w:sz w:val="22"/>
                <w:szCs w:val="22"/>
              </w:rPr>
              <w:t>beamCorrespondenceWithoutUL-BeamSweeping</w:t>
            </w:r>
            <w:proofErr w:type="spellEnd"/>
          </w:p>
        </w:tc>
        <w:tc>
          <w:tcPr>
            <w:tcW w:w="3086" w:type="pct"/>
            <w:vAlign w:val="center"/>
          </w:tcPr>
          <w:p w14:paraId="2D8E02FE" w14:textId="5ED02F09" w:rsidR="00320451" w:rsidRPr="0046767E" w:rsidRDefault="005744CE" w:rsidP="00295A2F">
            <w:pPr>
              <w:snapToGrid w:val="0"/>
              <w:rPr>
                <w:rFonts w:eastAsia="Batang"/>
                <w:snapToGrid w:val="0"/>
                <w:kern w:val="2"/>
                <w:sz w:val="22"/>
                <w:szCs w:val="22"/>
              </w:rPr>
            </w:pPr>
            <w:r w:rsidRPr="0046767E">
              <w:rPr>
                <w:rFonts w:eastAsia="Batang"/>
                <w:snapToGrid w:val="0"/>
                <w:kern w:val="2"/>
                <w:sz w:val="22"/>
                <w:szCs w:val="22"/>
              </w:rPr>
              <w:t>OPPO</w:t>
            </w:r>
            <w:r w:rsidR="002D23A0" w:rsidRPr="0046767E">
              <w:rPr>
                <w:rFonts w:eastAsia="Batang"/>
                <w:snapToGrid w:val="0"/>
                <w:kern w:val="2"/>
                <w:sz w:val="22"/>
                <w:szCs w:val="22"/>
              </w:rPr>
              <w:t>[R1-2208828]</w:t>
            </w:r>
          </w:p>
        </w:tc>
      </w:tr>
    </w:tbl>
    <w:p w14:paraId="768ECD0C" w14:textId="77777777" w:rsidR="00413385" w:rsidRPr="00436A41" w:rsidRDefault="00413385" w:rsidP="00C86460">
      <w:pPr>
        <w:snapToGrid w:val="0"/>
        <w:spacing w:after="60" w:line="288" w:lineRule="auto"/>
        <w:jc w:val="both"/>
      </w:pPr>
    </w:p>
    <w:p w14:paraId="7A16310F" w14:textId="77777777" w:rsidR="00824275" w:rsidRPr="00436A41" w:rsidRDefault="00824275" w:rsidP="00824275">
      <w:pPr>
        <w:pStyle w:val="Heading1"/>
        <w:numPr>
          <w:ilvl w:val="0"/>
          <w:numId w:val="0"/>
        </w:numPr>
        <w:spacing w:before="0" w:after="60"/>
        <w:ind w:left="799" w:hanging="799"/>
        <w:jc w:val="both"/>
        <w:rPr>
          <w:sz w:val="24"/>
          <w:szCs w:val="24"/>
          <w:lang w:val="en-US"/>
        </w:rPr>
      </w:pPr>
      <w:r w:rsidRPr="00436A41">
        <w:rPr>
          <w:sz w:val="24"/>
          <w:szCs w:val="24"/>
          <w:lang w:val="en-US"/>
        </w:rPr>
        <w:t>References</w:t>
      </w:r>
    </w:p>
    <w:p w14:paraId="44E8FEE5" w14:textId="7704CED7" w:rsidR="00FF4281" w:rsidRDefault="00FF4281" w:rsidP="00A9527A">
      <w:pPr>
        <w:rPr>
          <w:u w:val="single"/>
        </w:rPr>
      </w:pPr>
      <w:r w:rsidRPr="00436A41">
        <w:rPr>
          <w:u w:val="single"/>
        </w:rPr>
        <w:t xml:space="preserve">Contributions </w:t>
      </w:r>
      <w:r w:rsidR="008C2257" w:rsidRPr="00436A41">
        <w:rPr>
          <w:u w:val="single"/>
        </w:rPr>
        <w:t>related</w:t>
      </w:r>
      <w:r w:rsidRPr="00436A41">
        <w:rPr>
          <w:u w:val="single"/>
        </w:rPr>
        <w:t xml:space="preserve"> to </w:t>
      </w:r>
      <w:r w:rsidR="002571A6">
        <w:rPr>
          <w:u w:val="single"/>
        </w:rPr>
        <w:t xml:space="preserve">Channel Access </w:t>
      </w:r>
    </w:p>
    <w:p w14:paraId="0E801581" w14:textId="77777777" w:rsidR="002571A6" w:rsidRPr="00436A41" w:rsidRDefault="002571A6" w:rsidP="00A9527A">
      <w:pPr>
        <w:rPr>
          <w:u w:val="single"/>
        </w:rPr>
      </w:pPr>
    </w:p>
    <w:p w14:paraId="1EDEA716" w14:textId="0EB69898"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R1-2208463, Remaining issues of channel access mechanism for 60 GHz unlicensed operation, Huawei, </w:t>
      </w:r>
      <w:proofErr w:type="spellStart"/>
      <w:r>
        <w:t>HiSilicon</w:t>
      </w:r>
      <w:proofErr w:type="spellEnd"/>
    </w:p>
    <w:p w14:paraId="5EBCB1CF"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R1-2208476, Corrections to multi beam channel access in TS37.213, Huawei, </w:t>
      </w:r>
      <w:proofErr w:type="spellStart"/>
      <w:r>
        <w:t>HiSilicon</w:t>
      </w:r>
      <w:proofErr w:type="spellEnd"/>
    </w:p>
    <w:p w14:paraId="07FE4298"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R1-2208477, Corrections to channel access field in RAR UL grant in FR2-2 in TS38.213, Huawei, </w:t>
      </w:r>
      <w:proofErr w:type="spellStart"/>
      <w:r>
        <w:t>HiSilicon</w:t>
      </w:r>
      <w:proofErr w:type="spellEnd"/>
    </w:p>
    <w:p w14:paraId="404D8661"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R1-2208594, Correction on the short control signaling constraint, vivo</w:t>
      </w:r>
    </w:p>
    <w:p w14:paraId="792903D0"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R1-2208595, Correction on the indication of channel access Types, vivo</w:t>
      </w:r>
    </w:p>
    <w:p w14:paraId="358434D4"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2BEB8302"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R1-2208705, Clarification on Contention Exempt Short Control </w:t>
      </w:r>
      <w:proofErr w:type="spellStart"/>
      <w:r>
        <w:t>Signalling</w:t>
      </w:r>
      <w:proofErr w:type="spellEnd"/>
      <w:r>
        <w:t xml:space="preserve"> rules for UL in TS 37.213, ZTE, </w:t>
      </w:r>
      <w:proofErr w:type="spellStart"/>
      <w:r>
        <w:t>Sanechips</w:t>
      </w:r>
      <w:proofErr w:type="spellEnd"/>
    </w:p>
    <w:p w14:paraId="050D9CFA"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R1-2208706, Alignment CR on the parameter names in TS 38.213, ZTE, </w:t>
      </w:r>
      <w:proofErr w:type="spellStart"/>
      <w:r>
        <w:t>Sanechips</w:t>
      </w:r>
      <w:proofErr w:type="spellEnd"/>
    </w:p>
    <w:p w14:paraId="764BCD9A"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R1-2208707, Alignment CR on the parameter names in TS 38.214, ZTE, </w:t>
      </w:r>
      <w:proofErr w:type="spellStart"/>
      <w:r>
        <w:t>Sanechips</w:t>
      </w:r>
      <w:proofErr w:type="spellEnd"/>
    </w:p>
    <w:p w14:paraId="551B8248" w14:textId="77777777" w:rsidR="002571A6" w:rsidRPr="00D02F19" w:rsidRDefault="002571A6" w:rsidP="00AE3883">
      <w:pPr>
        <w:pStyle w:val="ListParagraph"/>
        <w:numPr>
          <w:ilvl w:val="0"/>
          <w:numId w:val="38"/>
        </w:numPr>
        <w:kinsoku w:val="0"/>
        <w:overflowPunct w:val="0"/>
        <w:adjustRightInd w:val="0"/>
        <w:spacing w:after="60" w:line="240" w:lineRule="auto"/>
        <w:contextualSpacing w:val="0"/>
        <w:textAlignment w:val="baseline"/>
      </w:pPr>
      <w:r>
        <w:t>R1-</w:t>
      </w:r>
      <w:r w:rsidRPr="00D02F19">
        <w:t>2208826, Discussion on remaining issue short control signaling, OPPO</w:t>
      </w:r>
    </w:p>
    <w:p w14:paraId="1B61EF62"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rsidRPr="00D02F19">
        <w:t>R1-2208827,</w:t>
      </w:r>
      <w:r>
        <w:t xml:space="preserve"> Draft CR on resolving issue for short control signaling, OPPO</w:t>
      </w:r>
    </w:p>
    <w:p w14:paraId="1729334F"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R1-2208828, Draft CR on editorial correction for higher-layer parameter setting, OPPO</w:t>
      </w:r>
    </w:p>
    <w:p w14:paraId="22A213BA"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R1-2208934, Discussion on channel access procedures upon detection of a common DCI for frequency range 2-2, CATT</w:t>
      </w:r>
    </w:p>
    <w:p w14:paraId="3EDB789F"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R1-2208935, Correction on channel access procedures upon detection of a common DCI for frequency range 2-2, CATT</w:t>
      </w:r>
    </w:p>
    <w:p w14:paraId="04AF527E"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R1-2209031, Discussion on Applicability of the Short Control </w:t>
      </w:r>
      <w:proofErr w:type="spellStart"/>
      <w:r>
        <w:t>Signalling</w:t>
      </w:r>
      <w:proofErr w:type="spellEnd"/>
      <w:r>
        <w:t xml:space="preserve"> Exemption, Intel Corporation</w:t>
      </w:r>
    </w:p>
    <w:p w14:paraId="710A09FB" w14:textId="71C57E9A"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R1-2209032, [draft] correction for short control signaling LBT exemption applicability in TS 37.213, Intel Corporation</w:t>
      </w:r>
    </w:p>
    <w:p w14:paraId="292DCA7C"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5CBDCAE4"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R1-2209430, Remaining issues on channel access mechanism, Nokia, Nokia Shanghai Bell</w:t>
      </w:r>
    </w:p>
    <w:p w14:paraId="781D707B"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R1-2209432, Correction on </w:t>
      </w:r>
      <w:proofErr w:type="spellStart"/>
      <w:r>
        <w:t>ChannelAccess-Cpext</w:t>
      </w:r>
      <w:proofErr w:type="spellEnd"/>
      <w:r>
        <w:t xml:space="preserve"> field in random access response, Nokia, Nokia Shanghai Bell</w:t>
      </w:r>
    </w:p>
    <w:p w14:paraId="1C710EDB"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R1-2209444, Remaining issues of channel access mechanism to support NR above 52.6 GHz, LG Electronics</w:t>
      </w:r>
    </w:p>
    <w:p w14:paraId="385397E3"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R1-2209445, Draft CR for multi-beam channel access procedure in FR2-2, LG Electronics</w:t>
      </w:r>
    </w:p>
    <w:p w14:paraId="79F6BF5F"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R1-2209446, Discussion on multi-beam channel access procedure in FR2-2, LG Electronics</w:t>
      </w:r>
    </w:p>
    <w:p w14:paraId="0A188C89"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R1-2209447, Draft CR on channel access indication for RAR grant in FR2-2, LG Electronics</w:t>
      </w:r>
    </w:p>
    <w:p w14:paraId="6AD42255"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R1-2209692, Draft CR for </w:t>
      </w:r>
      <w:proofErr w:type="spellStart"/>
      <w:r>
        <w:t>ChannelAccess-Cpext</w:t>
      </w:r>
      <w:proofErr w:type="spellEnd"/>
      <w:r>
        <w:t xml:space="preserve"> in RAR UL grant in FR2-2, Samsung</w:t>
      </w:r>
    </w:p>
    <w:p w14:paraId="67360A6B"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R1-2209693, Draft CR for multi-beam channel access procedure in FR2-2, Samsung</w:t>
      </w:r>
    </w:p>
    <w:p w14:paraId="1F3A884F"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R1-2209819, Corrections to ED threshold for use with Type 2 channel access procedure in FR2-2 in TS37.213, Huawei, </w:t>
      </w:r>
      <w:proofErr w:type="spellStart"/>
      <w:r>
        <w:t>HiSilicon</w:t>
      </w:r>
      <w:proofErr w:type="spellEnd"/>
    </w:p>
    <w:p w14:paraId="238C0595"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R1-2209845, Corrections to per-beam ED threshold for multi-beam COT in FR2-2 in TS37.213, Huawei, </w:t>
      </w:r>
      <w:proofErr w:type="spellStart"/>
      <w:r>
        <w:t>HiSilicon</w:t>
      </w:r>
      <w:proofErr w:type="spellEnd"/>
    </w:p>
    <w:p w14:paraId="4DBEF886"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R1-2209868, Draft CR on spatial domain filter for sensing in FR2-2, NTT DOCOMO, INC.</w:t>
      </w:r>
    </w:p>
    <w:p w14:paraId="32510CE4"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R1-2209871, Discussion on remaining issues for NR in FR2-2, NTT DOCOMO, INC.</w:t>
      </w:r>
    </w:p>
    <w:p w14:paraId="6A6842FE"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R1-2209940, Draft CR on unified short control signaling exemption and channel access type upgrade, Qualcomm Incorporated</w:t>
      </w:r>
    </w:p>
    <w:p w14:paraId="3CDF0502"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R1-2209941, Draft CR on </w:t>
      </w:r>
      <w:proofErr w:type="spellStart"/>
      <w:r>
        <w:t>ChannelAccess-Cpext</w:t>
      </w:r>
      <w:proofErr w:type="spellEnd"/>
      <w:r>
        <w:t xml:space="preserve"> field in UL RAR grant, Qualcomm Incorporated</w:t>
      </w:r>
    </w:p>
    <w:p w14:paraId="52CFE56F"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R1-2209942, Draft CR on UL transmission with LBT per sensing beam, Qualcomm Incorporated</w:t>
      </w:r>
    </w:p>
    <w:p w14:paraId="0CA1A6A6"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R1-2209943, Draft CR on EDT determination rule for COT with SDM or TDM transmission with per beam LBT, Qualcomm Incorporated</w:t>
      </w:r>
    </w:p>
    <w:p w14:paraId="3082E12F"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R1-2209944, Discussion paper on Maintenance for NR from 52.6GHz to 71 GHz, Qualcomm Incorporated</w:t>
      </w:r>
    </w:p>
    <w:p w14:paraId="2805885D"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R1-2210053, Correction on UE resuming a UE initiated COT, Nokia, Nokia Shanghai Bell</w:t>
      </w:r>
    </w:p>
    <w:p w14:paraId="774D2BC7"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R1-2210055, Correction on Short Control Signaling, Nokia, Nokia Shanghai Bell</w:t>
      </w:r>
    </w:p>
    <w:p w14:paraId="669562E2"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R1-2210094, Correction on CSI-RS validation, </w:t>
      </w:r>
      <w:proofErr w:type="spellStart"/>
      <w:r>
        <w:t>ASUSTeK</w:t>
      </w:r>
      <w:proofErr w:type="spellEnd"/>
    </w:p>
    <w:p w14:paraId="0BFF6008"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R1-2210135, Remaining issue on channel access for NR from 52.6GHz to 71GHz, WILUS Inc.</w:t>
      </w:r>
    </w:p>
    <w:p w14:paraId="5F13C3E8"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R1-2210136, Draft CR on channel access after failure of Type 2 channel access for FR2-2, WILUS Inc.</w:t>
      </w:r>
    </w:p>
    <w:p w14:paraId="144F938B"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R1-2210137, Draft CR on channel access procedure upon detection of a common DCI for FR2-2, WILUS Inc.</w:t>
      </w:r>
    </w:p>
    <w:p w14:paraId="4BDC036D"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R1-2210168, Draft CR on channel access type indication in non-fallback DCI, NTT DOCOMO, INC.</w:t>
      </w:r>
    </w:p>
    <w:p w14:paraId="527C54D2" w14:textId="77777777" w:rsidR="002571A6"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R1-2209183, </w:t>
      </w:r>
      <w:r w:rsidRPr="00D3161D">
        <w:t>Discussion on LS response on TCI assumption for RSSI measurement for FR2-2</w:t>
      </w:r>
      <w:r>
        <w:t>, Ericsson Inc.</w:t>
      </w:r>
    </w:p>
    <w:p w14:paraId="06CEEF88" w14:textId="77777777" w:rsidR="002571A6" w:rsidRPr="00F153D1" w:rsidRDefault="002571A6" w:rsidP="00AE3883">
      <w:pPr>
        <w:pStyle w:val="ListParagraph"/>
        <w:numPr>
          <w:ilvl w:val="0"/>
          <w:numId w:val="38"/>
        </w:numPr>
        <w:kinsoku w:val="0"/>
        <w:overflowPunct w:val="0"/>
        <w:adjustRightInd w:val="0"/>
        <w:spacing w:after="60" w:line="240" w:lineRule="auto"/>
        <w:contextualSpacing w:val="0"/>
        <w:textAlignment w:val="baseline"/>
      </w:pPr>
      <w:r>
        <w:t xml:space="preserve">R1-2208182, </w:t>
      </w:r>
      <w:r w:rsidRPr="00AA114D">
        <w:t>[DRAFT] LS response on TCI assumption for RSSI measurement for FR2-2</w:t>
      </w:r>
      <w:r>
        <w:t>, Ericsson Inc.</w:t>
      </w:r>
    </w:p>
    <w:p w14:paraId="4BC7F5D1" w14:textId="77777777" w:rsidR="002571A6" w:rsidRPr="00645C73" w:rsidRDefault="002571A6" w:rsidP="002571A6">
      <w:pPr>
        <w:spacing w:after="120"/>
        <w:ind w:left="360"/>
        <w:rPr>
          <w:rFonts w:cs="Arial"/>
        </w:rPr>
      </w:pPr>
    </w:p>
    <w:p w14:paraId="1DD339AE" w14:textId="4F6A15B9" w:rsidR="00E03808" w:rsidRDefault="00E03808" w:rsidP="002571A6"/>
    <w:p w14:paraId="60ACBEE5" w14:textId="4B5899E2" w:rsidR="008C2257" w:rsidRPr="00436A41" w:rsidRDefault="008C2257" w:rsidP="00E03808"/>
    <w:sectPr w:rsidR="008C2257" w:rsidRPr="00436A41" w:rsidSect="00CB6B7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87D8" w14:textId="77777777" w:rsidR="00BF1204" w:rsidRDefault="00BF1204" w:rsidP="00FE429F">
      <w:r>
        <w:separator/>
      </w:r>
    </w:p>
  </w:endnote>
  <w:endnote w:type="continuationSeparator" w:id="0">
    <w:p w14:paraId="40BC7042" w14:textId="77777777" w:rsidR="00BF1204" w:rsidRDefault="00BF1204" w:rsidP="00FE429F">
      <w:r>
        <w:continuationSeparator/>
      </w:r>
    </w:p>
  </w:endnote>
  <w:endnote w:type="continuationNotice" w:id="1">
    <w:p w14:paraId="52CAD77F" w14:textId="77777777" w:rsidR="00BF1204" w:rsidRDefault="00BF1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5176" w14:textId="77777777" w:rsidR="00BF1204" w:rsidRDefault="00BF1204" w:rsidP="00FE429F">
      <w:r>
        <w:separator/>
      </w:r>
    </w:p>
  </w:footnote>
  <w:footnote w:type="continuationSeparator" w:id="0">
    <w:p w14:paraId="2328E4FA" w14:textId="77777777" w:rsidR="00BF1204" w:rsidRDefault="00BF1204" w:rsidP="00FE429F">
      <w:r>
        <w:continuationSeparator/>
      </w:r>
    </w:p>
  </w:footnote>
  <w:footnote w:type="continuationNotice" w:id="1">
    <w:p w14:paraId="5AAE0539" w14:textId="77777777" w:rsidR="00BF1204" w:rsidRDefault="00BF12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9D33492"/>
    <w:multiLevelType w:val="hybridMultilevel"/>
    <w:tmpl w:val="A9549E22"/>
    <w:lvl w:ilvl="0" w:tplc="DA30E39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5189C"/>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8434F3"/>
    <w:multiLevelType w:val="hybridMultilevel"/>
    <w:tmpl w:val="DDD0184E"/>
    <w:lvl w:ilvl="0" w:tplc="6234CCBC">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4C5F253A"/>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6C92EE4"/>
    <w:multiLevelType w:val="hybridMultilevel"/>
    <w:tmpl w:val="3DB241A2"/>
    <w:lvl w:ilvl="0" w:tplc="19B6A1D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69408022">
    <w:abstractNumId w:val="18"/>
  </w:num>
  <w:num w:numId="2" w16cid:durableId="1478962069">
    <w:abstractNumId w:val="1"/>
  </w:num>
  <w:num w:numId="3" w16cid:durableId="346173601">
    <w:abstractNumId w:val="3"/>
  </w:num>
  <w:num w:numId="4" w16cid:durableId="983193883">
    <w:abstractNumId w:val="38"/>
  </w:num>
  <w:num w:numId="5" w16cid:durableId="223613635">
    <w:abstractNumId w:val="25"/>
  </w:num>
  <w:num w:numId="6" w16cid:durableId="1473524479">
    <w:abstractNumId w:val="10"/>
  </w:num>
  <w:num w:numId="7" w16cid:durableId="361637126">
    <w:abstractNumId w:val="7"/>
  </w:num>
  <w:num w:numId="8" w16cid:durableId="1917934930">
    <w:abstractNumId w:val="29"/>
  </w:num>
  <w:num w:numId="9" w16cid:durableId="1728721088">
    <w:abstractNumId w:val="27"/>
  </w:num>
  <w:num w:numId="10" w16cid:durableId="1360010621">
    <w:abstractNumId w:val="8"/>
  </w:num>
  <w:num w:numId="11" w16cid:durableId="1051929490">
    <w:abstractNumId w:val="44"/>
  </w:num>
  <w:num w:numId="12" w16cid:durableId="431513865">
    <w:abstractNumId w:val="31"/>
  </w:num>
  <w:num w:numId="13" w16cid:durableId="1359623210">
    <w:abstractNumId w:val="6"/>
  </w:num>
  <w:num w:numId="14" w16cid:durableId="1259604830">
    <w:abstractNumId w:val="4"/>
  </w:num>
  <w:num w:numId="15" w16cid:durableId="156385954">
    <w:abstractNumId w:val="36"/>
  </w:num>
  <w:num w:numId="16" w16cid:durableId="1485510763">
    <w:abstractNumId w:val="33"/>
  </w:num>
  <w:num w:numId="17" w16cid:durableId="377750670">
    <w:abstractNumId w:val="42"/>
  </w:num>
  <w:num w:numId="18" w16cid:durableId="2046637390">
    <w:abstractNumId w:val="16"/>
  </w:num>
  <w:num w:numId="19" w16cid:durableId="1206986070">
    <w:abstractNumId w:val="0"/>
  </w:num>
  <w:num w:numId="20" w16cid:durableId="1315066993">
    <w:abstractNumId w:val="32"/>
  </w:num>
  <w:num w:numId="21" w16cid:durableId="795634901">
    <w:abstractNumId w:val="45"/>
  </w:num>
  <w:num w:numId="22" w16cid:durableId="1069033880">
    <w:abstractNumId w:val="21"/>
  </w:num>
  <w:num w:numId="23" w16cid:durableId="1931815077">
    <w:abstractNumId w:val="26"/>
  </w:num>
  <w:num w:numId="24" w16cid:durableId="1041201590">
    <w:abstractNumId w:val="23"/>
  </w:num>
  <w:num w:numId="25" w16cid:durableId="1761948800">
    <w:abstractNumId w:val="22"/>
  </w:num>
  <w:num w:numId="26" w16cid:durableId="1474953995">
    <w:abstractNumId w:val="15"/>
  </w:num>
  <w:num w:numId="27" w16cid:durableId="911622760">
    <w:abstractNumId w:val="5"/>
  </w:num>
  <w:num w:numId="28" w16cid:durableId="1468232347">
    <w:abstractNumId w:val="46"/>
  </w:num>
  <w:num w:numId="29" w16cid:durableId="1283154081">
    <w:abstractNumId w:val="40"/>
  </w:num>
  <w:num w:numId="30" w16cid:durableId="504054925">
    <w:abstractNumId w:val="9"/>
  </w:num>
  <w:num w:numId="31" w16cid:durableId="2130126687">
    <w:abstractNumId w:val="48"/>
  </w:num>
  <w:num w:numId="32" w16cid:durableId="2095590817">
    <w:abstractNumId w:val="19"/>
  </w:num>
  <w:num w:numId="33" w16cid:durableId="928852554">
    <w:abstractNumId w:val="41"/>
  </w:num>
  <w:num w:numId="34" w16cid:durableId="286202112">
    <w:abstractNumId w:val="12"/>
  </w:num>
  <w:num w:numId="35" w16cid:durableId="1096362641">
    <w:abstractNumId w:val="37"/>
  </w:num>
  <w:num w:numId="36" w16cid:durableId="1770156091">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416053198">
    <w:abstractNumId w:val="39"/>
  </w:num>
  <w:num w:numId="38" w16cid:durableId="339739366">
    <w:abstractNumId w:val="11"/>
  </w:num>
  <w:num w:numId="39" w16cid:durableId="90749565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0" w16cid:durableId="1066994572">
    <w:abstractNumId w:val="35"/>
  </w:num>
  <w:num w:numId="41" w16cid:durableId="808130975">
    <w:abstractNumId w:val="43"/>
  </w:num>
  <w:num w:numId="42" w16cid:durableId="508059928">
    <w:abstractNumId w:val="34"/>
  </w:num>
  <w:num w:numId="43" w16cid:durableId="16366387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1563520">
    <w:abstractNumId w:val="47"/>
  </w:num>
  <w:num w:numId="45" w16cid:durableId="928850751">
    <w:abstractNumId w:val="17"/>
  </w:num>
  <w:num w:numId="46" w16cid:durableId="1588416090">
    <w:abstractNumId w:val="13"/>
  </w:num>
  <w:num w:numId="47" w16cid:durableId="327635935">
    <w:abstractNumId w:val="20"/>
  </w:num>
  <w:num w:numId="48" w16cid:durableId="1809011363">
    <w:abstractNumId w:val="30"/>
  </w:num>
  <w:num w:numId="49" w16cid:durableId="2065250968">
    <w:abstractNumId w:val="28"/>
  </w:num>
  <w:num w:numId="50" w16cid:durableId="323510506">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512"/>
    <w:rsid w:val="00023F3D"/>
    <w:rsid w:val="00024A83"/>
    <w:rsid w:val="00024E45"/>
    <w:rsid w:val="00025019"/>
    <w:rsid w:val="00025DAF"/>
    <w:rsid w:val="00025E58"/>
    <w:rsid w:val="00030D2A"/>
    <w:rsid w:val="000310D1"/>
    <w:rsid w:val="000324D1"/>
    <w:rsid w:val="000325D7"/>
    <w:rsid w:val="00033012"/>
    <w:rsid w:val="00033B1F"/>
    <w:rsid w:val="0003506A"/>
    <w:rsid w:val="00035947"/>
    <w:rsid w:val="00036AB3"/>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2573"/>
    <w:rsid w:val="00063F07"/>
    <w:rsid w:val="0006422D"/>
    <w:rsid w:val="00066ABA"/>
    <w:rsid w:val="000675D3"/>
    <w:rsid w:val="00067DC1"/>
    <w:rsid w:val="0007079F"/>
    <w:rsid w:val="00071C78"/>
    <w:rsid w:val="00071CF9"/>
    <w:rsid w:val="00072EDD"/>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179D"/>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3061"/>
    <w:rsid w:val="000F448A"/>
    <w:rsid w:val="000F5653"/>
    <w:rsid w:val="000F6723"/>
    <w:rsid w:val="000F6AE3"/>
    <w:rsid w:val="000F74CC"/>
    <w:rsid w:val="000F77F5"/>
    <w:rsid w:val="000F7B16"/>
    <w:rsid w:val="00101953"/>
    <w:rsid w:val="0010316C"/>
    <w:rsid w:val="00103718"/>
    <w:rsid w:val="001045C4"/>
    <w:rsid w:val="001050C6"/>
    <w:rsid w:val="00105A73"/>
    <w:rsid w:val="00106EF8"/>
    <w:rsid w:val="00107C02"/>
    <w:rsid w:val="00107C9D"/>
    <w:rsid w:val="001107D9"/>
    <w:rsid w:val="00110A15"/>
    <w:rsid w:val="00112798"/>
    <w:rsid w:val="00112D33"/>
    <w:rsid w:val="00112FC9"/>
    <w:rsid w:val="001132F6"/>
    <w:rsid w:val="00113F4F"/>
    <w:rsid w:val="00115FF1"/>
    <w:rsid w:val="00120AA3"/>
    <w:rsid w:val="001214BC"/>
    <w:rsid w:val="00122257"/>
    <w:rsid w:val="0012263C"/>
    <w:rsid w:val="00122A18"/>
    <w:rsid w:val="00122A43"/>
    <w:rsid w:val="0012307C"/>
    <w:rsid w:val="001245FC"/>
    <w:rsid w:val="0012544B"/>
    <w:rsid w:val="00125EB9"/>
    <w:rsid w:val="00126697"/>
    <w:rsid w:val="00127052"/>
    <w:rsid w:val="00127433"/>
    <w:rsid w:val="0013000F"/>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416F"/>
    <w:rsid w:val="001557FB"/>
    <w:rsid w:val="001561BE"/>
    <w:rsid w:val="0015655A"/>
    <w:rsid w:val="00156988"/>
    <w:rsid w:val="00156D5D"/>
    <w:rsid w:val="00157409"/>
    <w:rsid w:val="00160D43"/>
    <w:rsid w:val="00162325"/>
    <w:rsid w:val="00162508"/>
    <w:rsid w:val="001639B7"/>
    <w:rsid w:val="00163B98"/>
    <w:rsid w:val="0016448C"/>
    <w:rsid w:val="001646A2"/>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2C51"/>
    <w:rsid w:val="001C3383"/>
    <w:rsid w:val="001C4895"/>
    <w:rsid w:val="001C5B3B"/>
    <w:rsid w:val="001D03B5"/>
    <w:rsid w:val="001D255C"/>
    <w:rsid w:val="001D31F2"/>
    <w:rsid w:val="001D461E"/>
    <w:rsid w:val="001D4ACA"/>
    <w:rsid w:val="001D7413"/>
    <w:rsid w:val="001D79A9"/>
    <w:rsid w:val="001E07DC"/>
    <w:rsid w:val="001E0ECF"/>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0BD3"/>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EA"/>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1A6"/>
    <w:rsid w:val="00257ECA"/>
    <w:rsid w:val="00257FBF"/>
    <w:rsid w:val="00260385"/>
    <w:rsid w:val="00260A1D"/>
    <w:rsid w:val="0026245E"/>
    <w:rsid w:val="00262584"/>
    <w:rsid w:val="002634EB"/>
    <w:rsid w:val="0026383F"/>
    <w:rsid w:val="00264B42"/>
    <w:rsid w:val="0026687C"/>
    <w:rsid w:val="0026697C"/>
    <w:rsid w:val="00267839"/>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95A2F"/>
    <w:rsid w:val="002970C9"/>
    <w:rsid w:val="002A029F"/>
    <w:rsid w:val="002A03FF"/>
    <w:rsid w:val="002B32AB"/>
    <w:rsid w:val="002B3597"/>
    <w:rsid w:val="002B7FF1"/>
    <w:rsid w:val="002C0540"/>
    <w:rsid w:val="002C06F9"/>
    <w:rsid w:val="002C28EE"/>
    <w:rsid w:val="002C2F10"/>
    <w:rsid w:val="002C32F3"/>
    <w:rsid w:val="002C6C6B"/>
    <w:rsid w:val="002C7EA7"/>
    <w:rsid w:val="002D1D08"/>
    <w:rsid w:val="002D23A0"/>
    <w:rsid w:val="002D385B"/>
    <w:rsid w:val="002D388E"/>
    <w:rsid w:val="002D3B3B"/>
    <w:rsid w:val="002D5625"/>
    <w:rsid w:val="002D6479"/>
    <w:rsid w:val="002D6613"/>
    <w:rsid w:val="002D66B0"/>
    <w:rsid w:val="002D6CA6"/>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435"/>
    <w:rsid w:val="002F185C"/>
    <w:rsid w:val="002F1A3D"/>
    <w:rsid w:val="002F3399"/>
    <w:rsid w:val="002F37E3"/>
    <w:rsid w:val="002F48CC"/>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0451"/>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15EE"/>
    <w:rsid w:val="00362135"/>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6FA"/>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DB7"/>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6A41"/>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6767E"/>
    <w:rsid w:val="00471532"/>
    <w:rsid w:val="004752A0"/>
    <w:rsid w:val="00476226"/>
    <w:rsid w:val="00476477"/>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1F88"/>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1B6"/>
    <w:rsid w:val="004C39BF"/>
    <w:rsid w:val="004C5E40"/>
    <w:rsid w:val="004C6AD2"/>
    <w:rsid w:val="004C7048"/>
    <w:rsid w:val="004D0281"/>
    <w:rsid w:val="004D04DF"/>
    <w:rsid w:val="004D161A"/>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2D4"/>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4CE"/>
    <w:rsid w:val="005747A5"/>
    <w:rsid w:val="00577D9D"/>
    <w:rsid w:val="005824AC"/>
    <w:rsid w:val="005836FE"/>
    <w:rsid w:val="00583C64"/>
    <w:rsid w:val="005848D4"/>
    <w:rsid w:val="00584FEF"/>
    <w:rsid w:val="00590AB3"/>
    <w:rsid w:val="00590D09"/>
    <w:rsid w:val="00590D4A"/>
    <w:rsid w:val="00591519"/>
    <w:rsid w:val="00591B38"/>
    <w:rsid w:val="00594BD6"/>
    <w:rsid w:val="00594FCD"/>
    <w:rsid w:val="0059585C"/>
    <w:rsid w:val="00595FF9"/>
    <w:rsid w:val="0059634F"/>
    <w:rsid w:val="00596E1C"/>
    <w:rsid w:val="0059714F"/>
    <w:rsid w:val="005974F0"/>
    <w:rsid w:val="005A0F64"/>
    <w:rsid w:val="005A1074"/>
    <w:rsid w:val="005A3BB3"/>
    <w:rsid w:val="005A515B"/>
    <w:rsid w:val="005A670E"/>
    <w:rsid w:val="005B03DA"/>
    <w:rsid w:val="005B0652"/>
    <w:rsid w:val="005B2D4F"/>
    <w:rsid w:val="005B38E1"/>
    <w:rsid w:val="005B446D"/>
    <w:rsid w:val="005B74D1"/>
    <w:rsid w:val="005B7C95"/>
    <w:rsid w:val="005C2932"/>
    <w:rsid w:val="005C334E"/>
    <w:rsid w:val="005C3E04"/>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69D4"/>
    <w:rsid w:val="005F6AF3"/>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57E71"/>
    <w:rsid w:val="00662975"/>
    <w:rsid w:val="0066370F"/>
    <w:rsid w:val="006672DA"/>
    <w:rsid w:val="006706E6"/>
    <w:rsid w:val="00670A2E"/>
    <w:rsid w:val="00671DF7"/>
    <w:rsid w:val="00672154"/>
    <w:rsid w:val="006722CC"/>
    <w:rsid w:val="00672E72"/>
    <w:rsid w:val="0067313D"/>
    <w:rsid w:val="006733D6"/>
    <w:rsid w:val="006736AC"/>
    <w:rsid w:val="00674560"/>
    <w:rsid w:val="00676B7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1356"/>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2E25"/>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4D0"/>
    <w:rsid w:val="006F09CB"/>
    <w:rsid w:val="006F37B6"/>
    <w:rsid w:val="006F4C40"/>
    <w:rsid w:val="006F6DB6"/>
    <w:rsid w:val="006F756D"/>
    <w:rsid w:val="006F77FC"/>
    <w:rsid w:val="00701055"/>
    <w:rsid w:val="00702007"/>
    <w:rsid w:val="007026AC"/>
    <w:rsid w:val="00703652"/>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040"/>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25F"/>
    <w:rsid w:val="007D6EC7"/>
    <w:rsid w:val="007D7DB5"/>
    <w:rsid w:val="007E00D8"/>
    <w:rsid w:val="007E03B4"/>
    <w:rsid w:val="007E068D"/>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6A4"/>
    <w:rsid w:val="00804881"/>
    <w:rsid w:val="00804FCF"/>
    <w:rsid w:val="00805941"/>
    <w:rsid w:val="00805CC9"/>
    <w:rsid w:val="00806129"/>
    <w:rsid w:val="00811C36"/>
    <w:rsid w:val="0081235A"/>
    <w:rsid w:val="00812AF1"/>
    <w:rsid w:val="00814DFA"/>
    <w:rsid w:val="00815137"/>
    <w:rsid w:val="00815C04"/>
    <w:rsid w:val="008200EC"/>
    <w:rsid w:val="00820373"/>
    <w:rsid w:val="008204DA"/>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A48"/>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642"/>
    <w:rsid w:val="008A3081"/>
    <w:rsid w:val="008A5F7A"/>
    <w:rsid w:val="008A6B3D"/>
    <w:rsid w:val="008A772F"/>
    <w:rsid w:val="008B07CD"/>
    <w:rsid w:val="008B0A17"/>
    <w:rsid w:val="008B0B1A"/>
    <w:rsid w:val="008B240D"/>
    <w:rsid w:val="008B2948"/>
    <w:rsid w:val="008B375A"/>
    <w:rsid w:val="008B4639"/>
    <w:rsid w:val="008B48E6"/>
    <w:rsid w:val="008C02BF"/>
    <w:rsid w:val="008C2257"/>
    <w:rsid w:val="008C2343"/>
    <w:rsid w:val="008C27A0"/>
    <w:rsid w:val="008C2881"/>
    <w:rsid w:val="008C38B5"/>
    <w:rsid w:val="008C3CA8"/>
    <w:rsid w:val="008C42E4"/>
    <w:rsid w:val="008C45A3"/>
    <w:rsid w:val="008C4E8C"/>
    <w:rsid w:val="008C5C2A"/>
    <w:rsid w:val="008C71A1"/>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586"/>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111"/>
    <w:rsid w:val="009772BB"/>
    <w:rsid w:val="009773E6"/>
    <w:rsid w:val="0097794B"/>
    <w:rsid w:val="00980467"/>
    <w:rsid w:val="00982180"/>
    <w:rsid w:val="00982CEC"/>
    <w:rsid w:val="00983DE6"/>
    <w:rsid w:val="00985064"/>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331C"/>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1DB3"/>
    <w:rsid w:val="009E3FA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5C4E"/>
    <w:rsid w:val="009F6F95"/>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2DE"/>
    <w:rsid w:val="00A43794"/>
    <w:rsid w:val="00A43C67"/>
    <w:rsid w:val="00A44CFC"/>
    <w:rsid w:val="00A44E63"/>
    <w:rsid w:val="00A46E19"/>
    <w:rsid w:val="00A47CDF"/>
    <w:rsid w:val="00A51756"/>
    <w:rsid w:val="00A52A8F"/>
    <w:rsid w:val="00A5333F"/>
    <w:rsid w:val="00A54160"/>
    <w:rsid w:val="00A55656"/>
    <w:rsid w:val="00A5617D"/>
    <w:rsid w:val="00A569CF"/>
    <w:rsid w:val="00A57DC3"/>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27A"/>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2BC7"/>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603"/>
    <w:rsid w:val="00AD3707"/>
    <w:rsid w:val="00AD48A7"/>
    <w:rsid w:val="00AD4976"/>
    <w:rsid w:val="00AD55AF"/>
    <w:rsid w:val="00AD5AC0"/>
    <w:rsid w:val="00AD663D"/>
    <w:rsid w:val="00AD6935"/>
    <w:rsid w:val="00AD6AB1"/>
    <w:rsid w:val="00AD75B8"/>
    <w:rsid w:val="00AE0607"/>
    <w:rsid w:val="00AE1506"/>
    <w:rsid w:val="00AE1652"/>
    <w:rsid w:val="00AE2697"/>
    <w:rsid w:val="00AE2F63"/>
    <w:rsid w:val="00AE388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1A3"/>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338E"/>
    <w:rsid w:val="00B345C0"/>
    <w:rsid w:val="00B34B2A"/>
    <w:rsid w:val="00B34C45"/>
    <w:rsid w:val="00B35E9E"/>
    <w:rsid w:val="00B368F6"/>
    <w:rsid w:val="00B37C04"/>
    <w:rsid w:val="00B40463"/>
    <w:rsid w:val="00B40DCF"/>
    <w:rsid w:val="00B41798"/>
    <w:rsid w:val="00B41D46"/>
    <w:rsid w:val="00B41D90"/>
    <w:rsid w:val="00B42A28"/>
    <w:rsid w:val="00B42BAA"/>
    <w:rsid w:val="00B4412D"/>
    <w:rsid w:val="00B44EAB"/>
    <w:rsid w:val="00B45A37"/>
    <w:rsid w:val="00B45B4E"/>
    <w:rsid w:val="00B46B57"/>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83F"/>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31F5"/>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EB8"/>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1204"/>
    <w:rsid w:val="00BF20BC"/>
    <w:rsid w:val="00BF34A1"/>
    <w:rsid w:val="00BF34C8"/>
    <w:rsid w:val="00BF38BE"/>
    <w:rsid w:val="00BF3C19"/>
    <w:rsid w:val="00BF3F98"/>
    <w:rsid w:val="00BF4026"/>
    <w:rsid w:val="00BF41EC"/>
    <w:rsid w:val="00BF46A1"/>
    <w:rsid w:val="00BF6770"/>
    <w:rsid w:val="00BF6B8D"/>
    <w:rsid w:val="00BF7BC4"/>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5DDE"/>
    <w:rsid w:val="00C36A46"/>
    <w:rsid w:val="00C4086B"/>
    <w:rsid w:val="00C41881"/>
    <w:rsid w:val="00C420B6"/>
    <w:rsid w:val="00C42406"/>
    <w:rsid w:val="00C42CC1"/>
    <w:rsid w:val="00C43C6C"/>
    <w:rsid w:val="00C4653E"/>
    <w:rsid w:val="00C47D7B"/>
    <w:rsid w:val="00C529AC"/>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6B70"/>
    <w:rsid w:val="00CB7DCD"/>
    <w:rsid w:val="00CC0C94"/>
    <w:rsid w:val="00CC1277"/>
    <w:rsid w:val="00CC208B"/>
    <w:rsid w:val="00CC24BE"/>
    <w:rsid w:val="00CC2B63"/>
    <w:rsid w:val="00CC329B"/>
    <w:rsid w:val="00CC395F"/>
    <w:rsid w:val="00CC5EE3"/>
    <w:rsid w:val="00CC6F51"/>
    <w:rsid w:val="00CD0907"/>
    <w:rsid w:val="00CD12CC"/>
    <w:rsid w:val="00CD1A55"/>
    <w:rsid w:val="00CD213D"/>
    <w:rsid w:val="00CD352D"/>
    <w:rsid w:val="00CD39B0"/>
    <w:rsid w:val="00CD516A"/>
    <w:rsid w:val="00CD588C"/>
    <w:rsid w:val="00CD5901"/>
    <w:rsid w:val="00CE1B6E"/>
    <w:rsid w:val="00CE26A3"/>
    <w:rsid w:val="00CE57EA"/>
    <w:rsid w:val="00CE6165"/>
    <w:rsid w:val="00CE66AD"/>
    <w:rsid w:val="00CE7753"/>
    <w:rsid w:val="00CF2EE7"/>
    <w:rsid w:val="00CF560A"/>
    <w:rsid w:val="00CF58F5"/>
    <w:rsid w:val="00CF6000"/>
    <w:rsid w:val="00CF69D4"/>
    <w:rsid w:val="00CF71B1"/>
    <w:rsid w:val="00D007B5"/>
    <w:rsid w:val="00D00FE0"/>
    <w:rsid w:val="00D01353"/>
    <w:rsid w:val="00D01438"/>
    <w:rsid w:val="00D014C1"/>
    <w:rsid w:val="00D02F19"/>
    <w:rsid w:val="00D0320A"/>
    <w:rsid w:val="00D037D3"/>
    <w:rsid w:val="00D054DC"/>
    <w:rsid w:val="00D06AF9"/>
    <w:rsid w:val="00D10763"/>
    <w:rsid w:val="00D12256"/>
    <w:rsid w:val="00D123D7"/>
    <w:rsid w:val="00D12ADF"/>
    <w:rsid w:val="00D1350B"/>
    <w:rsid w:val="00D150AF"/>
    <w:rsid w:val="00D16438"/>
    <w:rsid w:val="00D16889"/>
    <w:rsid w:val="00D17CC3"/>
    <w:rsid w:val="00D2056F"/>
    <w:rsid w:val="00D22E23"/>
    <w:rsid w:val="00D24041"/>
    <w:rsid w:val="00D244A9"/>
    <w:rsid w:val="00D2495B"/>
    <w:rsid w:val="00D263FD"/>
    <w:rsid w:val="00D269C5"/>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6D0C"/>
    <w:rsid w:val="00D57D71"/>
    <w:rsid w:val="00D57D9E"/>
    <w:rsid w:val="00D60082"/>
    <w:rsid w:val="00D617ED"/>
    <w:rsid w:val="00D61FA2"/>
    <w:rsid w:val="00D6500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891"/>
    <w:rsid w:val="00DB0EF6"/>
    <w:rsid w:val="00DB1626"/>
    <w:rsid w:val="00DB225C"/>
    <w:rsid w:val="00DB3567"/>
    <w:rsid w:val="00DB3CDA"/>
    <w:rsid w:val="00DB4114"/>
    <w:rsid w:val="00DB56C4"/>
    <w:rsid w:val="00DB5DD5"/>
    <w:rsid w:val="00DB640F"/>
    <w:rsid w:val="00DB714A"/>
    <w:rsid w:val="00DC0CE9"/>
    <w:rsid w:val="00DC102C"/>
    <w:rsid w:val="00DC2180"/>
    <w:rsid w:val="00DC2F64"/>
    <w:rsid w:val="00DC43BF"/>
    <w:rsid w:val="00DC5552"/>
    <w:rsid w:val="00DC60AB"/>
    <w:rsid w:val="00DC7F64"/>
    <w:rsid w:val="00DD319A"/>
    <w:rsid w:val="00DD4830"/>
    <w:rsid w:val="00DD4CCA"/>
    <w:rsid w:val="00DD7C31"/>
    <w:rsid w:val="00DE16C9"/>
    <w:rsid w:val="00DE1903"/>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DC2"/>
    <w:rsid w:val="00E0712F"/>
    <w:rsid w:val="00E0738C"/>
    <w:rsid w:val="00E10937"/>
    <w:rsid w:val="00E10DA1"/>
    <w:rsid w:val="00E119BD"/>
    <w:rsid w:val="00E11A00"/>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227"/>
    <w:rsid w:val="00E3774F"/>
    <w:rsid w:val="00E416BA"/>
    <w:rsid w:val="00E4225E"/>
    <w:rsid w:val="00E42E38"/>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67E6D"/>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660E"/>
    <w:rsid w:val="00ED70B4"/>
    <w:rsid w:val="00ED721E"/>
    <w:rsid w:val="00EE02F9"/>
    <w:rsid w:val="00EE08F7"/>
    <w:rsid w:val="00EE242D"/>
    <w:rsid w:val="00EE24E3"/>
    <w:rsid w:val="00EE42BD"/>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4EF3"/>
    <w:rsid w:val="00F25D7F"/>
    <w:rsid w:val="00F27BE0"/>
    <w:rsid w:val="00F27D41"/>
    <w:rsid w:val="00F300E4"/>
    <w:rsid w:val="00F30714"/>
    <w:rsid w:val="00F335AF"/>
    <w:rsid w:val="00F34A77"/>
    <w:rsid w:val="00F353C3"/>
    <w:rsid w:val="00F36434"/>
    <w:rsid w:val="00F36FCD"/>
    <w:rsid w:val="00F4296A"/>
    <w:rsid w:val="00F42D10"/>
    <w:rsid w:val="00F43037"/>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3C00"/>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281"/>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8B6C850C-F54E-43B0-914F-2DAE2ACC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1"/>
      </w:numPr>
      <w:tabs>
        <w:tab w:val="num" w:pos="0"/>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出段落,列表段落,列"/>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2"/>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9"/>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0"/>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8"/>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1"/>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39"/>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3"/>
      </w:numPr>
      <w:tabs>
        <w:tab w:val="clear" w:pos="360"/>
      </w:tabs>
      <w:spacing w:after="120"/>
    </w:pPr>
    <w:rPr>
      <w:rFonts w:eastAsia="MS Mincho"/>
      <w:lang w:val="en-US"/>
    </w:rPr>
  </w:style>
  <w:style w:type="paragraph" w:customStyle="1" w:styleId="normalpuce">
    <w:name w:val="normal puce"/>
    <w:basedOn w:val="Normal"/>
    <w:rsid w:val="00061DFD"/>
    <w:pPr>
      <w:widowControl w:val="0"/>
      <w:numPr>
        <w:numId w:val="6"/>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7"/>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3"/>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4"/>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7"/>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18"/>
      </w:numPr>
      <w:spacing w:after="0" w:line="240" w:lineRule="auto"/>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19"/>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0"/>
      </w:numPr>
      <w:tabs>
        <w:tab w:val="num"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1"/>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3"/>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2"/>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4"/>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5"/>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7"/>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28"/>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4"/>
      </w:numPr>
      <w:spacing w:before="120" w:after="120"/>
      <w:jc w:val="both"/>
    </w:pPr>
    <w:rPr>
      <w:rFonts w:eastAsia="Malgun Gothic"/>
      <w:kern w:val="2"/>
      <w:sz w:val="20"/>
      <w:szCs w:val="22"/>
    </w:rPr>
  </w:style>
  <w:style w:type="paragraph" w:customStyle="1" w:styleId="Proposalsubsub">
    <w:name w:val="Proposal_sub_sub"/>
    <w:basedOn w:val="Normal"/>
    <w:qFormat/>
    <w:rsid w:val="00061DFD"/>
    <w:pPr>
      <w:numPr>
        <w:ilvl w:val="1"/>
        <w:numId w:val="34"/>
      </w:numPr>
      <w:spacing w:before="120" w:after="120"/>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5"/>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6"/>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000">
      <w:bodyDiv w:val="1"/>
      <w:marLeft w:val="0"/>
      <w:marRight w:val="0"/>
      <w:marTop w:val="0"/>
      <w:marBottom w:val="0"/>
      <w:divBdr>
        <w:top w:val="none" w:sz="0" w:space="0" w:color="auto"/>
        <w:left w:val="none" w:sz="0" w:space="0" w:color="auto"/>
        <w:bottom w:val="none" w:sz="0" w:space="0" w:color="auto"/>
        <w:right w:val="none" w:sz="0" w:space="0" w:color="auto"/>
      </w:divBdr>
    </w:div>
    <w:div w:id="127013415">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3475332">
      <w:bodyDiv w:val="1"/>
      <w:marLeft w:val="0"/>
      <w:marRight w:val="0"/>
      <w:marTop w:val="0"/>
      <w:marBottom w:val="0"/>
      <w:divBdr>
        <w:top w:val="none" w:sz="0" w:space="0" w:color="auto"/>
        <w:left w:val="none" w:sz="0" w:space="0" w:color="auto"/>
        <w:bottom w:val="none" w:sz="0" w:space="0" w:color="auto"/>
        <w:right w:val="none" w:sz="0" w:space="0" w:color="auto"/>
      </w:divBdr>
    </w:div>
    <w:div w:id="158274572">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9311866">
      <w:bodyDiv w:val="1"/>
      <w:marLeft w:val="0"/>
      <w:marRight w:val="0"/>
      <w:marTop w:val="0"/>
      <w:marBottom w:val="0"/>
      <w:divBdr>
        <w:top w:val="none" w:sz="0" w:space="0" w:color="auto"/>
        <w:left w:val="none" w:sz="0" w:space="0" w:color="auto"/>
        <w:bottom w:val="none" w:sz="0" w:space="0" w:color="auto"/>
        <w:right w:val="none" w:sz="0" w:space="0" w:color="auto"/>
      </w:divBdr>
    </w:div>
    <w:div w:id="352269329">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9265836">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35151406">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45796776">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38178500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58199702">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790395769">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16089182">
      <w:bodyDiv w:val="1"/>
      <w:marLeft w:val="0"/>
      <w:marRight w:val="0"/>
      <w:marTop w:val="0"/>
      <w:marBottom w:val="0"/>
      <w:divBdr>
        <w:top w:val="none" w:sz="0" w:space="0" w:color="auto"/>
        <w:left w:val="none" w:sz="0" w:space="0" w:color="auto"/>
        <w:bottom w:val="none" w:sz="0" w:space="0" w:color="auto"/>
        <w:right w:val="none" w:sz="0" w:space="0" w:color="auto"/>
      </w:divBdr>
    </w:div>
    <w:div w:id="1991515379">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3EQ6UJ4K66FU-702124171-43636</_dlc_DocId>
    <_dlc_DocIdUrl xmlns="401a1e0c-8dbe-4950-85d1-4031081349ee">
      <Url>https://qualcomm.sharepoint.com/teams/meridian1/_layouts/15/DocIdRedir.aspx?ID=3EQ6UJ4K66FU-702124171-43636</Url>
      <Description>3EQ6UJ4K66FU-702124171-43636</Description>
    </_dlc_DocIdUrl>
  </documentManagement>
</p:properties>
</file>

<file path=customXml/itemProps1.xml><?xml version="1.0" encoding="utf-8"?>
<ds:datastoreItem xmlns:ds="http://schemas.openxmlformats.org/officeDocument/2006/customXml" ds:itemID="{67B2EF6B-B266-4E4B-93A2-61204B85E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1A419-040C-44DB-A018-C30AB88452ED}">
  <ds:schemaRefs>
    <ds:schemaRef ds:uri="http://schemas.microsoft.com/sharepoint/v3/contenttype/forms"/>
  </ds:schemaRefs>
</ds:datastoreItem>
</file>

<file path=customXml/itemProps3.xml><?xml version="1.0" encoding="utf-8"?>
<ds:datastoreItem xmlns:ds="http://schemas.openxmlformats.org/officeDocument/2006/customXml" ds:itemID="{339F2748-2F6D-48E1-9F2C-4227A792B07D}">
  <ds:schemaRefs>
    <ds:schemaRef ds:uri="http://schemas.microsoft.com/sharepoint/events"/>
  </ds:schemaRefs>
</ds:datastoreItem>
</file>

<file path=customXml/itemProps4.xml><?xml version="1.0" encoding="utf-8"?>
<ds:datastoreItem xmlns:ds="http://schemas.openxmlformats.org/officeDocument/2006/customXml" ds:itemID="{AE7BBC97-CC77-4CC3-A1EB-40D6AAD11439}">
  <ds:schemaRefs>
    <ds:schemaRef ds:uri="http://schemas.openxmlformats.org/officeDocument/2006/bibliography"/>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869</Words>
  <Characters>4959</Characters>
  <Application>Microsoft Office Word</Application>
  <DocSecurity>4</DocSecurity>
  <Lines>41</Lines>
  <Paragraphs>11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Vinay Chande</cp:lastModifiedBy>
  <cp:revision>42</cp:revision>
  <dcterms:created xsi:type="dcterms:W3CDTF">2022-10-10T06:03:00Z</dcterms:created>
  <dcterms:modified xsi:type="dcterms:W3CDTF">2022-10-10T06:59:00Z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712791f4-668e-4d29-bbb6-df2d6296d582</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