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01B3" w14:textId="59D8B2E8"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 xml:space="preserve">3GPP TSG RAN WG1 </w:t>
      </w:r>
      <w:r w:rsidR="00EB1306" w:rsidRPr="00EB1306">
        <w:rPr>
          <w:rFonts w:cs="Arial"/>
          <w:noProof w:val="0"/>
          <w:sz w:val="28"/>
          <w:szCs w:val="28"/>
          <w:lang w:val="en-US"/>
        </w:rPr>
        <w:t>#110bis-e</w:t>
      </w:r>
      <w:r w:rsidR="00D76093">
        <w:rPr>
          <w:rFonts w:cs="Arial"/>
          <w:noProof w:val="0"/>
          <w:sz w:val="28"/>
          <w:szCs w:val="28"/>
          <w:lang w:val="en-US"/>
        </w:rPr>
        <w:tab/>
      </w:r>
      <w:r w:rsidR="00D42CED" w:rsidRPr="00D42CED">
        <w:rPr>
          <w:rFonts w:cs="Arial"/>
          <w:noProof w:val="0"/>
          <w:sz w:val="28"/>
          <w:szCs w:val="28"/>
          <w:lang w:val="en-US"/>
        </w:rPr>
        <w:t>R1-2209786</w:t>
      </w:r>
    </w:p>
    <w:p w14:paraId="79093A31" w14:textId="4233276E" w:rsidR="00D675E5" w:rsidRDefault="00EB1306" w:rsidP="00D675E5">
      <w:pPr>
        <w:tabs>
          <w:tab w:val="center" w:pos="4536"/>
          <w:tab w:val="right" w:pos="9072"/>
        </w:tabs>
        <w:rPr>
          <w:rFonts w:ascii="Arial" w:eastAsia="ＭＳ 明朝" w:hAnsi="Arial" w:cs="Arial"/>
          <w:b/>
          <w:bCs/>
          <w:sz w:val="28"/>
        </w:rPr>
      </w:pPr>
      <w:bookmarkStart w:id="1" w:name="_Ref133120545"/>
      <w:bookmarkEnd w:id="0"/>
      <w:r w:rsidRPr="00EB1306">
        <w:rPr>
          <w:rFonts w:ascii="Arial" w:eastAsia="ＭＳ 明朝" w:hAnsi="Arial" w:cs="Arial"/>
          <w:b/>
          <w:bCs/>
          <w:sz w:val="28"/>
        </w:rPr>
        <w:t>e-Meeting, October 10</w:t>
      </w:r>
      <w:r>
        <w:rPr>
          <w:rFonts w:ascii="Arial" w:eastAsia="ＭＳ 明朝" w:hAnsi="Arial" w:cs="Arial"/>
          <w:b/>
          <w:bCs/>
          <w:sz w:val="28"/>
        </w:rPr>
        <w:t>th</w:t>
      </w:r>
      <w:r w:rsidRPr="00EB1306">
        <w:rPr>
          <w:rFonts w:ascii="Arial" w:eastAsia="ＭＳ 明朝" w:hAnsi="Arial" w:cs="Arial"/>
          <w:b/>
          <w:bCs/>
          <w:sz w:val="28"/>
        </w:rPr>
        <w:t xml:space="preserve"> – 19th,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F8E32E6"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D42CED" w:rsidRPr="00D42CED">
        <w:rPr>
          <w:rFonts w:ascii="Arial" w:hAnsi="Arial" w:cs="Arial"/>
          <w:b/>
          <w:color w:val="000000" w:themeColor="text1"/>
          <w:sz w:val="28"/>
          <w:szCs w:val="28"/>
          <w:lang w:val="en-US"/>
        </w:rPr>
        <w:t>Views on low power high accuracy positioning</w:t>
      </w:r>
    </w:p>
    <w:p w14:paraId="369A72EC" w14:textId="689FE4AE"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515794">
        <w:rPr>
          <w:rFonts w:ascii="Arial" w:hAnsi="Arial" w:cs="Arial"/>
          <w:b/>
          <w:color w:val="000000" w:themeColor="text1"/>
          <w:sz w:val="28"/>
          <w:szCs w:val="28"/>
          <w:lang w:val="en-US"/>
        </w:rPr>
        <w:t>2</w:t>
      </w:r>
      <w:r w:rsidR="00110F78" w:rsidRPr="00AD0FF0">
        <w:rPr>
          <w:rFonts w:ascii="Arial" w:hAnsi="Arial" w:cs="Arial"/>
          <w:b/>
          <w:color w:val="000000" w:themeColor="text1"/>
          <w:sz w:val="28"/>
          <w:szCs w:val="28"/>
          <w:lang w:val="en-US"/>
        </w:rPr>
        <w:t>.</w:t>
      </w:r>
      <w:r w:rsidR="00CA3631">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603C1142"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RAN1#109-e, technical discussions on a new study item on “</w:t>
      </w:r>
      <w:r>
        <w:t>expanded and improved NR positioning” was started</w:t>
      </w:r>
      <w:r>
        <w:rPr>
          <w:rFonts w:eastAsiaTheme="minorEastAsia"/>
          <w:color w:val="000000" w:themeColor="text1"/>
          <w:szCs w:val="24"/>
          <w:lang w:val="en-US"/>
        </w:rPr>
        <w:t xml:space="preserve">. For </w:t>
      </w:r>
      <w:r w:rsidRPr="000733DC">
        <w:rPr>
          <w:rFonts w:eastAsiaTheme="minorEastAsia"/>
          <w:color w:val="000000" w:themeColor="text1"/>
          <w:szCs w:val="24"/>
          <w:lang w:val="en-US"/>
        </w:rPr>
        <w:t xml:space="preserve">low power high accuracy positioning </w:t>
      </w:r>
      <w:r>
        <w:rPr>
          <w:rFonts w:eastAsiaTheme="minorEastAsia"/>
          <w:color w:val="000000" w:themeColor="text1"/>
          <w:szCs w:val="24"/>
          <w:lang w:val="en-US"/>
        </w:rPr>
        <w:t>(LPHAP), the following agreements were made</w:t>
      </w:r>
      <w:r w:rsidR="002040B1">
        <w:rPr>
          <w:rFonts w:eastAsiaTheme="minorEastAsia"/>
          <w:color w:val="000000" w:themeColor="text1"/>
          <w:szCs w:val="24"/>
          <w:lang w:val="en-US"/>
        </w:rPr>
        <w:t xml:space="preserve"> in RAN1#110</w:t>
      </w:r>
      <w:r>
        <w:t xml:space="preserve"> [1]</w:t>
      </w:r>
      <w:r>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54EB736D" w14:textId="77777777" w:rsidR="009F2D5E" w:rsidRDefault="009F2D5E" w:rsidP="009F2D5E">
            <w:pPr>
              <w:spacing w:after="0" w:afterAutospacing="0"/>
              <w:rPr>
                <w:rFonts w:eastAsia="Batang"/>
                <w:sz w:val="20"/>
                <w:lang w:eastAsia="x-none"/>
              </w:rPr>
            </w:pPr>
            <w:bookmarkStart w:id="5" w:name="_Hlk83924038"/>
            <w:r>
              <w:rPr>
                <w:highlight w:val="green"/>
                <w:lang w:eastAsia="x-none"/>
              </w:rPr>
              <w:t>Agreement</w:t>
            </w:r>
          </w:p>
          <w:p w14:paraId="67B7FBC1" w14:textId="77777777" w:rsidR="009F2D5E" w:rsidRDefault="009F2D5E" w:rsidP="009F2D5E">
            <w:pPr>
              <w:pStyle w:val="aff9"/>
              <w:spacing w:beforeLines="50" w:before="180" w:after="240" w:afterAutospacing="0" w:line="288" w:lineRule="auto"/>
              <w:ind w:firstLine="480"/>
              <w:rPr>
                <w:lang w:eastAsia="x-none"/>
              </w:rPr>
            </w:pPr>
            <w:r>
              <w:rPr>
                <w:lang w:eastAsia="zh-CN"/>
              </w:rPr>
              <w:t xml:space="preserve">In the LPHAP evaluation, adopt the following model </w:t>
            </w:r>
            <w:r>
              <w:t>to convert the relative power unit to the battery life:</w:t>
            </w:r>
          </w:p>
          <w:p w14:paraId="18420F2E" w14:textId="77777777" w:rsidR="009F2D5E" w:rsidRDefault="009F2D5E" w:rsidP="009F2D5E">
            <w:pPr>
              <w:pStyle w:val="aff9"/>
              <w:numPr>
                <w:ilvl w:val="0"/>
                <w:numId w:val="33"/>
              </w:numPr>
              <w:snapToGrid/>
              <w:spacing w:beforeLines="50" w:before="180" w:afterLines="50" w:after="180" w:afterAutospacing="0" w:line="288" w:lineRule="auto"/>
              <w:ind w:firstLineChars="0"/>
            </w:pPr>
            <w:r>
              <w:t>Alt. 1: battery life is used as the metric to identify the gap</w:t>
            </w:r>
          </w:p>
          <w:p w14:paraId="394D190D" w14:textId="77777777" w:rsidR="009F2D5E" w:rsidRDefault="00D42CED" w:rsidP="009F2D5E">
            <w:pPr>
              <w:spacing w:line="300" w:lineRule="auto"/>
              <w:ind w:left="420"/>
              <w:jc w:val="center"/>
              <w:rPr>
                <w:bCs/>
                <w:szCs w:val="24"/>
              </w:rPr>
            </w:pPr>
            <w:r>
              <w:pict w14:anchorId="753DF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pt;height:23.15pt" equationxml="&lt;">
                  <v:imagedata r:id="rId8" o:title="" chromakey="white"/>
                </v:shape>
              </w:pict>
            </w:r>
          </w:p>
          <w:p w14:paraId="5DC6CA2F" w14:textId="77777777" w:rsidR="009F2D5E" w:rsidRDefault="007512DE" w:rsidP="009F2D5E">
            <w:pPr>
              <w:pStyle w:val="aff9"/>
              <w:spacing w:line="300" w:lineRule="auto"/>
              <w:ind w:left="800" w:firstLine="480"/>
              <w:jc w:val="center"/>
              <w:rPr>
                <w:bCs/>
                <w:iCs/>
              </w:rPr>
            </w:pPr>
            <w:r>
              <w:pict w14:anchorId="64F2E296">
                <v:shape id="_x0000_i1026" type="#_x0000_t75" style="width:103.3pt;height:13.15pt" equationxml="&lt;">
                  <v:imagedata r:id="rId9" o:title="" chromakey="white"/>
                </v:shape>
              </w:pict>
            </w:r>
          </w:p>
          <w:p w14:paraId="2E474B56" w14:textId="77777777" w:rsidR="009F2D5E" w:rsidRDefault="009F2D5E" w:rsidP="009F2D5E">
            <w:pPr>
              <w:pStyle w:val="aff9"/>
              <w:numPr>
                <w:ilvl w:val="1"/>
                <w:numId w:val="33"/>
              </w:numPr>
              <w:snapToGrid/>
              <w:spacing w:beforeLines="50" w:before="180" w:afterLines="50" w:after="180" w:afterAutospacing="0" w:line="288" w:lineRule="auto"/>
              <w:ind w:firstLineChars="0"/>
            </w:pPr>
            <w:r>
              <w:t>K is an implementation factor, K = 1 (baseline); K = 0.5, 2, 4 (optional)</w:t>
            </w:r>
          </w:p>
          <w:p w14:paraId="0021E90E" w14:textId="77777777" w:rsidR="009F2D5E" w:rsidRDefault="009F2D5E" w:rsidP="009F2D5E">
            <w:pPr>
              <w:pStyle w:val="aff9"/>
              <w:numPr>
                <w:ilvl w:val="0"/>
                <w:numId w:val="33"/>
              </w:numPr>
              <w:snapToGrid/>
              <w:spacing w:beforeLines="50" w:before="180" w:afterLines="50" w:after="180" w:afterAutospacing="0" w:line="288" w:lineRule="auto"/>
              <w:ind w:firstLineChars="0"/>
            </w:pPr>
            <w:r>
              <w:t>Note: The definition of the notations will be captured in the updates of TR.</w:t>
            </w:r>
          </w:p>
          <w:p w14:paraId="2FF66427" w14:textId="77777777" w:rsidR="009F2D5E" w:rsidRDefault="009F2D5E" w:rsidP="009F2D5E">
            <w:pPr>
              <w:pStyle w:val="aff9"/>
              <w:numPr>
                <w:ilvl w:val="0"/>
                <w:numId w:val="33"/>
              </w:numPr>
              <w:snapToGrid/>
              <w:spacing w:beforeLines="50" w:before="180" w:afterLines="50" w:after="180" w:afterAutospacing="0" w:line="288" w:lineRule="auto"/>
              <w:ind w:firstLineChars="0"/>
            </w:pPr>
            <w:r>
              <w:t>Note: The voltage is assumed to be the same for the reference device and the LPHAP device.</w:t>
            </w:r>
          </w:p>
          <w:p w14:paraId="5F5F0AE4" w14:textId="77777777" w:rsidR="009F2D5E" w:rsidRDefault="009F2D5E" w:rsidP="009F2D5E">
            <w:pPr>
              <w:spacing w:after="0" w:afterAutospacing="0"/>
              <w:rPr>
                <w:lang w:eastAsia="x-none"/>
              </w:rPr>
            </w:pPr>
            <w:r>
              <w:rPr>
                <w:highlight w:val="green"/>
                <w:lang w:eastAsia="x-none"/>
              </w:rPr>
              <w:t>Agreement</w:t>
            </w:r>
          </w:p>
          <w:p w14:paraId="5C31C649" w14:textId="77777777" w:rsidR="009F2D5E" w:rsidRDefault="009F2D5E" w:rsidP="009F2D5E">
            <w:pPr>
              <w:pStyle w:val="aff9"/>
              <w:numPr>
                <w:ilvl w:val="0"/>
                <w:numId w:val="34"/>
              </w:numPr>
              <w:snapToGrid/>
              <w:spacing w:beforeLines="50" w:before="180" w:after="0" w:afterAutospacing="0" w:line="288" w:lineRule="auto"/>
              <w:ind w:firstLineChars="0"/>
              <w:rPr>
                <w:lang w:eastAsia="x-none"/>
              </w:rPr>
            </w:pPr>
            <w:r>
              <w:rPr>
                <w:lang w:eastAsia="zh-CN"/>
              </w:rPr>
              <w:t>In the LPHAP evaluation, adopt the following example parameter values in the conversion model to evaluate the battery life</w:t>
            </w:r>
            <w:r>
              <w:t>:</w:t>
            </w:r>
          </w:p>
          <w:p w14:paraId="7C90C937" w14:textId="77777777" w:rsidR="009F2D5E" w:rsidRDefault="009F2D5E" w:rsidP="009F2D5E">
            <w:pPr>
              <w:pStyle w:val="aff9"/>
              <w:numPr>
                <w:ilvl w:val="1"/>
                <w:numId w:val="34"/>
              </w:numPr>
              <w:snapToGrid/>
              <w:spacing w:after="0" w:afterAutospacing="0" w:line="288" w:lineRule="auto"/>
              <w:ind w:firstLineChars="0"/>
            </w:pPr>
            <w:r>
              <w:rPr>
                <w:rFonts w:eastAsia="Times New Roman"/>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6"/>
              <w:gridCol w:w="1417"/>
              <w:gridCol w:w="1134"/>
              <w:gridCol w:w="2552"/>
            </w:tblGrid>
            <w:tr w:rsidR="009F2D5E" w14:paraId="466F5067" w14:textId="77777777" w:rsidTr="009F2D5E">
              <w:tc>
                <w:tcPr>
                  <w:tcW w:w="1276" w:type="dxa"/>
                  <w:tcBorders>
                    <w:top w:val="double" w:sz="4" w:space="0" w:color="A5A5A5"/>
                    <w:left w:val="double" w:sz="4" w:space="0" w:color="A5A5A5"/>
                    <w:bottom w:val="double" w:sz="4" w:space="0" w:color="A5A5A5"/>
                    <w:right w:val="double" w:sz="4" w:space="0" w:color="A5A5A5"/>
                  </w:tcBorders>
                  <w:hideMark/>
                </w:tcPr>
                <w:p w14:paraId="598435FF" w14:textId="77777777" w:rsidR="009F2D5E" w:rsidRDefault="009F2D5E" w:rsidP="009F2D5E">
                  <w:pPr>
                    <w:rPr>
                      <w:b/>
                      <w:bCs/>
                      <w:sz w:val="18"/>
                      <w:szCs w:val="18"/>
                      <w:lang w:eastAsia="zh-CN"/>
                    </w:rPr>
                  </w:pPr>
                  <w:r>
                    <w:rPr>
                      <w:b/>
                      <w:bCs/>
                      <w:sz w:val="18"/>
                      <w:szCs w:val="18"/>
                      <w:lang w:eastAsia="zh-CN"/>
                    </w:rPr>
                    <w:t>C1 (</w:t>
                  </w:r>
                  <w:proofErr w:type="spellStart"/>
                  <w:r>
                    <w:rPr>
                      <w:b/>
                      <w:bCs/>
                      <w:sz w:val="18"/>
                      <w:szCs w:val="18"/>
                      <w:lang w:eastAsia="zh-CN"/>
                    </w:rPr>
                    <w:t>mAh</w:t>
                  </w:r>
                  <w:proofErr w:type="spellEnd"/>
                  <w:r>
                    <w:rPr>
                      <w:b/>
                      <w:bCs/>
                      <w:sz w:val="18"/>
                      <w:szCs w:val="18"/>
                      <w:lang w:eastAsia="zh-CN"/>
                    </w:rPr>
                    <w:t>)</w:t>
                  </w:r>
                </w:p>
              </w:tc>
              <w:tc>
                <w:tcPr>
                  <w:tcW w:w="1417" w:type="dxa"/>
                  <w:tcBorders>
                    <w:top w:val="double" w:sz="4" w:space="0" w:color="A5A5A5"/>
                    <w:left w:val="double" w:sz="4" w:space="0" w:color="A5A5A5"/>
                    <w:bottom w:val="double" w:sz="4" w:space="0" w:color="A5A5A5"/>
                    <w:right w:val="double" w:sz="4" w:space="0" w:color="A5A5A5"/>
                  </w:tcBorders>
                  <w:hideMark/>
                </w:tcPr>
                <w:p w14:paraId="40184A95" w14:textId="77777777" w:rsidR="009F2D5E" w:rsidRDefault="009F2D5E" w:rsidP="009F2D5E">
                  <w:pPr>
                    <w:rPr>
                      <w:b/>
                      <w:bCs/>
                      <w:sz w:val="18"/>
                      <w:szCs w:val="18"/>
                      <w:lang w:eastAsia="zh-CN"/>
                    </w:rPr>
                  </w:pPr>
                  <w:r>
                    <w:rPr>
                      <w:b/>
                      <w:bCs/>
                      <w:sz w:val="18"/>
                      <w:szCs w:val="18"/>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7EF212E3" w14:textId="77777777" w:rsidR="009F2D5E" w:rsidRDefault="009F2D5E" w:rsidP="009F2D5E">
                  <w:pPr>
                    <w:rPr>
                      <w:b/>
                      <w:bCs/>
                      <w:sz w:val="18"/>
                      <w:szCs w:val="18"/>
                      <w:lang w:eastAsia="zh-CN"/>
                    </w:rPr>
                  </w:pPr>
                  <w:r>
                    <w:rPr>
                      <w:b/>
                      <w:bCs/>
                      <w:sz w:val="18"/>
                      <w:szCs w:val="18"/>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27CB89B9" w14:textId="77777777" w:rsidR="009F2D5E" w:rsidRDefault="009F2D5E" w:rsidP="009F2D5E">
                  <w:pPr>
                    <w:rPr>
                      <w:b/>
                      <w:bCs/>
                      <w:sz w:val="18"/>
                      <w:szCs w:val="18"/>
                      <w:lang w:eastAsia="zh-CN"/>
                    </w:rPr>
                  </w:pPr>
                  <w:r>
                    <w:rPr>
                      <w:b/>
                      <w:bCs/>
                      <w:sz w:val="18"/>
                      <w:szCs w:val="18"/>
                      <w:lang w:eastAsia="zh-CN"/>
                    </w:rPr>
                    <w:t>reference traffic type</w:t>
                  </w:r>
                </w:p>
              </w:tc>
            </w:tr>
            <w:tr w:rsidR="009F2D5E" w14:paraId="62829FA8" w14:textId="77777777" w:rsidTr="009F2D5E">
              <w:tc>
                <w:tcPr>
                  <w:tcW w:w="1276" w:type="dxa"/>
                  <w:tcBorders>
                    <w:top w:val="double" w:sz="4" w:space="0" w:color="A5A5A5"/>
                    <w:left w:val="double" w:sz="4" w:space="0" w:color="A5A5A5"/>
                    <w:bottom w:val="double" w:sz="4" w:space="0" w:color="A5A5A5"/>
                    <w:right w:val="double" w:sz="4" w:space="0" w:color="A5A5A5"/>
                  </w:tcBorders>
                  <w:hideMark/>
                </w:tcPr>
                <w:p w14:paraId="376C6339" w14:textId="77777777" w:rsidR="009F2D5E" w:rsidRDefault="009F2D5E" w:rsidP="009F2D5E">
                  <w:pPr>
                    <w:rPr>
                      <w:sz w:val="18"/>
                      <w:szCs w:val="18"/>
                      <w:lang w:eastAsia="zh-CN"/>
                    </w:rPr>
                  </w:pPr>
                  <w:r>
                    <w:rPr>
                      <w:sz w:val="18"/>
                      <w:szCs w:val="18"/>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54275972" w14:textId="77777777" w:rsidR="009F2D5E" w:rsidRDefault="009F2D5E" w:rsidP="009F2D5E">
                  <w:pPr>
                    <w:rPr>
                      <w:sz w:val="18"/>
                      <w:szCs w:val="18"/>
                      <w:lang w:eastAsia="zh-CN"/>
                    </w:rPr>
                  </w:pPr>
                  <w:r>
                    <w:rPr>
                      <w:sz w:val="18"/>
                      <w:szCs w:val="18"/>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049F5F28" w14:textId="77777777" w:rsidR="009F2D5E" w:rsidRDefault="009F2D5E" w:rsidP="009F2D5E">
                  <w:pPr>
                    <w:rPr>
                      <w:sz w:val="18"/>
                      <w:szCs w:val="18"/>
                      <w:lang w:eastAsia="zh-CN"/>
                    </w:rPr>
                  </w:pPr>
                  <w:r>
                    <w:rPr>
                      <w:sz w:val="18"/>
                      <w:szCs w:val="18"/>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711234DB" w14:textId="77777777" w:rsidR="009F2D5E" w:rsidRDefault="009F2D5E" w:rsidP="009F2D5E">
                  <w:pPr>
                    <w:rPr>
                      <w:sz w:val="18"/>
                      <w:szCs w:val="18"/>
                      <w:lang w:eastAsia="zh-CN"/>
                    </w:rPr>
                  </w:pPr>
                  <w:r>
                    <w:rPr>
                      <w:sz w:val="18"/>
                      <w:szCs w:val="18"/>
                      <w:lang w:eastAsia="zh-CN"/>
                    </w:rPr>
                    <w:t>FTP (model 3)</w:t>
                  </w:r>
                </w:p>
              </w:tc>
            </w:tr>
          </w:tbl>
          <w:p w14:paraId="4833D1AA" w14:textId="77777777" w:rsidR="009F2D5E" w:rsidRDefault="009F2D5E" w:rsidP="009F2D5E">
            <w:pPr>
              <w:pStyle w:val="aff9"/>
              <w:numPr>
                <w:ilvl w:val="1"/>
                <w:numId w:val="34"/>
              </w:numPr>
              <w:snapToGrid/>
              <w:spacing w:beforeLines="50" w:before="180" w:after="0" w:afterAutospacing="0" w:line="288" w:lineRule="auto"/>
              <w:ind w:firstLineChars="0"/>
              <w:rPr>
                <w:rFonts w:eastAsia="Batang"/>
                <w:sz w:val="20"/>
                <w:lang w:eastAsia="x-none"/>
              </w:rPr>
            </w:pPr>
            <w:r>
              <w:rPr>
                <w:rFonts w:eastAsia="Times New Roman"/>
                <w:lang w:eastAsia="zh-CN"/>
              </w:rPr>
              <w:t>For the LPHAP device, consider 2 types</w:t>
            </w:r>
            <w:r>
              <w:rPr>
                <w:rFonts w:eastAsia="Times New Roman"/>
                <w:strike/>
                <w:lang w:eastAsia="zh-CN"/>
              </w:rPr>
              <w:t xml:space="preserve"> </w:t>
            </w:r>
            <w:r>
              <w:rPr>
                <w:rFonts w:eastAsia="Times New Roman"/>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977"/>
              <w:gridCol w:w="1276"/>
              <w:gridCol w:w="1417"/>
            </w:tblGrid>
            <w:tr w:rsidR="009F2D5E" w14:paraId="2D8C5522" w14:textId="77777777" w:rsidTr="009F2D5E">
              <w:tc>
                <w:tcPr>
                  <w:tcW w:w="2977" w:type="dxa"/>
                  <w:tcBorders>
                    <w:top w:val="double" w:sz="4" w:space="0" w:color="A5A5A5"/>
                    <w:left w:val="double" w:sz="4" w:space="0" w:color="A5A5A5"/>
                    <w:bottom w:val="double" w:sz="4" w:space="0" w:color="A5A5A5"/>
                    <w:right w:val="double" w:sz="4" w:space="0" w:color="A5A5A5"/>
                  </w:tcBorders>
                  <w:hideMark/>
                </w:tcPr>
                <w:p w14:paraId="06FF343D" w14:textId="77777777" w:rsidR="009F2D5E" w:rsidRDefault="009F2D5E" w:rsidP="009F2D5E">
                  <w:pPr>
                    <w:rPr>
                      <w:b/>
                      <w:bCs/>
                      <w:sz w:val="18"/>
                      <w:szCs w:val="18"/>
                      <w:lang w:eastAsia="zh-CN"/>
                    </w:rPr>
                  </w:pPr>
                  <w:r>
                    <w:rPr>
                      <w:b/>
                      <w:bCs/>
                      <w:sz w:val="18"/>
                      <w:szCs w:val="18"/>
                      <w:lang w:eastAsia="zh-CN"/>
                    </w:rPr>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0783B499" w14:textId="77777777" w:rsidR="009F2D5E" w:rsidRDefault="009F2D5E" w:rsidP="009F2D5E">
                  <w:pPr>
                    <w:rPr>
                      <w:b/>
                      <w:bCs/>
                      <w:sz w:val="18"/>
                      <w:szCs w:val="18"/>
                      <w:lang w:eastAsia="zh-CN"/>
                    </w:rPr>
                  </w:pPr>
                  <w:r>
                    <w:rPr>
                      <w:b/>
                      <w:bCs/>
                      <w:sz w:val="18"/>
                      <w:szCs w:val="18"/>
                      <w:lang w:eastAsia="zh-CN"/>
                    </w:rPr>
                    <w:t>C2 (</w:t>
                  </w:r>
                  <w:proofErr w:type="spellStart"/>
                  <w:r>
                    <w:rPr>
                      <w:b/>
                      <w:bCs/>
                      <w:sz w:val="18"/>
                      <w:szCs w:val="18"/>
                      <w:lang w:eastAsia="zh-CN"/>
                    </w:rPr>
                    <w:t>mAh</w:t>
                  </w:r>
                  <w:proofErr w:type="spellEnd"/>
                  <w:r>
                    <w:rPr>
                      <w:b/>
                      <w:bCs/>
                      <w:sz w:val="18"/>
                      <w:szCs w:val="18"/>
                      <w:lang w:eastAsia="zh-CN"/>
                    </w:rPr>
                    <w:t>)</w:t>
                  </w:r>
                </w:p>
              </w:tc>
              <w:tc>
                <w:tcPr>
                  <w:tcW w:w="1417" w:type="dxa"/>
                  <w:tcBorders>
                    <w:top w:val="double" w:sz="4" w:space="0" w:color="A5A5A5"/>
                    <w:left w:val="double" w:sz="4" w:space="0" w:color="A5A5A5"/>
                    <w:bottom w:val="double" w:sz="4" w:space="0" w:color="A5A5A5"/>
                    <w:right w:val="double" w:sz="4" w:space="0" w:color="A5A5A5"/>
                  </w:tcBorders>
                  <w:hideMark/>
                </w:tcPr>
                <w:p w14:paraId="62B3FA0B" w14:textId="77777777" w:rsidR="009F2D5E" w:rsidRDefault="009F2D5E" w:rsidP="009F2D5E">
                  <w:pPr>
                    <w:rPr>
                      <w:b/>
                      <w:bCs/>
                      <w:sz w:val="18"/>
                      <w:szCs w:val="18"/>
                      <w:lang w:eastAsia="zh-CN"/>
                    </w:rPr>
                  </w:pPr>
                  <w:r>
                    <w:rPr>
                      <w:b/>
                      <w:bCs/>
                      <w:sz w:val="18"/>
                      <w:szCs w:val="18"/>
                      <w:lang w:eastAsia="zh-CN"/>
                    </w:rPr>
                    <w:t>T2</w:t>
                  </w:r>
                  <w:r>
                    <w:rPr>
                      <w:b/>
                      <w:bCs/>
                      <w:sz w:val="18"/>
                      <w:szCs w:val="18"/>
                      <w:vertAlign w:val="subscript"/>
                      <w:lang w:eastAsia="zh-CN"/>
                    </w:rPr>
                    <w:t>req</w:t>
                  </w:r>
                  <w:r>
                    <w:rPr>
                      <w:b/>
                      <w:bCs/>
                      <w:sz w:val="18"/>
                      <w:szCs w:val="18"/>
                      <w:lang w:eastAsia="zh-CN"/>
                    </w:rPr>
                    <w:t xml:space="preserve"> (month)</w:t>
                  </w:r>
                </w:p>
              </w:tc>
            </w:tr>
            <w:tr w:rsidR="009F2D5E" w14:paraId="1E381C85" w14:textId="77777777" w:rsidTr="009F2D5E">
              <w:tc>
                <w:tcPr>
                  <w:tcW w:w="2977" w:type="dxa"/>
                  <w:tcBorders>
                    <w:top w:val="double" w:sz="4" w:space="0" w:color="A5A5A5"/>
                    <w:left w:val="double" w:sz="4" w:space="0" w:color="A5A5A5"/>
                    <w:bottom w:val="double" w:sz="4" w:space="0" w:color="A5A5A5"/>
                    <w:right w:val="double" w:sz="4" w:space="0" w:color="A5A5A5"/>
                  </w:tcBorders>
                  <w:hideMark/>
                </w:tcPr>
                <w:p w14:paraId="7BAACAB8" w14:textId="77777777" w:rsidR="009F2D5E" w:rsidRDefault="009F2D5E" w:rsidP="009F2D5E">
                  <w:pPr>
                    <w:rPr>
                      <w:sz w:val="18"/>
                      <w:szCs w:val="18"/>
                      <w:lang w:eastAsia="zh-CN"/>
                    </w:rPr>
                  </w:pPr>
                  <w:r>
                    <w:rPr>
                      <w:sz w:val="18"/>
                      <w:szCs w:val="18"/>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622FFF16" w14:textId="77777777" w:rsidR="009F2D5E" w:rsidRDefault="009F2D5E" w:rsidP="009F2D5E">
                  <w:pPr>
                    <w:rPr>
                      <w:sz w:val="18"/>
                      <w:szCs w:val="18"/>
                      <w:lang w:eastAsia="zh-CN"/>
                    </w:rPr>
                  </w:pPr>
                  <w:r>
                    <w:rPr>
                      <w:sz w:val="18"/>
                      <w:szCs w:val="18"/>
                      <w:lang w:eastAsia="zh-CN"/>
                    </w:rPr>
                    <w:t>800</w:t>
                  </w:r>
                </w:p>
              </w:tc>
              <w:tc>
                <w:tcPr>
                  <w:tcW w:w="1417" w:type="dxa"/>
                  <w:tcBorders>
                    <w:top w:val="double" w:sz="4" w:space="0" w:color="A5A5A5"/>
                    <w:left w:val="double" w:sz="4" w:space="0" w:color="A5A5A5"/>
                    <w:bottom w:val="double" w:sz="4" w:space="0" w:color="A5A5A5"/>
                    <w:right w:val="double" w:sz="4" w:space="0" w:color="A5A5A5"/>
                  </w:tcBorders>
                  <w:hideMark/>
                </w:tcPr>
                <w:p w14:paraId="6659CDC6" w14:textId="77777777" w:rsidR="009F2D5E" w:rsidRDefault="009F2D5E" w:rsidP="009F2D5E">
                  <w:pPr>
                    <w:rPr>
                      <w:sz w:val="18"/>
                      <w:szCs w:val="18"/>
                      <w:lang w:eastAsia="zh-CN"/>
                    </w:rPr>
                  </w:pPr>
                  <w:r>
                    <w:rPr>
                      <w:sz w:val="18"/>
                      <w:szCs w:val="18"/>
                      <w:lang w:eastAsia="zh-CN"/>
                    </w:rPr>
                    <w:t>6~12</w:t>
                  </w:r>
                </w:p>
              </w:tc>
            </w:tr>
            <w:tr w:rsidR="009F2D5E" w14:paraId="4E1A8E05" w14:textId="77777777" w:rsidTr="009F2D5E">
              <w:tc>
                <w:tcPr>
                  <w:tcW w:w="2977" w:type="dxa"/>
                  <w:tcBorders>
                    <w:top w:val="double" w:sz="4" w:space="0" w:color="A5A5A5"/>
                    <w:left w:val="double" w:sz="4" w:space="0" w:color="A5A5A5"/>
                    <w:bottom w:val="double" w:sz="4" w:space="0" w:color="A5A5A5"/>
                    <w:right w:val="double" w:sz="4" w:space="0" w:color="A5A5A5"/>
                  </w:tcBorders>
                  <w:hideMark/>
                </w:tcPr>
                <w:p w14:paraId="69AAC9E5" w14:textId="77777777" w:rsidR="009F2D5E" w:rsidRDefault="009F2D5E" w:rsidP="009F2D5E">
                  <w:pPr>
                    <w:rPr>
                      <w:sz w:val="18"/>
                      <w:szCs w:val="18"/>
                      <w:lang w:eastAsia="zh-CN"/>
                    </w:rPr>
                  </w:pPr>
                  <w:r>
                    <w:rPr>
                      <w:sz w:val="18"/>
                      <w:szCs w:val="18"/>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58103D24" w14:textId="77777777" w:rsidR="009F2D5E" w:rsidRDefault="009F2D5E" w:rsidP="009F2D5E">
                  <w:pPr>
                    <w:rPr>
                      <w:sz w:val="18"/>
                      <w:szCs w:val="18"/>
                      <w:lang w:eastAsia="zh-CN"/>
                    </w:rPr>
                  </w:pPr>
                  <w:r>
                    <w:rPr>
                      <w:sz w:val="18"/>
                      <w:szCs w:val="18"/>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02067DF3" w14:textId="77777777" w:rsidR="009F2D5E" w:rsidRDefault="009F2D5E" w:rsidP="009F2D5E">
                  <w:pPr>
                    <w:rPr>
                      <w:sz w:val="18"/>
                      <w:szCs w:val="18"/>
                      <w:lang w:eastAsia="zh-CN"/>
                    </w:rPr>
                  </w:pPr>
                  <w:r>
                    <w:rPr>
                      <w:sz w:val="18"/>
                      <w:szCs w:val="18"/>
                      <w:lang w:eastAsia="zh-CN"/>
                    </w:rPr>
                    <w:t>6~12</w:t>
                  </w:r>
                </w:p>
              </w:tc>
            </w:tr>
          </w:tbl>
          <w:p w14:paraId="6BC73F3E" w14:textId="77777777" w:rsidR="009F2D5E" w:rsidRDefault="009F2D5E" w:rsidP="009F2D5E">
            <w:pPr>
              <w:pStyle w:val="aff9"/>
              <w:numPr>
                <w:ilvl w:val="0"/>
                <w:numId w:val="34"/>
              </w:numPr>
              <w:snapToGrid/>
              <w:spacing w:beforeLines="50" w:before="180" w:after="0" w:afterAutospacing="0" w:line="288" w:lineRule="auto"/>
              <w:ind w:firstLineChars="0"/>
              <w:rPr>
                <w:rFonts w:eastAsia="Batang"/>
                <w:sz w:val="20"/>
                <w:lang w:eastAsia="zh-CN"/>
              </w:rPr>
            </w:pPr>
            <w:r>
              <w:rPr>
                <w:lang w:eastAsia="zh-CN"/>
              </w:rPr>
              <w:lastRenderedPageBreak/>
              <w:t xml:space="preserve">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w:t>
            </w:r>
            <w:proofErr w:type="gramStart"/>
            <w:r>
              <w:rPr>
                <w:lang w:eastAsia="zh-CN"/>
              </w:rPr>
              <w:t>values, and</w:t>
            </w:r>
            <w:proofErr w:type="gramEnd"/>
            <w:r>
              <w:rPr>
                <w:lang w:eastAsia="zh-CN"/>
              </w:rPr>
              <w:t xml:space="preserve"> report the corresponding parameter values.</w:t>
            </w:r>
          </w:p>
          <w:p w14:paraId="2239705D" w14:textId="77777777" w:rsidR="009F2D5E" w:rsidRDefault="009F2D5E" w:rsidP="009F2D5E">
            <w:pPr>
              <w:spacing w:before="240" w:after="0" w:afterAutospacing="0"/>
              <w:rPr>
                <w:lang w:eastAsia="x-none"/>
              </w:rPr>
            </w:pPr>
            <w:r>
              <w:rPr>
                <w:highlight w:val="green"/>
                <w:lang w:eastAsia="x-none"/>
              </w:rPr>
              <w:t>Agreement</w:t>
            </w:r>
          </w:p>
          <w:p w14:paraId="109863C0" w14:textId="77777777" w:rsidR="009F2D5E" w:rsidRDefault="009F2D5E" w:rsidP="009F2D5E">
            <w:pPr>
              <w:pStyle w:val="aff9"/>
              <w:spacing w:beforeLines="50" w:before="180" w:line="288" w:lineRule="auto"/>
              <w:ind w:firstLine="480"/>
              <w:rPr>
                <w:lang w:eastAsia="zh-CN"/>
              </w:rPr>
            </w:pPr>
            <w:r>
              <w:rPr>
                <w:lang w:eastAsia="zh-CN"/>
              </w:rPr>
              <w:t>In the LPHAP evaluation, adopt the example value of relative power unit of the reference device P1 = 50 to further align the battery life among companies.</w:t>
            </w:r>
          </w:p>
          <w:p w14:paraId="0566636E" w14:textId="77777777" w:rsidR="009F2D5E" w:rsidRDefault="009F2D5E" w:rsidP="009B13B6">
            <w:pPr>
              <w:spacing w:after="0" w:afterAutospacing="0"/>
              <w:rPr>
                <w:lang w:eastAsia="x-none"/>
              </w:rPr>
            </w:pPr>
            <w:r>
              <w:rPr>
                <w:highlight w:val="green"/>
                <w:lang w:eastAsia="x-none"/>
              </w:rPr>
              <w:t>Agreement</w:t>
            </w:r>
          </w:p>
          <w:p w14:paraId="44012084" w14:textId="77777777" w:rsidR="009F2D5E" w:rsidRDefault="009F2D5E" w:rsidP="009B13B6">
            <w:pPr>
              <w:pStyle w:val="aff9"/>
              <w:spacing w:beforeLines="50" w:before="180" w:after="0" w:afterAutospacing="0" w:line="288" w:lineRule="auto"/>
              <w:ind w:firstLine="480"/>
              <w:rPr>
                <w:lang w:eastAsia="zh-CN"/>
              </w:rPr>
            </w:pPr>
            <w:r>
              <w:rPr>
                <w:lang w:eastAsia="zh-CN"/>
              </w:rPr>
              <w:t>For the purpose of LPHAP evaluation, an ultra-deep sleep state is considered. T</w:t>
            </w:r>
            <w:r>
              <w:rPr>
                <w:rFonts w:eastAsia="Times New Roman"/>
                <w:lang w:eastAsia="zh-CN"/>
              </w:rPr>
              <w:t xml:space="preserve">he following options of the power consumption model of the </w:t>
            </w:r>
            <w:r>
              <w:rPr>
                <w:lang w:eastAsia="zh-CN"/>
              </w:rPr>
              <w:t>ultra-deep sleep state can be further discussed</w:t>
            </w:r>
            <w:r>
              <w:rPr>
                <w:rFonts w:eastAsia="Times New Roman"/>
                <w:lang w:eastAsia="zh-CN"/>
              </w:rPr>
              <w:t>:</w:t>
            </w:r>
          </w:p>
          <w:p w14:paraId="7A495293" w14:textId="77777777" w:rsidR="009F2D5E" w:rsidRDefault="009F2D5E" w:rsidP="009F2D5E">
            <w:pPr>
              <w:pStyle w:val="aff9"/>
              <w:numPr>
                <w:ilvl w:val="1"/>
                <w:numId w:val="34"/>
              </w:numPr>
              <w:snapToGrid/>
              <w:spacing w:beforeLines="50" w:before="180" w:after="0" w:afterAutospacing="0" w:line="288" w:lineRule="auto"/>
              <w:ind w:firstLineChars="0"/>
              <w:rPr>
                <w:lang w:eastAsia="zh-CN"/>
              </w:rPr>
            </w:pPr>
            <w:r>
              <w:rPr>
                <w:rFonts w:eastAsia="Times New Roman"/>
                <w:lang w:eastAsia="zh-CN"/>
              </w:rPr>
              <w:t>Option 1:</w:t>
            </w:r>
          </w:p>
          <w:p w14:paraId="69F1BD72" w14:textId="77777777" w:rsidR="009F2D5E" w:rsidRDefault="009F2D5E" w:rsidP="009F2D5E">
            <w:pPr>
              <w:pStyle w:val="aff9"/>
              <w:numPr>
                <w:ilvl w:val="2"/>
                <w:numId w:val="34"/>
              </w:numPr>
              <w:snapToGrid/>
              <w:spacing w:after="0" w:afterAutospacing="0" w:line="288" w:lineRule="auto"/>
              <w:ind w:firstLineChars="0"/>
              <w:rPr>
                <w:lang w:eastAsia="zh-CN"/>
              </w:rPr>
            </w:pPr>
            <w:r>
              <w:rPr>
                <w:rFonts w:eastAsia="Times New Roman"/>
                <w:lang w:eastAsia="zh-CN"/>
              </w:rPr>
              <w:t>The relative power unit: 0.015</w:t>
            </w:r>
          </w:p>
          <w:p w14:paraId="79FDBBEA" w14:textId="77777777" w:rsidR="009F2D5E" w:rsidRDefault="009F2D5E" w:rsidP="009F2D5E">
            <w:pPr>
              <w:pStyle w:val="aff9"/>
              <w:numPr>
                <w:ilvl w:val="2"/>
                <w:numId w:val="34"/>
              </w:numPr>
              <w:snapToGrid/>
              <w:spacing w:after="0" w:afterAutospacing="0" w:line="288" w:lineRule="auto"/>
              <w:ind w:firstLineChars="0"/>
              <w:rPr>
                <w:lang w:eastAsia="zh-CN"/>
              </w:rPr>
            </w:pPr>
            <w:r>
              <w:rPr>
                <w:rFonts w:eastAsia="Times New Roman"/>
                <w:lang w:eastAsia="zh-CN"/>
              </w:rPr>
              <w:t>Additional transition energy: 2000</w:t>
            </w:r>
          </w:p>
          <w:p w14:paraId="161F09BB" w14:textId="77777777" w:rsidR="009F2D5E" w:rsidRDefault="009F2D5E" w:rsidP="009F2D5E">
            <w:pPr>
              <w:pStyle w:val="aff9"/>
              <w:numPr>
                <w:ilvl w:val="2"/>
                <w:numId w:val="34"/>
              </w:numPr>
              <w:snapToGrid/>
              <w:spacing w:after="0" w:afterAutospacing="0" w:line="288" w:lineRule="auto"/>
              <w:ind w:firstLineChars="0"/>
              <w:rPr>
                <w:lang w:eastAsia="zh-CN"/>
              </w:rPr>
            </w:pPr>
            <w:r>
              <w:rPr>
                <w:rFonts w:eastAsia="Times New Roman"/>
                <w:lang w:eastAsia="zh-CN"/>
              </w:rPr>
              <w:t>Total transition time: 400ms</w:t>
            </w:r>
          </w:p>
          <w:p w14:paraId="3FC4F904" w14:textId="77777777" w:rsidR="009F2D5E" w:rsidRDefault="009F2D5E" w:rsidP="009F2D5E">
            <w:pPr>
              <w:pStyle w:val="aff9"/>
              <w:numPr>
                <w:ilvl w:val="1"/>
                <w:numId w:val="34"/>
              </w:numPr>
              <w:snapToGrid/>
              <w:spacing w:beforeLines="50" w:before="180" w:after="0" w:afterAutospacing="0" w:line="288" w:lineRule="auto"/>
              <w:ind w:firstLineChars="0"/>
              <w:rPr>
                <w:lang w:eastAsia="zh-CN"/>
              </w:rPr>
            </w:pPr>
            <w:r>
              <w:rPr>
                <w:rFonts w:eastAsia="Times New Roman"/>
                <w:lang w:eastAsia="zh-CN"/>
              </w:rPr>
              <w:t>Option 2:</w:t>
            </w:r>
          </w:p>
          <w:p w14:paraId="0291DD22" w14:textId="77777777" w:rsidR="009F2D5E" w:rsidRDefault="009F2D5E" w:rsidP="009F2D5E">
            <w:pPr>
              <w:pStyle w:val="aff9"/>
              <w:numPr>
                <w:ilvl w:val="2"/>
                <w:numId w:val="34"/>
              </w:numPr>
              <w:snapToGrid/>
              <w:spacing w:after="0" w:afterAutospacing="0" w:line="288" w:lineRule="auto"/>
              <w:ind w:firstLineChars="0"/>
              <w:rPr>
                <w:lang w:eastAsia="zh-CN"/>
              </w:rPr>
            </w:pPr>
            <w:r>
              <w:rPr>
                <w:rFonts w:eastAsia="Times New Roman"/>
                <w:lang w:eastAsia="zh-CN"/>
              </w:rPr>
              <w:t>The relative power unit: 0.01</w:t>
            </w:r>
          </w:p>
          <w:p w14:paraId="30DD0A30" w14:textId="77777777" w:rsidR="009F2D5E" w:rsidRDefault="009F2D5E" w:rsidP="009F2D5E">
            <w:pPr>
              <w:pStyle w:val="aff9"/>
              <w:numPr>
                <w:ilvl w:val="2"/>
                <w:numId w:val="34"/>
              </w:numPr>
              <w:snapToGrid/>
              <w:spacing w:after="0" w:afterAutospacing="0" w:line="288" w:lineRule="auto"/>
              <w:ind w:firstLineChars="0"/>
              <w:rPr>
                <w:lang w:eastAsia="zh-CN"/>
              </w:rPr>
            </w:pPr>
            <w:r>
              <w:rPr>
                <w:rFonts w:eastAsia="Times New Roman"/>
                <w:lang w:eastAsia="zh-CN"/>
              </w:rPr>
              <w:t xml:space="preserve">Additional transition energy: </w:t>
            </w:r>
            <w:proofErr w:type="gramStart"/>
            <w:r>
              <w:rPr>
                <w:rFonts w:eastAsia="Times New Roman"/>
                <w:lang w:eastAsia="zh-CN"/>
              </w:rPr>
              <w:t>450;</w:t>
            </w:r>
            <w:proofErr w:type="gramEnd"/>
          </w:p>
          <w:p w14:paraId="2ADCAD0E" w14:textId="77777777" w:rsidR="009F2D5E" w:rsidRDefault="009F2D5E" w:rsidP="009F2D5E">
            <w:pPr>
              <w:pStyle w:val="aff9"/>
              <w:numPr>
                <w:ilvl w:val="2"/>
                <w:numId w:val="34"/>
              </w:numPr>
              <w:snapToGrid/>
              <w:spacing w:after="0" w:afterAutospacing="0" w:line="288" w:lineRule="auto"/>
              <w:ind w:firstLineChars="0"/>
              <w:rPr>
                <w:lang w:eastAsia="zh-CN"/>
              </w:rPr>
            </w:pPr>
            <w:r>
              <w:rPr>
                <w:rFonts w:eastAsia="Times New Roman"/>
                <w:lang w:eastAsia="zh-CN"/>
              </w:rPr>
              <w:t>Total transition time: 25ms</w:t>
            </w:r>
          </w:p>
          <w:p w14:paraId="6EE7C5DA" w14:textId="77777777" w:rsidR="009F2D5E" w:rsidRDefault="009F2D5E" w:rsidP="009F2D5E">
            <w:pPr>
              <w:pStyle w:val="aff9"/>
              <w:numPr>
                <w:ilvl w:val="2"/>
                <w:numId w:val="34"/>
              </w:numPr>
              <w:snapToGrid/>
              <w:spacing w:after="0" w:afterAutospacing="0" w:line="288" w:lineRule="auto"/>
              <w:ind w:firstLineChars="0"/>
              <w:rPr>
                <w:lang w:eastAsia="zh-CN"/>
              </w:rPr>
            </w:pPr>
            <w:r>
              <w:rPr>
                <w:lang w:eastAsia="zh-CN"/>
              </w:rPr>
              <w:t>FFS: restrictions in processing associated with option 2 after the UE comes out of ultra-deep sleep state</w:t>
            </w:r>
          </w:p>
          <w:p w14:paraId="4C9E3F3F" w14:textId="77777777" w:rsidR="009F2D5E" w:rsidRDefault="009F2D5E" w:rsidP="009F2D5E">
            <w:pPr>
              <w:pStyle w:val="aff9"/>
              <w:numPr>
                <w:ilvl w:val="1"/>
                <w:numId w:val="34"/>
              </w:numPr>
              <w:snapToGrid/>
              <w:spacing w:after="0" w:afterAutospacing="0" w:line="288" w:lineRule="auto"/>
              <w:ind w:firstLineChars="0"/>
              <w:rPr>
                <w:lang w:eastAsia="zh-CN"/>
              </w:rPr>
            </w:pPr>
            <w:r>
              <w:rPr>
                <w:lang w:eastAsia="zh-CN"/>
              </w:rPr>
              <w:t>Notes: the values above can be further discussed</w:t>
            </w:r>
          </w:p>
          <w:p w14:paraId="3D39DEAD" w14:textId="77777777" w:rsidR="009F2D5E" w:rsidRDefault="009F2D5E" w:rsidP="009B13B6">
            <w:pPr>
              <w:spacing w:after="0" w:afterAutospacing="0"/>
              <w:rPr>
                <w:lang w:eastAsia="x-none"/>
              </w:rPr>
            </w:pPr>
            <w:r>
              <w:rPr>
                <w:highlight w:val="green"/>
                <w:lang w:eastAsia="x-none"/>
              </w:rPr>
              <w:t>Agreement</w:t>
            </w:r>
          </w:p>
          <w:p w14:paraId="70206B2F" w14:textId="77777777" w:rsidR="009F2D5E" w:rsidRDefault="009F2D5E" w:rsidP="009F2D5E">
            <w:pPr>
              <w:rPr>
                <w:lang w:eastAsia="x-none"/>
              </w:rPr>
            </w:pPr>
            <w:r>
              <w:rPr>
                <w:lang w:eastAsia="x-none"/>
              </w:rPr>
              <w:t>For option 1 in the agreement above, the value of additional transition energy is changed to “a value between 2000 and 20000”. FFS which value.</w:t>
            </w:r>
          </w:p>
          <w:p w14:paraId="6ED856B9" w14:textId="77777777" w:rsidR="009F2D5E" w:rsidRDefault="009F2D5E" w:rsidP="009B13B6">
            <w:pPr>
              <w:spacing w:after="0" w:afterAutospacing="0"/>
              <w:rPr>
                <w:lang w:eastAsia="x-none"/>
              </w:rPr>
            </w:pPr>
            <w:r>
              <w:rPr>
                <w:highlight w:val="green"/>
                <w:lang w:eastAsia="x-none"/>
              </w:rPr>
              <w:t>Agreement</w:t>
            </w:r>
          </w:p>
          <w:p w14:paraId="7C83DAC9" w14:textId="77777777" w:rsidR="009F2D5E" w:rsidRDefault="009F2D5E" w:rsidP="009F2D5E">
            <w:pPr>
              <w:pStyle w:val="aff9"/>
              <w:spacing w:beforeLines="50" w:before="180" w:line="288" w:lineRule="auto"/>
              <w:ind w:firstLine="480"/>
              <w:rPr>
                <w:lang w:eastAsia="zh-CN"/>
              </w:rPr>
            </w:pPr>
            <w:r>
              <w:rPr>
                <w:lang w:eastAsia="zh-CN"/>
              </w:rPr>
              <w:t>For the purpose of LPHAP evaluation, the following assumptions on eDRX configuration and/or paging reception can be optionally considered:</w:t>
            </w:r>
          </w:p>
          <w:p w14:paraId="696D3A4B" w14:textId="77777777" w:rsidR="009F2D5E" w:rsidRDefault="009F2D5E" w:rsidP="009F2D5E">
            <w:pPr>
              <w:pStyle w:val="aff9"/>
              <w:numPr>
                <w:ilvl w:val="1"/>
                <w:numId w:val="34"/>
              </w:numPr>
              <w:snapToGrid/>
              <w:spacing w:after="0" w:afterAutospacing="0" w:line="288" w:lineRule="auto"/>
              <w:ind w:firstLineChars="0"/>
              <w:rPr>
                <w:lang w:eastAsia="zh-CN"/>
              </w:rPr>
            </w:pPr>
            <w:r>
              <w:rPr>
                <w:rFonts w:eastAsia="Times New Roman"/>
                <w:lang w:eastAsia="zh-CN"/>
              </w:rPr>
              <w:t>The eDRX cycle to evaluate: 20.48s; 30.</w:t>
            </w:r>
            <w:proofErr w:type="gramStart"/>
            <w:r>
              <w:rPr>
                <w:rFonts w:eastAsia="Times New Roman"/>
                <w:lang w:eastAsia="zh-CN"/>
              </w:rPr>
              <w:t>72s;</w:t>
            </w:r>
            <w:proofErr w:type="gramEnd"/>
          </w:p>
          <w:p w14:paraId="1E623108" w14:textId="77777777" w:rsidR="009F2D5E" w:rsidRDefault="009F2D5E" w:rsidP="009F2D5E">
            <w:pPr>
              <w:pStyle w:val="aff9"/>
              <w:numPr>
                <w:ilvl w:val="1"/>
                <w:numId w:val="34"/>
              </w:numPr>
              <w:snapToGrid/>
              <w:spacing w:after="0" w:afterAutospacing="0" w:line="288" w:lineRule="auto"/>
              <w:ind w:firstLineChars="0"/>
              <w:rPr>
                <w:lang w:eastAsia="zh-CN"/>
              </w:rPr>
            </w:pPr>
            <w:r>
              <w:rPr>
                <w:rFonts w:eastAsia="Times New Roman"/>
                <w:lang w:eastAsia="zh-CN"/>
              </w:rPr>
              <w:t>For paging reception:</w:t>
            </w:r>
          </w:p>
          <w:p w14:paraId="37FFB4F5" w14:textId="77777777" w:rsidR="009F2D5E" w:rsidRDefault="009F2D5E" w:rsidP="009F2D5E">
            <w:pPr>
              <w:pStyle w:val="aff9"/>
              <w:numPr>
                <w:ilvl w:val="2"/>
                <w:numId w:val="34"/>
              </w:numPr>
              <w:snapToGrid/>
              <w:spacing w:after="0" w:afterAutospacing="0" w:line="288" w:lineRule="auto"/>
              <w:ind w:firstLineChars="0"/>
              <w:rPr>
                <w:lang w:eastAsia="zh-CN"/>
              </w:rPr>
            </w:pPr>
            <w:r>
              <w:rPr>
                <w:lang w:eastAsia="zh-CN"/>
              </w:rPr>
              <w:lastRenderedPageBreak/>
              <w:t>1 paging occasion is included in one eDRX cycle</w:t>
            </w:r>
          </w:p>
          <w:p w14:paraId="67CDE58E" w14:textId="77777777" w:rsidR="009F2D5E" w:rsidRDefault="009F2D5E" w:rsidP="009F2D5E">
            <w:pPr>
              <w:pStyle w:val="aff9"/>
              <w:numPr>
                <w:ilvl w:val="2"/>
                <w:numId w:val="34"/>
              </w:numPr>
              <w:snapToGrid/>
              <w:spacing w:after="0" w:afterAutospacing="0" w:line="288" w:lineRule="auto"/>
              <w:ind w:firstLineChars="0"/>
              <w:rPr>
                <w:lang w:eastAsia="zh-CN"/>
              </w:rPr>
            </w:pPr>
            <w:r>
              <w:rPr>
                <w:rFonts w:eastAsia="Times New Roman"/>
                <w:lang w:eastAsia="zh-CN"/>
              </w:rPr>
              <w:t>10% paging rate</w:t>
            </w:r>
          </w:p>
          <w:p w14:paraId="60EC6E85" w14:textId="77777777" w:rsidR="009F2D5E" w:rsidRDefault="009F2D5E" w:rsidP="009F2D5E">
            <w:pPr>
              <w:pStyle w:val="aff9"/>
              <w:numPr>
                <w:ilvl w:val="1"/>
                <w:numId w:val="34"/>
              </w:numPr>
              <w:snapToGrid/>
              <w:spacing w:after="0" w:afterAutospacing="0" w:line="288" w:lineRule="auto"/>
              <w:ind w:firstLineChars="0"/>
              <w:rPr>
                <w:rFonts w:eastAsia="Times New Roman"/>
                <w:lang w:eastAsia="zh-CN"/>
              </w:rPr>
            </w:pPr>
            <w:r>
              <w:rPr>
                <w:rFonts w:eastAsia="Times New Roman"/>
                <w:lang w:eastAsia="zh-CN"/>
              </w:rPr>
              <w:t xml:space="preserve">No paging reception can be optionally </w:t>
            </w:r>
            <w:proofErr w:type="gramStart"/>
            <w:r>
              <w:rPr>
                <w:rFonts w:eastAsia="Times New Roman"/>
                <w:lang w:eastAsia="zh-CN"/>
              </w:rPr>
              <w:t>evaluated;</w:t>
            </w:r>
            <w:proofErr w:type="gramEnd"/>
          </w:p>
          <w:p w14:paraId="6958E0C5" w14:textId="77777777" w:rsidR="009F2D5E" w:rsidRDefault="009F2D5E" w:rsidP="009F2D5E">
            <w:pPr>
              <w:pStyle w:val="aff9"/>
              <w:numPr>
                <w:ilvl w:val="1"/>
                <w:numId w:val="34"/>
              </w:numPr>
              <w:snapToGrid/>
              <w:spacing w:after="0" w:afterAutospacing="0" w:line="288" w:lineRule="auto"/>
              <w:ind w:firstLineChars="0"/>
              <w:rPr>
                <w:rFonts w:eastAsia="Times New Roman"/>
                <w:lang w:eastAsia="zh-CN"/>
              </w:rPr>
            </w:pPr>
            <w:r>
              <w:rPr>
                <w:rFonts w:eastAsia="Times New Roman"/>
                <w:lang w:eastAsia="zh-CN"/>
              </w:rPr>
              <w:t xml:space="preserve">1 DL PRS and/or UL SRS for positioning occasion per 1 eDRX cycle </w:t>
            </w:r>
          </w:p>
          <w:p w14:paraId="11B3DA75" w14:textId="77777777" w:rsidR="009F2D5E" w:rsidRDefault="009F2D5E" w:rsidP="009F2D5E">
            <w:pPr>
              <w:pStyle w:val="aff9"/>
              <w:numPr>
                <w:ilvl w:val="2"/>
                <w:numId w:val="34"/>
              </w:numPr>
              <w:snapToGrid/>
              <w:spacing w:after="0" w:afterAutospacing="0" w:line="288" w:lineRule="auto"/>
              <w:ind w:firstLineChars="0"/>
              <w:rPr>
                <w:rFonts w:eastAsia="Times New Roman"/>
                <w:lang w:eastAsia="zh-CN"/>
              </w:rPr>
            </w:pPr>
            <w:r>
              <w:rPr>
                <w:rFonts w:eastAsia="Times New Roman"/>
                <w:lang w:eastAsia="zh-CN"/>
              </w:rPr>
              <w:t>Minimizing the gap between PRS measurement, SRS transmission and/or measurement reporting with paging monitoring in time domain can be evaluated.</w:t>
            </w:r>
          </w:p>
          <w:p w14:paraId="1FE61ED0" w14:textId="77777777" w:rsidR="009F2D5E" w:rsidRDefault="009F2D5E" w:rsidP="009B13B6">
            <w:pPr>
              <w:spacing w:before="240" w:after="0" w:afterAutospacing="0"/>
              <w:rPr>
                <w:lang w:eastAsia="x-none"/>
              </w:rPr>
            </w:pPr>
            <w:r>
              <w:rPr>
                <w:highlight w:val="green"/>
                <w:lang w:eastAsia="x-none"/>
              </w:rPr>
              <w:t>Agreement</w:t>
            </w:r>
          </w:p>
          <w:p w14:paraId="5A38E182" w14:textId="77777777" w:rsidR="009F2D5E" w:rsidRDefault="009F2D5E" w:rsidP="009F2D5E">
            <w:pPr>
              <w:rPr>
                <w:lang w:eastAsia="x-none"/>
              </w:rPr>
            </w:pPr>
            <w:r>
              <w:rPr>
                <w:lang w:eastAsia="x-none"/>
              </w:rPr>
              <w:t>The tables to collect evaluation results from each source in section 3.3.2 of R1-2207993 are endorsed.</w:t>
            </w:r>
          </w:p>
          <w:p w14:paraId="37BDF1D9" w14:textId="77777777" w:rsidR="009F2D5E" w:rsidRDefault="009F2D5E" w:rsidP="009B13B6">
            <w:pPr>
              <w:spacing w:after="0" w:afterAutospacing="0"/>
              <w:rPr>
                <w:lang w:eastAsia="x-none"/>
              </w:rPr>
            </w:pPr>
            <w:r>
              <w:rPr>
                <w:highlight w:val="green"/>
                <w:lang w:eastAsia="x-none"/>
              </w:rPr>
              <w:t>Agreement</w:t>
            </w:r>
          </w:p>
          <w:p w14:paraId="0CF3E215" w14:textId="77777777" w:rsidR="009F2D5E" w:rsidRDefault="009F2D5E" w:rsidP="009F2D5E">
            <w:pPr>
              <w:spacing w:beforeLines="50" w:before="180" w:line="288" w:lineRule="auto"/>
              <w:rPr>
                <w:lang w:eastAsia="zh-CN"/>
              </w:rPr>
            </w:pPr>
            <w:r>
              <w:rPr>
                <w:lang w:eastAsia="zh-CN"/>
              </w:rPr>
              <w:t>Capture the following in TR as an observation:</w:t>
            </w:r>
          </w:p>
          <w:p w14:paraId="033507B7" w14:textId="77777777" w:rsidR="009F2D5E" w:rsidRDefault="009F2D5E" w:rsidP="009F2D5E">
            <w:pPr>
              <w:pStyle w:val="aff9"/>
              <w:numPr>
                <w:ilvl w:val="0"/>
                <w:numId w:val="35"/>
              </w:numPr>
              <w:snapToGrid/>
              <w:spacing w:beforeLines="50" w:before="180" w:after="0" w:afterAutospacing="0" w:line="288" w:lineRule="auto"/>
              <w:ind w:firstLineChars="0"/>
              <w:rPr>
                <w:rFonts w:eastAsia="Times New Roman"/>
                <w:lang w:eastAsia="zh-CN"/>
              </w:rPr>
            </w:pPr>
            <w:r>
              <w:rPr>
                <w:rFonts w:eastAsia="Times New Roman"/>
                <w:lang w:eastAsia="zh-CN"/>
              </w:rPr>
              <w:t>Evaluations of baseline Rel-17 RRC_INACTIVE state positioning with the evaluation assumptions agreed for the study show that the power consumption on deep sleep state accounts for the highest proportion in the total power.</w:t>
            </w:r>
          </w:p>
          <w:p w14:paraId="358B54E5" w14:textId="7B6EFAEC" w:rsidR="00935905" w:rsidRPr="009F2D5E" w:rsidRDefault="00935905" w:rsidP="002040B1">
            <w:pPr>
              <w:snapToGrid/>
              <w:spacing w:after="0" w:afterAutospacing="0"/>
              <w:ind w:left="760"/>
              <w:jc w:val="left"/>
            </w:pPr>
          </w:p>
        </w:tc>
      </w:tr>
    </w:tbl>
    <w:bookmarkEnd w:id="5"/>
    <w:p w14:paraId="0FEFEC97" w14:textId="51F058BB" w:rsidR="00935905" w:rsidRDefault="00935905" w:rsidP="00935905">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on </w:t>
      </w:r>
      <w:r w:rsidR="0025513F" w:rsidRPr="0025513F">
        <w:rPr>
          <w:rFonts w:eastAsia="ＭＳ 明朝"/>
          <w:color w:val="000000" w:themeColor="text1"/>
        </w:rPr>
        <w:t>low power high accuracy positioning</w:t>
      </w:r>
      <w:r w:rsidRPr="00683FDE">
        <w:rPr>
          <w:rFonts w:eastAsia="ＭＳ 明朝"/>
          <w:color w:val="000000" w:themeColor="text1"/>
        </w:rPr>
        <w:t>.</w:t>
      </w:r>
    </w:p>
    <w:bookmarkEnd w:id="3"/>
    <w:p w14:paraId="2EF708C8" w14:textId="1B843EC7" w:rsidR="00322B14" w:rsidRDefault="00656E99" w:rsidP="0025513F">
      <w:pPr>
        <w:pStyle w:val="10"/>
        <w:spacing w:after="180"/>
        <w:rPr>
          <w:color w:val="000000" w:themeColor="text1"/>
          <w:lang w:val="en-US"/>
        </w:rPr>
      </w:pPr>
      <w:r w:rsidRPr="00683FDE">
        <w:rPr>
          <w:color w:val="000000" w:themeColor="text1"/>
          <w:lang w:val="en-US"/>
        </w:rPr>
        <w:t>Discussions</w:t>
      </w:r>
    </w:p>
    <w:p w14:paraId="1CF45C02" w14:textId="2842811F" w:rsidR="005E68FD" w:rsidRDefault="005E68FD" w:rsidP="005E68FD">
      <w:pPr>
        <w:pStyle w:val="20"/>
        <w:rPr>
          <w:lang w:val="en-US"/>
        </w:rPr>
      </w:pPr>
      <w:r>
        <w:rPr>
          <w:lang w:val="en-US"/>
        </w:rPr>
        <w:t>Positioning in idle state</w:t>
      </w:r>
    </w:p>
    <w:p w14:paraId="13F4FE78" w14:textId="5D82F82C" w:rsidR="005E68FD" w:rsidRDefault="005E68FD" w:rsidP="005E68FD">
      <w:pPr>
        <w:rPr>
          <w:lang w:val="en-US"/>
        </w:rPr>
      </w:pPr>
      <w:r>
        <w:rPr>
          <w:rFonts w:hint="eastAsia"/>
          <w:lang w:val="en-US"/>
        </w:rPr>
        <w:t>C</w:t>
      </w:r>
      <w:r>
        <w:rPr>
          <w:lang w:val="en-US"/>
        </w:rPr>
        <w:t xml:space="preserve">onsidering the positioning with low power consumption, potential solution is the measurement in RRC_IDLE state. </w:t>
      </w:r>
      <w:r w:rsidR="00620532">
        <w:rPr>
          <w:rFonts w:hint="eastAsia"/>
          <w:lang w:val="en-US"/>
        </w:rPr>
        <w:t>T</w:t>
      </w:r>
      <w:r w:rsidR="00620532">
        <w:rPr>
          <w:lang w:val="en-US"/>
        </w:rPr>
        <w:t>o reduce power consumption in UE side, the periodic transmission by UE side should be reduced as much as possible. In DL positioning, such periodic transmission is not required. Therefore, at least the DL positioning in RRC-IDLE state should be studied. T</w:t>
      </w:r>
      <w:r w:rsidR="00576875">
        <w:rPr>
          <w:lang w:val="en-US"/>
        </w:rPr>
        <w:t>he PRS can be configured in RRC_INACTIVE state with SDT but it cannot be used for RRC_IDLE state. Therefore, some enhancement</w:t>
      </w:r>
      <w:r w:rsidR="00C060B4">
        <w:rPr>
          <w:lang w:val="en-US"/>
        </w:rPr>
        <w:t>s</w:t>
      </w:r>
      <w:r w:rsidR="00576875">
        <w:rPr>
          <w:lang w:val="en-US"/>
        </w:rPr>
        <w:t xml:space="preserve"> for RRC_IDLE state should be considered.</w:t>
      </w:r>
    </w:p>
    <w:p w14:paraId="18E41246" w14:textId="74E3F062" w:rsidR="00620532" w:rsidRDefault="00620532" w:rsidP="005E68FD">
      <w:pPr>
        <w:rPr>
          <w:lang w:val="en-US"/>
        </w:rPr>
      </w:pPr>
      <w:r w:rsidRPr="00620532">
        <w:rPr>
          <w:b/>
          <w:bCs/>
          <w:u w:val="single"/>
          <w:lang w:val="en-US"/>
        </w:rPr>
        <w:t>Proposal:</w:t>
      </w:r>
      <w:r>
        <w:rPr>
          <w:lang w:val="en-US"/>
        </w:rPr>
        <w:t xml:space="preserve"> For LPHAP, the DL positioning in RRC_IDLE state should be studied.</w:t>
      </w:r>
    </w:p>
    <w:p w14:paraId="25E6B33F" w14:textId="15238936" w:rsidR="00620532" w:rsidRDefault="00576875" w:rsidP="00621561">
      <w:r>
        <w:rPr>
          <w:rFonts w:hint="eastAsia"/>
        </w:rPr>
        <w:t>F</w:t>
      </w:r>
      <w:r>
        <w:t>or UL positioning, one of the potential solutions to support the positioning in RRC_IDLE state is to use PRACH for the measurement.</w:t>
      </w:r>
      <w:r w:rsidR="00620532">
        <w:t xml:space="preserve"> From </w:t>
      </w:r>
      <w:r w:rsidR="00975349">
        <w:t xml:space="preserve">the </w:t>
      </w:r>
      <w:r w:rsidR="00620532">
        <w:t>network</w:t>
      </w:r>
      <w:r w:rsidR="00975349">
        <w:t xml:space="preserve"> perspective, the operation in RRC_IDLE state is more effective than RRC_INACTIVE state in terms of use of logical resources (e.g., C-RNTI). On the other hand, from the U</w:t>
      </w:r>
      <w:r w:rsidR="00620532">
        <w:t xml:space="preserve">E </w:t>
      </w:r>
      <w:r w:rsidR="00975349">
        <w:t>perspective</w:t>
      </w:r>
      <w:r w:rsidR="00620532">
        <w:t>, the difference</w:t>
      </w:r>
      <w:r w:rsidR="00975349">
        <w:t xml:space="preserve"> of power consumption</w:t>
      </w:r>
      <w:r w:rsidR="00620532">
        <w:t xml:space="preserve"> </w:t>
      </w:r>
      <w:r w:rsidR="00975349">
        <w:t>due to the periodic UL transmission in</w:t>
      </w:r>
      <w:r w:rsidR="00620532">
        <w:t xml:space="preserve"> RRC_IDLE</w:t>
      </w:r>
      <w:r w:rsidR="00975349">
        <w:t xml:space="preserve"> state and in RRC_INACTIVE state is not so clear. Therefore, when studying PRACH-based UL positioning in RRC_IDLE state, the difference of power consumption between the positioning in RRC_INACTIVE state and the positioning in RRC_IDLE should be the metric.</w:t>
      </w:r>
    </w:p>
    <w:p w14:paraId="2D62E563" w14:textId="122AC0A2" w:rsidR="0077297C" w:rsidRPr="00BD4185" w:rsidRDefault="00620532" w:rsidP="0077297C">
      <w:pPr>
        <w:rPr>
          <w:rFonts w:eastAsiaTheme="minorEastAsia" w:cs="Times"/>
        </w:rPr>
      </w:pPr>
      <w:r w:rsidRPr="00620532">
        <w:rPr>
          <w:rFonts w:hint="eastAsia"/>
          <w:b/>
          <w:bCs/>
          <w:u w:val="single"/>
        </w:rPr>
        <w:lastRenderedPageBreak/>
        <w:t>O</w:t>
      </w:r>
      <w:r w:rsidRPr="00620532">
        <w:rPr>
          <w:b/>
          <w:bCs/>
          <w:u w:val="single"/>
        </w:rPr>
        <w:t>bservation:</w:t>
      </w:r>
      <w:r>
        <w:t xml:space="preserve"> When studying PRACH-based UL positioning in RRC_IDLE state, the difference of power consumption between the positioning in RRC_INACTIVE state and the positioning in RRC_IDLE should be the metric.</w:t>
      </w:r>
      <w:bookmarkStart w:id="6" w:name="OLE_LINK28"/>
      <w:bookmarkStart w:id="7" w:name="OLE_LINK29"/>
      <w:bookmarkStart w:id="8" w:name="OLE_LINK30"/>
      <w:bookmarkStart w:id="9" w:name="OLE_LINK37"/>
      <w:bookmarkStart w:id="10" w:name="OLE_LINK38"/>
    </w:p>
    <w:bookmarkEnd w:id="6"/>
    <w:bookmarkEnd w:id="7"/>
    <w:bookmarkEnd w:id="8"/>
    <w:bookmarkEnd w:id="9"/>
    <w:bookmarkEnd w:id="10"/>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7BD0C9B0"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bookmarkEnd w:id="4"/>
    <w:p w14:paraId="1B89D7DC" w14:textId="77777777" w:rsidR="00975349" w:rsidRDefault="00975349" w:rsidP="00975349">
      <w:pPr>
        <w:rPr>
          <w:lang w:val="en-US"/>
        </w:rPr>
      </w:pPr>
      <w:r w:rsidRPr="00620532">
        <w:rPr>
          <w:b/>
          <w:bCs/>
          <w:u w:val="single"/>
          <w:lang w:val="en-US"/>
        </w:rPr>
        <w:t>Proposal:</w:t>
      </w:r>
      <w:r>
        <w:rPr>
          <w:lang w:val="en-US"/>
        </w:rPr>
        <w:t xml:space="preserve"> For LPHAP, the DL positioning in RRC_IDLE state should be studied.</w:t>
      </w:r>
    </w:p>
    <w:p w14:paraId="3CA2EEA9" w14:textId="77777777" w:rsidR="00975349" w:rsidRDefault="00975349" w:rsidP="00975349">
      <w:r w:rsidRPr="00620532">
        <w:rPr>
          <w:rFonts w:hint="eastAsia"/>
          <w:b/>
          <w:bCs/>
          <w:u w:val="single"/>
        </w:rPr>
        <w:t>O</w:t>
      </w:r>
      <w:r w:rsidRPr="00620532">
        <w:rPr>
          <w:b/>
          <w:bCs/>
          <w:u w:val="single"/>
        </w:rPr>
        <w:t>bservation:</w:t>
      </w:r>
      <w:r>
        <w:t xml:space="preserve"> When studying PRACH-based UL positioning in RRC_IDLE state, the difference of power consumption between the positioning in RRC_INACTIVE state and the positioning in RRC_IDLE should be the metric.</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0E86DEE6" w:rsidR="00F67A3B" w:rsidRPr="002E4229" w:rsidRDefault="002E4229" w:rsidP="002E4229">
      <w:pPr>
        <w:pStyle w:val="textintend2"/>
        <w:rPr>
          <w:color w:val="000000" w:themeColor="text1"/>
          <w:szCs w:val="24"/>
        </w:rPr>
      </w:pPr>
      <w:proofErr w:type="gramStart"/>
      <w:r w:rsidRPr="00006ABC">
        <w:rPr>
          <w:color w:val="000000" w:themeColor="text1"/>
          <w:szCs w:val="24"/>
          <w:lang w:eastAsia="ja-JP"/>
        </w:rPr>
        <w:t>”RAN</w:t>
      </w:r>
      <w:proofErr w:type="gramEnd"/>
      <w:r w:rsidRPr="00006ABC">
        <w:rPr>
          <w:color w:val="000000" w:themeColor="text1"/>
          <w:szCs w:val="24"/>
          <w:lang w:eastAsia="ja-JP"/>
        </w:rPr>
        <w:t xml:space="preserve">1 Chairman’s Notes,” </w:t>
      </w:r>
      <w:r w:rsidRPr="00006ABC">
        <w:t>RAN</w:t>
      </w:r>
      <w:r w:rsidRPr="00006ABC">
        <w:rPr>
          <w:rFonts w:eastAsiaTheme="minorEastAsia" w:hint="eastAsia"/>
          <w:lang w:eastAsia="zh-CN"/>
        </w:rPr>
        <w:t>1</w:t>
      </w:r>
      <w:r w:rsidRPr="00006ABC">
        <w:t xml:space="preserve"> #1</w:t>
      </w:r>
      <w:r w:rsidR="002040B1">
        <w:t>10</w:t>
      </w:r>
      <w:r w:rsidRPr="00006ABC">
        <w:rPr>
          <w:rFonts w:eastAsiaTheme="minorEastAsia" w:hint="eastAsia"/>
          <w:lang w:eastAsia="zh-CN"/>
        </w:rPr>
        <w:t xml:space="preserve">, </w:t>
      </w:r>
      <w:r w:rsidR="002040B1">
        <w:rPr>
          <w:rFonts w:eastAsiaTheme="minorEastAsia"/>
          <w:lang w:eastAsia="zh-CN"/>
        </w:rPr>
        <w:t>Aug.</w:t>
      </w:r>
      <w:r w:rsidRPr="00006ABC">
        <w:t xml:space="preserve"> 202</w:t>
      </w:r>
      <w:r>
        <w:t>2</w:t>
      </w:r>
      <w:r w:rsidRPr="00006ABC">
        <w:rPr>
          <w:rFonts w:eastAsiaTheme="minorEastAsia" w:hint="eastAsia"/>
          <w:lang w:eastAsia="zh-CN"/>
        </w:rPr>
        <w:t>.</w:t>
      </w:r>
    </w:p>
    <w:sectPr w:rsidR="00F67A3B" w:rsidRPr="002E4229"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D8A88" w14:textId="77777777" w:rsidR="007512DE" w:rsidRDefault="007512DE">
      <w:r>
        <w:separator/>
      </w:r>
    </w:p>
  </w:endnote>
  <w:endnote w:type="continuationSeparator" w:id="0">
    <w:p w14:paraId="505DD5A5" w14:textId="77777777" w:rsidR="007512DE" w:rsidRDefault="0075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78895" w14:textId="77777777" w:rsidR="007512DE" w:rsidRDefault="007512DE">
      <w:r>
        <w:separator/>
      </w:r>
    </w:p>
  </w:footnote>
  <w:footnote w:type="continuationSeparator" w:id="0">
    <w:p w14:paraId="3B34C382" w14:textId="77777777" w:rsidR="007512DE" w:rsidRDefault="00751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8"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2"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8"/>
  </w:num>
  <w:num w:numId="2">
    <w:abstractNumId w:val="2"/>
  </w:num>
  <w:num w:numId="3">
    <w:abstractNumId w:val="6"/>
  </w:num>
  <w:num w:numId="4">
    <w:abstractNumId w:val="29"/>
  </w:num>
  <w:num w:numId="5">
    <w:abstractNumId w:val="19"/>
  </w:num>
  <w:num w:numId="6">
    <w:abstractNumId w:val="20"/>
  </w:num>
  <w:num w:numId="7">
    <w:abstractNumId w:val="16"/>
  </w:num>
  <w:num w:numId="8">
    <w:abstractNumId w:val="1"/>
  </w:num>
  <w:num w:numId="9">
    <w:abstractNumId w:val="32"/>
  </w:num>
  <w:num w:numId="10">
    <w:abstractNumId w:val="13"/>
  </w:num>
  <w:num w:numId="11">
    <w:abstractNumId w:val="24"/>
  </w:num>
  <w:num w:numId="12">
    <w:abstractNumId w:val="4"/>
  </w:num>
  <w:num w:numId="13">
    <w:abstractNumId w:val="9"/>
  </w:num>
  <w:num w:numId="14">
    <w:abstractNumId w:val="4"/>
  </w:num>
  <w:num w:numId="15">
    <w:abstractNumId w:val="25"/>
  </w:num>
  <w:num w:numId="16">
    <w:abstractNumId w:val="5"/>
  </w:num>
  <w:num w:numId="17">
    <w:abstractNumId w:val="7"/>
  </w:num>
  <w:num w:numId="18">
    <w:abstractNumId w:val="17"/>
  </w:num>
  <w:num w:numId="19">
    <w:abstractNumId w:val="14"/>
  </w:num>
  <w:num w:numId="20">
    <w:abstractNumId w:val="3"/>
  </w:num>
  <w:num w:numId="21">
    <w:abstractNumId w:val="22"/>
  </w:num>
  <w:num w:numId="22">
    <w:abstractNumId w:val="23"/>
  </w:num>
  <w:num w:numId="23">
    <w:abstractNumId w:val="0"/>
  </w:num>
  <w:num w:numId="24">
    <w:abstractNumId w:val="18"/>
  </w:num>
  <w:num w:numId="25">
    <w:abstractNumId w:val="30"/>
  </w:num>
  <w:num w:numId="26">
    <w:abstractNumId w:val="12"/>
  </w:num>
  <w:num w:numId="27">
    <w:abstractNumId w:val="31"/>
  </w:num>
  <w:num w:numId="28">
    <w:abstractNumId w:val="27"/>
  </w:num>
  <w:num w:numId="29">
    <w:abstractNumId w:val="10"/>
  </w:num>
  <w:num w:numId="30">
    <w:abstractNumId w:val="21"/>
  </w:num>
  <w:num w:numId="31">
    <w:abstractNumId w:val="11"/>
  </w:num>
  <w:num w:numId="32">
    <w:abstractNumId w:val="15"/>
  </w:num>
  <w:num w:numId="33">
    <w:abstractNumId w:val="23"/>
  </w:num>
  <w:num w:numId="34">
    <w:abstractNumId w:val="8"/>
  </w:num>
  <w:num w:numId="35">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C9D"/>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08E"/>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0B1"/>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3E4"/>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79F5"/>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A6E"/>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2DE"/>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1F8"/>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3B6"/>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D5E"/>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0C84"/>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282"/>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2CED"/>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B0B"/>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1306"/>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24107110">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815</Words>
  <Characters>4648</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2</cp:revision>
  <cp:lastPrinted>2019-02-13T08:31:00Z</cp:lastPrinted>
  <dcterms:created xsi:type="dcterms:W3CDTF">2022-09-30T08:30:00Z</dcterms:created>
  <dcterms:modified xsi:type="dcterms:W3CDTF">2022-09-30T08:30:00Z</dcterms:modified>
</cp:coreProperties>
</file>