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ind w:right="2"/>
        <w:rPr>
          <w:rFonts w:hint="eastAsia" w:ascii="Arial" w:hAnsi="Arial" w:eastAsia="宋体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10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eastAsia="宋体" w:cs="Arial"/>
          <w:color w:val="000000"/>
          <w:sz w:val="28"/>
          <w:szCs w:val="28"/>
          <w:lang w:val="en-US" w:eastAsia="en-US" w:bidi="ar"/>
        </w:rPr>
        <w:t>R1-220823</w:t>
      </w:r>
      <w:r>
        <w:rPr>
          <w:rFonts w:hint="eastAsia" w:ascii="Arial" w:hAnsi="Arial" w:eastAsia="宋体" w:cs="Arial"/>
          <w:color w:val="000000"/>
          <w:sz w:val="28"/>
          <w:szCs w:val="28"/>
          <w:lang w:val="en-US" w:eastAsia="zh-CN" w:bidi="ar"/>
        </w:rPr>
        <w:t>1</w:t>
      </w:r>
    </w:p>
    <w:p>
      <w:pPr>
        <w:tabs>
          <w:tab w:val="center" w:pos="4536"/>
          <w:tab w:val="right" w:pos="9072"/>
        </w:tabs>
        <w:rPr>
          <w:rFonts w:hint="eastAsia" w:ascii="Arial" w:hAnsi="Arial" w:eastAsia="宋体" w:cs="Arial"/>
          <w:b/>
          <w:bCs/>
          <w:sz w:val="28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Toulouse, France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, August 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22</w:t>
      </w:r>
      <w:r>
        <w:rPr>
          <w:rFonts w:hint="eastAsia" w:ascii="Arial" w:hAnsi="Arial" w:eastAsia="宋体" w:cs="Arial"/>
          <w:b/>
          <w:bCs/>
          <w:sz w:val="28"/>
          <w:vertAlign w:val="superscript"/>
          <w:lang w:val="en-US" w:eastAsia="zh-CN"/>
        </w:rPr>
        <w:t>nd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eastAsia="MS Mincho" w:cs="Arial"/>
          <w:b/>
          <w:bCs/>
          <w:sz w:val="28"/>
          <w:lang w:eastAsia="ja-JP"/>
        </w:rPr>
        <w:t>– 2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2</w:t>
      </w:r>
    </w:p>
    <w:p>
      <w:pPr>
        <w:rPr>
          <w:rFonts w:ascii="Arial" w:hAnsi="Arial" w:cs="Arial"/>
          <w:lang w:eastAsia="zh-CN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3" w:name="_GoBack"/>
      <w:bookmarkEnd w:id="13"/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condition to apply channel access procedure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60"/>
      <w:bookmarkStart w:id="1" w:name="OLE_LINK61"/>
      <w:bookmarkStart w:id="2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Rel-17</w:t>
      </w:r>
    </w:p>
    <w:bookmarkEnd w:id="0"/>
    <w:bookmarkEnd w:id="1"/>
    <w:bookmarkEnd w:id="2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/>
          <w:b/>
          <w:bCs/>
          <w:sz w:val="22"/>
          <w:szCs w:val="22"/>
        </w:rPr>
        <w:t>NR_ext_to_71GHz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>
        <w:rPr>
          <w:rFonts w:hint="eastAsia" w:ascii="Arial" w:hAnsi="Arial" w:cs="Arial"/>
          <w:b/>
          <w:sz w:val="22"/>
          <w:szCs w:val="22"/>
          <w:lang w:eastAsia="zh-CN"/>
        </w:rPr>
        <w:t>RAN</w:t>
      </w:r>
      <w:bookmarkEnd w:id="3"/>
      <w:bookmarkEnd w:id="4"/>
      <w:bookmarkEnd w:id="5"/>
      <w:r>
        <w:rPr>
          <w:rFonts w:hint="eastAsia" w:ascii="Arial" w:hAnsi="Arial" w:cs="Arial"/>
          <w:b/>
          <w:sz w:val="22"/>
          <w:szCs w:val="22"/>
          <w:lang w:val="en-US" w:eastAsia="zh-CN"/>
        </w:rPr>
        <w:t>1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RAN</w:t>
      </w:r>
      <w:bookmarkEnd w:id="6"/>
      <w:bookmarkEnd w:id="7"/>
      <w:bookmarkEnd w:id="8"/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Hao Lin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>
      <w:pPr>
        <w:spacing w:after="60"/>
        <w:ind w:left="1985" w:firstLine="0" w:firstLineChars="0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instrText xml:space="preserve"> HYPERLINK "mailto:Lin.hao@oppo.com" </w:instrTex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fldChar w:fldCharType="separate"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</w:t>
      </w:r>
      <w:r>
        <w:rPr>
          <w:rStyle w:val="22"/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in.hao@oppo.com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RAN1#110 meeting, RAN1 has made the following agreement 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[Agreement] 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Endorse the draft CR R1-2207664 with TP updated to:</w:t>
      </w:r>
    </w:p>
    <w:p>
      <w:pPr>
        <w:numPr>
          <w:ilvl w:val="0"/>
          <w:numId w:val="5"/>
        </w:numPr>
        <w:rPr>
          <w:sz w:val="21"/>
          <w:szCs w:val="21"/>
          <w:highlight w:val="none"/>
          <w:lang w:eastAsia="zh-CN"/>
        </w:rPr>
      </w:pPr>
      <w:r>
        <w:rPr>
          <w:highlight w:val="none"/>
          <w:lang w:val="en-US" w:eastAsia="zh-CN"/>
        </w:rPr>
        <w:t>When a gNB</w:t>
      </w:r>
      <w:r>
        <w:rPr>
          <w:strike/>
          <w:color w:val="FF0000"/>
          <w:highlight w:val="none"/>
          <w:lang w:val="en-US" w:eastAsia="zh-CN"/>
        </w:rPr>
        <w:t xml:space="preserve">/UE(s) </w:t>
      </w:r>
      <w:r>
        <w:rPr>
          <w:highlight w:val="none"/>
          <w:lang w:val="en-US" w:eastAsia="zh-CN"/>
        </w:rPr>
        <w:t xml:space="preserve">is required by regulations to sense a channel(s) for availability for performing transmission(s) on the channel(s) or when a gNB provides UE(s) with higher layer parameters channelAccessMode2-r17 by SIB1 or dedicated configuration indicating that the channel access procedures would be performed </w:t>
      </w:r>
      <w:r>
        <w:rPr>
          <w:color w:val="FF0000"/>
          <w:highlight w:val="none"/>
          <w:u w:val="single"/>
          <w:lang w:val="en-US" w:eastAsia="zh-CN"/>
        </w:rPr>
        <w:t>by UE</w:t>
      </w:r>
      <w:r>
        <w:rPr>
          <w:color w:val="FF0000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before transmission(s) on a channel(s), the channel access procedures described in this clause for accessing the channel(s) on which the transmission(s) are performed by the gNB/UE(s), are applied.</w:t>
      </w:r>
    </w:p>
    <w:p>
      <w:pPr>
        <w:numPr>
          <w:ilvl w:val="0"/>
          <w:numId w:val="5"/>
        </w:numPr>
        <w:rPr>
          <w:sz w:val="21"/>
          <w:szCs w:val="21"/>
          <w:highlight w:val="none"/>
          <w:lang w:eastAsia="zh-CN"/>
        </w:rPr>
      </w:pPr>
      <w:r>
        <w:rPr>
          <w:sz w:val="21"/>
          <w:szCs w:val="21"/>
          <w:highlight w:val="none"/>
          <w:lang w:eastAsia="zh-CN"/>
        </w:rPr>
        <w:t xml:space="preserve">Send LS to RAN2 to ask RAN2 to implement in their specs that in region where LBT is mandated, the parameter </w:t>
      </w:r>
      <w:r>
        <w:rPr>
          <w:highlight w:val="none"/>
          <w:lang w:val="en-US" w:eastAsia="zh-CN"/>
        </w:rPr>
        <w:t>channelAccessMode2-r17 is expected to be configured.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RAN1 agreed that when LBT is mandated in a region, the parameter </w:t>
      </w:r>
      <w:r>
        <w:rPr>
          <w:highlight w:val="none"/>
          <w:lang w:val="en-US" w:eastAsia="zh-CN"/>
        </w:rPr>
        <w:t>channelAccessMode2-r17</w:t>
      </w:r>
      <w:r>
        <w:rPr>
          <w:rFonts w:hint="eastAsia"/>
          <w:highlight w:val="none"/>
          <w:lang w:val="en-US" w:eastAsia="zh-CN"/>
        </w:rPr>
        <w:t xml:space="preserve"> is expected to be configured by the network, and RAN1 leaves RAN2 to decide how to capture this in RAN2 specification.  </w:t>
      </w:r>
    </w:p>
    <w:p>
      <w:pPr>
        <w:pStyle w:val="2"/>
        <w:ind w:left="0" w:leftChars="0" w:firstLine="0" w:firstLineChars="0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RAN</w:t>
      </w:r>
      <w:r>
        <w:rPr>
          <w:rFonts w:hint="eastAsia" w:ascii="Arial" w:hAnsi="Arial" w:cs="Arial"/>
          <w:b/>
          <w:lang w:val="en-US" w:eastAsia="zh-CN"/>
        </w:rPr>
        <w:t>2</w:t>
      </w:r>
    </w:p>
    <w:p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respectfully requests RAN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to take the above agreement into consideration in their future work.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 of next </w:t>
      </w:r>
      <w:r>
        <w:rPr>
          <w:rFonts w:cs="Arial"/>
          <w:bCs/>
          <w:szCs w:val="36"/>
        </w:rPr>
        <w:t>TSG</w:t>
      </w:r>
      <w:r>
        <w:rPr>
          <w:rFonts w:hint="eastAsia" w:cs="Arial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hint="eastAsia" w:eastAsia="宋体" w:cs="Arial"/>
          <w:bCs/>
          <w:szCs w:val="36"/>
          <w:lang w:val="en-US" w:eastAsia="zh-CN"/>
        </w:rPr>
        <w:t>1</w:t>
      </w:r>
      <w:r>
        <w:rPr>
          <w:szCs w:val="36"/>
        </w:rPr>
        <w:t xml:space="preserve"> meeting</w:t>
      </w:r>
    </w:p>
    <w:p>
      <w:pPr>
        <w:rPr>
          <w:rFonts w:hint="eastAsia"/>
          <w:lang w:eastAsia="zh-CN"/>
        </w:rPr>
      </w:pPr>
      <w:bookmarkStart w:id="11" w:name="OLE_LINK53"/>
      <w:bookmarkStart w:id="12" w:name="OLE_LINK54"/>
      <w:r>
        <w:t>TSG-RAN WG</w:t>
      </w:r>
      <w:r>
        <w:rPr>
          <w:rFonts w:hint="eastAsia" w:eastAsia="宋体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10bis</w:t>
      </w:r>
      <w:r>
        <w:rPr>
          <w:rFonts w:hint="eastAsia"/>
          <w:lang w:eastAsia="zh-CN"/>
        </w:rPr>
        <w:t>-e</w:t>
      </w:r>
      <w:r>
        <w:tab/>
      </w:r>
      <w:r>
        <w:rPr>
          <w:rFonts w:hint="eastAsia"/>
          <w:lang w:val="en-US" w:eastAsia="zh-CN"/>
        </w:rPr>
        <w:t>October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0-19, 2022</w:t>
      </w:r>
      <w:r>
        <w:tab/>
      </w:r>
      <w:r>
        <w:rPr>
          <w:rFonts w:hint="eastAsia"/>
          <w:lang w:eastAsia="zh-CN"/>
        </w:rPr>
        <w:t>Online</w:t>
      </w:r>
    </w:p>
    <w:p>
      <w:pPr>
        <w:rPr>
          <w:rFonts w:hint="default"/>
          <w:lang w:val="en-US"/>
        </w:rPr>
      </w:pPr>
      <w:r>
        <w:t>TSG-RAN WG</w:t>
      </w:r>
      <w:r>
        <w:rPr>
          <w:rFonts w:hint="eastAsia" w:eastAsia="宋体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11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November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4-18, 2022</w:t>
      </w:r>
      <w:r>
        <w:tab/>
      </w:r>
      <w:r>
        <w:rPr>
          <w:rFonts w:hint="eastAsia"/>
          <w:lang w:val="en-US" w:eastAsia="zh-CN"/>
        </w:rPr>
        <w:t>Europe</w:t>
      </w:r>
    </w:p>
    <w:bookmarkEnd w:id="11"/>
    <w:bookmarkEnd w:id="12"/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22B00DB"/>
    <w:multiLevelType w:val="multilevel"/>
    <w:tmpl w:val="522B00D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0B0F"/>
    <w:rsid w:val="00C23F9B"/>
    <w:rsid w:val="00C40E10"/>
    <w:rsid w:val="00C4747D"/>
    <w:rsid w:val="00CD67CA"/>
    <w:rsid w:val="00CF2D2D"/>
    <w:rsid w:val="00CF6087"/>
    <w:rsid w:val="00DA44CF"/>
    <w:rsid w:val="00DE0DE1"/>
    <w:rsid w:val="00E00F85"/>
    <w:rsid w:val="00E74C70"/>
    <w:rsid w:val="00EE4E09"/>
    <w:rsid w:val="00F101BC"/>
    <w:rsid w:val="08B423E9"/>
    <w:rsid w:val="0B1B3A7D"/>
    <w:rsid w:val="146F1830"/>
    <w:rsid w:val="1D2C4064"/>
    <w:rsid w:val="236E0751"/>
    <w:rsid w:val="2ACB46DB"/>
    <w:rsid w:val="30E97666"/>
    <w:rsid w:val="40277419"/>
    <w:rsid w:val="41682B6B"/>
    <w:rsid w:val="4B2D30CB"/>
    <w:rsid w:val="5A6D5D4D"/>
    <w:rsid w:val="6BB638A1"/>
    <w:rsid w:val="7EF4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qFormat/>
    <w:uiPriority w:val="0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qFormat/>
    <w:uiPriority w:val="0"/>
    <w:rPr>
      <w:sz w:val="16"/>
    </w:rPr>
  </w:style>
  <w:style w:type="paragraph" w:styleId="1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footer"/>
    <w:basedOn w:val="19"/>
    <w:semiHidden/>
    <w:qFormat/>
    <w:uiPriority w:val="0"/>
    <w:pPr>
      <w:jc w:val="center"/>
    </w:pPr>
    <w:rPr>
      <w:i/>
    </w:rPr>
  </w:style>
  <w:style w:type="paragraph" w:styleId="19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20">
    <w:name w:val="footnote reference"/>
    <w:semiHidden/>
    <w:qFormat/>
    <w:uiPriority w:val="0"/>
    <w:rPr>
      <w:b/>
      <w:position w:val="6"/>
      <w:sz w:val="16"/>
    </w:rPr>
  </w:style>
  <w:style w:type="paragraph" w:styleId="21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paragraph" w:styleId="23">
    <w:name w:val="index 1"/>
    <w:basedOn w:val="1"/>
    <w:next w:val="1"/>
    <w:semiHidden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List"/>
    <w:basedOn w:val="1"/>
    <w:semiHidden/>
    <w:uiPriority w:val="0"/>
    <w:pPr>
      <w:ind w:left="568" w:hanging="284"/>
    </w:pPr>
  </w:style>
  <w:style w:type="paragraph" w:styleId="26">
    <w:name w:val="List 2"/>
    <w:basedOn w:val="25"/>
    <w:semiHidden/>
    <w:qFormat/>
    <w:uiPriority w:val="0"/>
    <w:pPr>
      <w:ind w:left="851"/>
    </w:pPr>
  </w:style>
  <w:style w:type="paragraph" w:styleId="27">
    <w:name w:val="List 3"/>
    <w:basedOn w:val="26"/>
    <w:semiHidden/>
    <w:qFormat/>
    <w:uiPriority w:val="0"/>
    <w:pPr>
      <w:ind w:left="1135"/>
    </w:pPr>
  </w:style>
  <w:style w:type="paragraph" w:styleId="28">
    <w:name w:val="List 4"/>
    <w:basedOn w:val="27"/>
    <w:semiHidden/>
    <w:qFormat/>
    <w:uiPriority w:val="0"/>
    <w:pPr>
      <w:ind w:left="1418"/>
    </w:pPr>
  </w:style>
  <w:style w:type="paragraph" w:styleId="29">
    <w:name w:val="List 5"/>
    <w:basedOn w:val="28"/>
    <w:semiHidden/>
    <w:qFormat/>
    <w:uiPriority w:val="0"/>
    <w:pPr>
      <w:ind w:left="1702"/>
    </w:pPr>
  </w:style>
  <w:style w:type="paragraph" w:styleId="30">
    <w:name w:val="List Bullet"/>
    <w:basedOn w:val="25"/>
    <w:semiHidden/>
    <w:qFormat/>
    <w:uiPriority w:val="0"/>
  </w:style>
  <w:style w:type="paragraph" w:styleId="31">
    <w:name w:val="List Bullet 2"/>
    <w:basedOn w:val="30"/>
    <w:semiHidden/>
    <w:qFormat/>
    <w:uiPriority w:val="0"/>
    <w:pPr>
      <w:ind w:left="851"/>
    </w:pPr>
  </w:style>
  <w:style w:type="paragraph" w:styleId="32">
    <w:name w:val="List Bullet 3"/>
    <w:basedOn w:val="31"/>
    <w:semiHidden/>
    <w:qFormat/>
    <w:uiPriority w:val="0"/>
    <w:pPr>
      <w:ind w:left="1135"/>
    </w:pPr>
  </w:style>
  <w:style w:type="paragraph" w:styleId="33">
    <w:name w:val="List Bullet 4"/>
    <w:basedOn w:val="32"/>
    <w:semiHidden/>
    <w:qFormat/>
    <w:uiPriority w:val="0"/>
    <w:pPr>
      <w:ind w:left="1418"/>
    </w:pPr>
  </w:style>
  <w:style w:type="paragraph" w:styleId="34">
    <w:name w:val="List Bullet 5"/>
    <w:basedOn w:val="33"/>
    <w:semiHidden/>
    <w:qFormat/>
    <w:uiPriority w:val="0"/>
    <w:pPr>
      <w:ind w:left="1702"/>
    </w:pPr>
  </w:style>
  <w:style w:type="paragraph" w:styleId="35">
    <w:name w:val="List Number"/>
    <w:basedOn w:val="25"/>
    <w:semiHidden/>
    <w:qFormat/>
    <w:uiPriority w:val="0"/>
  </w:style>
  <w:style w:type="paragraph" w:styleId="36">
    <w:name w:val="List Number 2"/>
    <w:basedOn w:val="35"/>
    <w:semiHidden/>
    <w:uiPriority w:val="0"/>
    <w:pPr>
      <w:ind w:left="851"/>
    </w:pPr>
  </w:style>
  <w:style w:type="character" w:styleId="37">
    <w:name w:val="page number"/>
    <w:basedOn w:val="12"/>
    <w:semiHidden/>
    <w:qFormat/>
    <w:uiPriority w:val="0"/>
  </w:style>
  <w:style w:type="paragraph" w:styleId="3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39">
    <w:name w:val="toc 2"/>
    <w:basedOn w:val="38"/>
    <w:next w:val="1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0">
    <w:name w:val="toc 3"/>
    <w:basedOn w:val="39"/>
    <w:next w:val="1"/>
    <w:semiHidden/>
    <w:qFormat/>
    <w:uiPriority w:val="0"/>
    <w:pPr>
      <w:ind w:left="1134" w:hanging="1134"/>
    </w:pPr>
  </w:style>
  <w:style w:type="paragraph" w:styleId="41">
    <w:name w:val="toc 4"/>
    <w:basedOn w:val="40"/>
    <w:next w:val="1"/>
    <w:semiHidden/>
    <w:qFormat/>
    <w:uiPriority w:val="0"/>
    <w:pPr>
      <w:ind w:left="1418" w:hanging="1418"/>
    </w:pPr>
  </w:style>
  <w:style w:type="paragraph" w:styleId="42">
    <w:name w:val="toc 5"/>
    <w:basedOn w:val="41"/>
    <w:next w:val="1"/>
    <w:semiHidden/>
    <w:uiPriority w:val="0"/>
    <w:pPr>
      <w:ind w:left="1701" w:hanging="1701"/>
    </w:pPr>
  </w:style>
  <w:style w:type="paragraph" w:styleId="43">
    <w:name w:val="toc 6"/>
    <w:basedOn w:val="42"/>
    <w:next w:val="1"/>
    <w:semiHidden/>
    <w:qFormat/>
    <w:uiPriority w:val="0"/>
    <w:pPr>
      <w:ind w:left="1985" w:hanging="1985"/>
    </w:pPr>
  </w:style>
  <w:style w:type="paragraph" w:styleId="44">
    <w:name w:val="toc 7"/>
    <w:basedOn w:val="43"/>
    <w:next w:val="1"/>
    <w:semiHidden/>
    <w:uiPriority w:val="0"/>
    <w:pPr>
      <w:ind w:left="2268" w:hanging="2268"/>
    </w:pPr>
  </w:style>
  <w:style w:type="paragraph" w:styleId="45">
    <w:name w:val="toc 8"/>
    <w:basedOn w:val="3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6">
    <w:name w:val="toc 9"/>
    <w:basedOn w:val="45"/>
    <w:next w:val="1"/>
    <w:semiHidden/>
    <w:qFormat/>
    <w:uiPriority w:val="0"/>
    <w:pPr>
      <w:ind w:left="1418" w:hanging="1418"/>
    </w:pPr>
  </w:style>
  <w:style w:type="paragraph" w:customStyle="1" w:styleId="47">
    <w:name w:val="B1"/>
    <w:basedOn w:val="25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21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1">
    <w:name w:val="TAH"/>
    <w:basedOn w:val="62"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uiPriority w:val="0"/>
    <w:rPr>
      <w:color w:val="FF0000"/>
    </w:rPr>
  </w:style>
  <w:style w:type="paragraph" w:customStyle="1" w:styleId="85">
    <w:name w:val="B2"/>
    <w:basedOn w:val="26"/>
    <w:uiPriority w:val="0"/>
  </w:style>
  <w:style w:type="paragraph" w:customStyle="1" w:styleId="86">
    <w:name w:val="B3"/>
    <w:basedOn w:val="27"/>
    <w:qFormat/>
    <w:uiPriority w:val="0"/>
  </w:style>
  <w:style w:type="paragraph" w:customStyle="1" w:styleId="87">
    <w:name w:val="B4"/>
    <w:basedOn w:val="28"/>
    <w:qFormat/>
    <w:uiPriority w:val="0"/>
  </w:style>
  <w:style w:type="paragraph" w:customStyle="1" w:styleId="88">
    <w:name w:val="B5"/>
    <w:basedOn w:val="29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文稿抬头"/>
    <w:qFormat/>
    <w:uiPriority w:val="0"/>
    <w:rPr>
      <w:rFonts w:eastAsia="MS Mincho"/>
      <w:b/>
      <w:bCs/>
      <w:sz w:val="24"/>
    </w:rPr>
  </w:style>
  <w:style w:type="paragraph" w:styleId="91">
    <w:name w:val="List Paragraph"/>
    <w:basedOn w:val="1"/>
    <w:link w:val="92"/>
    <w:qFormat/>
    <w:uiPriority w:val="34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hAnsi="Calibri" w:eastAsia="等线"/>
      <w:kern w:val="2"/>
      <w:sz w:val="21"/>
      <w:szCs w:val="22"/>
      <w:lang w:val="en-US" w:eastAsia="zh-CN"/>
    </w:rPr>
  </w:style>
  <w:style w:type="character" w:customStyle="1" w:styleId="92">
    <w:name w:val="List Paragraph Char"/>
    <w:link w:val="91"/>
    <w:qFormat/>
    <w:uiPriority w:val="34"/>
    <w:rPr>
      <w:rFonts w:ascii="Calibri" w:hAnsi="Calibri" w:eastAsia="等线"/>
      <w:kern w:val="2"/>
      <w:sz w:val="21"/>
      <w:szCs w:val="22"/>
    </w:rPr>
  </w:style>
  <w:style w:type="paragraph" w:customStyle="1" w:styleId="93">
    <w:name w:val="discussion point"/>
    <w:basedOn w:val="1"/>
    <w:qFormat/>
    <w:uiPriority w:val="0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305</Words>
  <Characters>1745</Characters>
  <Lines>14</Lines>
  <Paragraphs>4</Paragraphs>
  <TotalTime>591</TotalTime>
  <ScaleCrop>false</ScaleCrop>
  <LinksUpToDate>false</LinksUpToDate>
  <CharactersWithSpaces>2046</CharactersWithSpaces>
  <Application>WPS Office_11.2.0.11254_F1E327BC-269C-435d-A152-05C5408002CA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2021-05-26T03:02:00Z</dcterms:created>
  <dc:creator>David Boswarthick</dc:creator>
  <cp:lastModifiedBy>FR000018</cp:lastModifiedBy>
  <cp:lastPrinted>2002-04-23T07:10:00Z</cp:lastPrinted>
  <dcterms:modified xsi:type="dcterms:W3CDTF">2022-08-26T14:26:55Z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62678456DEDF4BE98C6FE22DF68CDBCD</vt:lpwstr>
  </property>
</Properties>
</file>