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77582BFE"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R1-220</w:t>
      </w:r>
      <w:r w:rsidR="00E9185A" w:rsidRPr="00E9185A">
        <w:rPr>
          <w:rFonts w:ascii="Arial" w:hAnsi="Arial" w:cs="Arial"/>
          <w:b/>
          <w:bCs/>
          <w:szCs w:val="20"/>
        </w:rPr>
        <w:t>7530</w:t>
      </w:r>
      <w:bookmarkStart w:id="0" w:name="_GoBack"/>
      <w:bookmarkEnd w:id="0"/>
    </w:p>
    <w:p w14:paraId="45293CD6" w14:textId="73811598" w:rsidR="0082406B" w:rsidRPr="00745F9E" w:rsidRDefault="00665C97" w:rsidP="0082406B">
      <w:pPr>
        <w:tabs>
          <w:tab w:val="center" w:pos="4153"/>
          <w:tab w:val="right" w:pos="9639"/>
        </w:tabs>
        <w:autoSpaceDE/>
        <w:autoSpaceDN/>
        <w:adjustRightInd/>
        <w:snapToGrid/>
        <w:spacing w:after="0"/>
        <w:jc w:val="left"/>
        <w:rPr>
          <w:rFonts w:ascii="Arial" w:hAnsi="Arial" w:cs="Arial"/>
          <w:b/>
          <w:bCs/>
          <w:szCs w:val="20"/>
          <w:lang w:val="en-GB"/>
        </w:rPr>
      </w:pPr>
      <w:r w:rsidRPr="00665C97">
        <w:rPr>
          <w:rFonts w:ascii="Arial" w:hAnsi="Arial" w:cs="Arial"/>
          <w:b/>
          <w:bCs/>
          <w:szCs w:val="20"/>
        </w:rPr>
        <w:t>Toulouse, France, August 22 – 26</w:t>
      </w:r>
      <w:r w:rsidRPr="00665C97">
        <w:rPr>
          <w:rFonts w:ascii="Arial" w:hAnsi="Arial" w:cs="Arial" w:hint="eastAsia"/>
          <w:b/>
          <w:bCs/>
          <w:szCs w:val="20"/>
        </w:rPr>
        <w:t>,</w:t>
      </w:r>
      <w:r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0C0D13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749AF" w:rsidRPr="009D1325">
        <w:rPr>
          <w:rFonts w:ascii="Arial" w:hAnsi="Arial" w:cs="Arial"/>
          <w:bCs/>
          <w:color w:val="000000"/>
          <w:sz w:val="20"/>
          <w:szCs w:val="20"/>
          <w:lang w:val="en-GB"/>
        </w:rPr>
        <w:t xml:space="preserve">DRAFT reply LS on </w:t>
      </w:r>
      <w:r w:rsidR="008C3DFD" w:rsidRPr="009D1325">
        <w:rPr>
          <w:rFonts w:ascii="Arial" w:hAnsi="Arial" w:cs="Arial"/>
          <w:bCs/>
          <w:sz w:val="20"/>
          <w:szCs w:val="20"/>
        </w:rPr>
        <w:t>rate matching patterns and CORESET configuration for MBS</w:t>
      </w:r>
    </w:p>
    <w:p w14:paraId="1F4DF42A" w14:textId="6725DEC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35801" w:rsidRPr="00835801">
        <w:rPr>
          <w:rFonts w:ascii="Arial" w:hAnsi="Arial" w:cs="Arial"/>
          <w:bCs/>
          <w:sz w:val="20"/>
          <w:szCs w:val="20"/>
          <w:lang w:val="en-GB"/>
        </w:rPr>
        <w:t>R1-220</w:t>
      </w:r>
      <w:r w:rsidR="00D325FB">
        <w:rPr>
          <w:rFonts w:ascii="Arial" w:hAnsi="Arial" w:cs="Arial"/>
          <w:bCs/>
          <w:sz w:val="20"/>
          <w:szCs w:val="20"/>
          <w:lang w:val="en-GB"/>
        </w:rPr>
        <w:t>5732</w:t>
      </w:r>
      <w:r w:rsidR="00835801" w:rsidRPr="00835801">
        <w:rPr>
          <w:rFonts w:ascii="Arial" w:hAnsi="Arial" w:cs="Arial"/>
          <w:bCs/>
          <w:sz w:val="20"/>
          <w:szCs w:val="20"/>
          <w:lang w:val="en-GB"/>
        </w:rPr>
        <w:t>/R2-220</w:t>
      </w:r>
      <w:r w:rsidR="00D325FB">
        <w:rPr>
          <w:rFonts w:ascii="Arial" w:hAnsi="Arial" w:cs="Arial"/>
          <w:bCs/>
          <w:sz w:val="20"/>
          <w:szCs w:val="20"/>
          <w:lang w:val="en-GB"/>
        </w:rPr>
        <w:t>6608</w:t>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53BC5CA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2A74D3" w:rsidRPr="002A74D3">
        <w:rPr>
          <w:rFonts w:ascii="Arial" w:hAnsi="Arial" w:cs="Arial"/>
          <w:bCs/>
          <w:sz w:val="20"/>
          <w:szCs w:val="20"/>
          <w:lang w:val="en-GB"/>
        </w:rPr>
        <w:t>Huawei (</w:t>
      </w:r>
      <w:r w:rsidR="00937A12">
        <w:rPr>
          <w:rFonts w:ascii="Arial" w:hAnsi="Arial" w:cs="Arial"/>
          <w:bCs/>
          <w:sz w:val="20"/>
          <w:szCs w:val="20"/>
          <w:lang w:val="en-GB"/>
        </w:rPr>
        <w:t xml:space="preserve">to be </w:t>
      </w:r>
      <w:r w:rsidR="00131B44" w:rsidRPr="00131B44">
        <w:rPr>
          <w:rFonts w:ascii="Arial" w:hAnsi="Arial" w:cs="Arial"/>
          <w:bCs/>
          <w:sz w:val="20"/>
          <w:szCs w:val="20"/>
          <w:lang w:val="en-GB"/>
        </w:rPr>
        <w:t>TSG-RAN WG1</w:t>
      </w:r>
      <w:r w:rsidR="002A74D3" w:rsidRPr="002A74D3">
        <w:rPr>
          <w:rFonts w:ascii="Arial" w:hAnsi="Arial" w:cs="Arial"/>
          <w:bCs/>
          <w:sz w:val="20"/>
          <w:szCs w:val="20"/>
          <w:lang w:val="en-GB"/>
        </w:rPr>
        <w:t>)</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1DBE7E6A" w14:textId="7E03CFC2" w:rsidR="00ED2CD5" w:rsidRDefault="006129C2" w:rsidP="007A0CA6">
      <w:pPr>
        <w:autoSpaceDE/>
        <w:autoSpaceDN/>
        <w:adjustRightInd/>
        <w:snapToGrid/>
        <w:rPr>
          <w:rFonts w:ascii="Arial" w:hAnsi="Arial" w:cs="Arial"/>
          <w:bCs/>
          <w:sz w:val="20"/>
          <w:szCs w:val="20"/>
          <w:lang w:eastAsia="zh-CN"/>
        </w:rPr>
      </w:pPr>
      <w:r>
        <w:rPr>
          <w:rFonts w:ascii="Arial" w:hAnsi="Arial" w:cs="Arial" w:hint="eastAsia"/>
          <w:sz w:val="20"/>
          <w:szCs w:val="20"/>
          <w:lang w:val="en-GB" w:eastAsia="zh-CN"/>
        </w:rPr>
        <w:t>R</w:t>
      </w:r>
      <w:r>
        <w:rPr>
          <w:rFonts w:ascii="Arial" w:hAnsi="Arial" w:cs="Arial"/>
          <w:sz w:val="20"/>
          <w:szCs w:val="20"/>
          <w:lang w:val="en-GB" w:eastAsia="zh-CN"/>
        </w:rPr>
        <w:t>AN1 thanks RAN2 for the LS</w:t>
      </w:r>
      <w:r w:rsidR="00F1634C">
        <w:rPr>
          <w:rFonts w:ascii="Arial" w:hAnsi="Arial" w:cs="Arial"/>
          <w:sz w:val="20"/>
          <w:szCs w:val="20"/>
          <w:lang w:val="en-GB" w:eastAsia="zh-CN"/>
        </w:rPr>
        <w:t xml:space="preserve"> </w:t>
      </w:r>
      <w:r w:rsidR="00ED2CD5">
        <w:rPr>
          <w:rFonts w:ascii="Arial" w:hAnsi="Arial" w:cs="Arial"/>
          <w:sz w:val="20"/>
          <w:szCs w:val="20"/>
          <w:lang w:val="en-GB" w:eastAsia="zh-CN"/>
        </w:rPr>
        <w:t>informing</w:t>
      </w:r>
      <w:r w:rsidR="00627F72">
        <w:rPr>
          <w:rFonts w:ascii="Arial" w:hAnsi="Arial" w:cs="Arial"/>
          <w:sz w:val="20"/>
          <w:szCs w:val="20"/>
          <w:lang w:val="en-GB" w:eastAsia="zh-CN"/>
        </w:rPr>
        <w:t xml:space="preserve"> </w:t>
      </w:r>
      <w:r w:rsidR="00ED2CD5">
        <w:rPr>
          <w:rFonts w:ascii="Arial" w:hAnsi="Arial" w:cs="Arial"/>
          <w:sz w:val="20"/>
          <w:szCs w:val="20"/>
          <w:lang w:val="en-GB" w:eastAsia="zh-CN"/>
        </w:rPr>
        <w:t xml:space="preserve">RAN2 agreements regarding the </w:t>
      </w:r>
      <w:r w:rsidR="00ED2CD5" w:rsidRPr="00ED2CD5">
        <w:rPr>
          <w:rFonts w:ascii="Arial" w:hAnsi="Arial" w:cs="Arial"/>
          <w:bCs/>
          <w:sz w:val="20"/>
          <w:szCs w:val="20"/>
          <w:lang w:eastAsia="zh-CN"/>
        </w:rPr>
        <w:t>rate matching patterns and CORESET configuration for MBS</w:t>
      </w:r>
      <w:r w:rsidR="00BE763F">
        <w:rPr>
          <w:rFonts w:ascii="Arial" w:hAnsi="Arial" w:cs="Arial"/>
          <w:bCs/>
          <w:sz w:val="20"/>
          <w:szCs w:val="20"/>
          <w:lang w:eastAsia="zh-CN"/>
        </w:rPr>
        <w:t>:</w:t>
      </w:r>
    </w:p>
    <w:tbl>
      <w:tblPr>
        <w:tblStyle w:val="TableGrid"/>
        <w:tblW w:w="0" w:type="auto"/>
        <w:tblLook w:val="04A0" w:firstRow="1" w:lastRow="0" w:firstColumn="1" w:lastColumn="0" w:noHBand="0" w:noVBand="1"/>
      </w:tblPr>
      <w:tblGrid>
        <w:gridCol w:w="9307"/>
      </w:tblGrid>
      <w:tr w:rsidR="00BE763F" w:rsidRPr="0042682E" w14:paraId="1C5BB4D2" w14:textId="77777777" w:rsidTr="00E65632">
        <w:tc>
          <w:tcPr>
            <w:tcW w:w="9307" w:type="dxa"/>
          </w:tcPr>
          <w:p w14:paraId="69325914" w14:textId="77777777" w:rsidR="00BE763F" w:rsidRPr="0042682E"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lang w:eastAsia="zh-CN"/>
              </w:rPr>
            </w:pPr>
            <w:r w:rsidRPr="0042682E">
              <w:rPr>
                <w:rFonts w:ascii="Arial" w:hAnsi="Arial" w:cs="Arial"/>
                <w:i/>
                <w:lang w:eastAsia="zh-CN"/>
              </w:rPr>
              <w:t>If the rate match pattern with the same RateMatchPatternId is configured in both the CFR and in the associated BWP, network should include the same resource configuration and they shall be counted as a single pattern in the total number of configured rate matching patterns at the UE.</w:t>
            </w:r>
          </w:p>
          <w:p w14:paraId="4B904435" w14:textId="77777777" w:rsidR="00BE763F" w:rsidRPr="0042682E"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lang w:eastAsia="zh-CN"/>
              </w:rPr>
            </w:pPr>
            <w:r w:rsidRPr="0042682E">
              <w:rPr>
                <w:rFonts w:ascii="Arial" w:hAnsi="Arial" w:cs="Arial"/>
                <w:i/>
                <w:lang w:eastAsia="zh-CN"/>
              </w:rPr>
              <w:t>If the rate match pattern with the same RateMatchPatternId is configured in both ServingCellConfig/ServingCellConfigCommon and in SIB20/MCCH, network should include the same resource configuration and they shall be counted as a single pattern in the total number of configured rate matching patterns at the UE.</w:t>
            </w:r>
          </w:p>
          <w:p w14:paraId="78958D54" w14:textId="77777777" w:rsidR="00BE763F" w:rsidRPr="0042682E"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lang w:eastAsia="zh-CN"/>
              </w:rPr>
            </w:pPr>
            <w:bookmarkStart w:id="1" w:name="OLE_LINK112"/>
            <w:bookmarkStart w:id="2" w:name="OLE_LINK113"/>
            <w:r w:rsidRPr="0042682E">
              <w:rPr>
                <w:rFonts w:ascii="Arial" w:hAnsi="Arial" w:cs="Arial"/>
                <w:i/>
                <w:lang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bookmarkEnd w:id="1"/>
            <w:bookmarkEnd w:id="2"/>
          </w:p>
        </w:tc>
      </w:tr>
    </w:tbl>
    <w:p w14:paraId="4546D469" w14:textId="77777777" w:rsidR="00BE763F" w:rsidRPr="00BE763F" w:rsidRDefault="00BE763F" w:rsidP="007A0CA6">
      <w:pPr>
        <w:autoSpaceDE/>
        <w:autoSpaceDN/>
        <w:adjustRightInd/>
        <w:snapToGrid/>
        <w:rPr>
          <w:rFonts w:ascii="Arial" w:hAnsi="Arial" w:cs="Arial"/>
          <w:sz w:val="20"/>
          <w:szCs w:val="20"/>
          <w:lang w:eastAsia="zh-CN"/>
        </w:rPr>
      </w:pPr>
    </w:p>
    <w:p w14:paraId="31FC07B6" w14:textId="6BD846F2" w:rsidR="00ED2CD5" w:rsidRDefault="003D15CB" w:rsidP="007A0CA6">
      <w:pPr>
        <w:autoSpaceDE/>
        <w:autoSpaceDN/>
        <w:adjustRightInd/>
        <w:snapToGrid/>
        <w:rPr>
          <w:rFonts w:ascii="Arial" w:hAnsi="Arial" w:cs="Arial"/>
          <w:sz w:val="20"/>
          <w:szCs w:val="20"/>
          <w:lang w:val="en-GB" w:eastAsia="zh-CN"/>
        </w:rPr>
      </w:pPr>
      <w:r>
        <w:rPr>
          <w:rFonts w:ascii="Arial" w:hAnsi="Arial" w:cs="Arial"/>
          <w:sz w:val="20"/>
          <w:szCs w:val="20"/>
          <w:lang w:val="en-GB" w:eastAsia="zh-CN"/>
        </w:rPr>
        <w:t xml:space="preserve">According to RAN2 agreements and the </w:t>
      </w:r>
      <w:r w:rsidR="00EE76BE">
        <w:rPr>
          <w:rFonts w:ascii="Arial" w:hAnsi="Arial" w:cs="Arial"/>
          <w:sz w:val="20"/>
          <w:szCs w:val="20"/>
          <w:lang w:val="en-GB" w:eastAsia="zh-CN"/>
        </w:rPr>
        <w:t xml:space="preserve">observation how the agreements were </w:t>
      </w:r>
      <w:r>
        <w:rPr>
          <w:rFonts w:ascii="Arial" w:hAnsi="Arial" w:cs="Arial"/>
          <w:sz w:val="20"/>
          <w:szCs w:val="20"/>
          <w:lang w:val="en-GB" w:eastAsia="zh-CN"/>
        </w:rPr>
        <w:t>reflect</w:t>
      </w:r>
      <w:r w:rsidR="00EE76BE">
        <w:rPr>
          <w:rFonts w:ascii="Arial" w:hAnsi="Arial" w:cs="Arial"/>
          <w:sz w:val="20"/>
          <w:szCs w:val="20"/>
          <w:lang w:val="en-GB" w:eastAsia="zh-CN"/>
        </w:rPr>
        <w:t xml:space="preserve">ed </w:t>
      </w:r>
      <w:r>
        <w:rPr>
          <w:rFonts w:ascii="Arial" w:hAnsi="Arial" w:cs="Arial"/>
          <w:sz w:val="20"/>
          <w:szCs w:val="20"/>
          <w:lang w:val="en-GB" w:eastAsia="zh-CN"/>
        </w:rPr>
        <w:t xml:space="preserve">in TS38.331 V17.1.0, </w:t>
      </w:r>
      <w:r w:rsidR="00BE763F">
        <w:rPr>
          <w:rFonts w:ascii="Arial" w:hAnsi="Arial" w:cs="Arial"/>
          <w:sz w:val="20"/>
          <w:szCs w:val="20"/>
          <w:lang w:val="en-GB" w:eastAsia="zh-CN"/>
        </w:rPr>
        <w:t>RAN1 discussed the following relevant issues:</w:t>
      </w:r>
    </w:p>
    <w:p w14:paraId="457588FE" w14:textId="63DEF72D" w:rsidR="00BE763F" w:rsidRPr="00BE763F" w:rsidRDefault="00BE763F" w:rsidP="00BE763F">
      <w:pPr>
        <w:pStyle w:val="ListParagraph"/>
        <w:numPr>
          <w:ilvl w:val="0"/>
          <w:numId w:val="33"/>
        </w:numPr>
        <w:autoSpaceDE/>
        <w:autoSpaceDN/>
        <w:adjustRightInd/>
        <w:snapToGrid/>
        <w:ind w:firstLineChars="0"/>
        <w:rPr>
          <w:rFonts w:ascii="Arial" w:hAnsi="Arial" w:cs="Arial"/>
          <w:sz w:val="20"/>
          <w:szCs w:val="20"/>
          <w:lang w:val="en-GB" w:eastAsia="zh-CN"/>
        </w:rPr>
      </w:pPr>
      <w:r>
        <w:rPr>
          <w:rFonts w:ascii="Arial" w:hAnsi="Arial" w:cs="Arial" w:hint="eastAsia"/>
          <w:sz w:val="20"/>
          <w:szCs w:val="20"/>
          <w:lang w:val="en-GB" w:eastAsia="zh-CN"/>
        </w:rPr>
        <w:t>H</w:t>
      </w:r>
      <w:r>
        <w:rPr>
          <w:rFonts w:ascii="Arial" w:hAnsi="Arial" w:cs="Arial"/>
          <w:sz w:val="20"/>
          <w:szCs w:val="20"/>
          <w:lang w:val="en-GB" w:eastAsia="zh-CN"/>
        </w:rPr>
        <w:t xml:space="preserve">ow to implement </w:t>
      </w:r>
      <w:r w:rsidRPr="00BE763F">
        <w:rPr>
          <w:rFonts w:ascii="Arial" w:hAnsi="Arial" w:cs="Arial"/>
          <w:sz w:val="20"/>
          <w:szCs w:val="20"/>
          <w:lang w:eastAsia="zh-CN"/>
        </w:rPr>
        <w:t>the same resource configuration</w:t>
      </w:r>
      <w:r>
        <w:rPr>
          <w:rFonts w:ascii="Arial" w:hAnsi="Arial" w:cs="Arial"/>
          <w:sz w:val="20"/>
          <w:szCs w:val="20"/>
          <w:lang w:eastAsia="zh-CN"/>
        </w:rPr>
        <w:t xml:space="preserve"> pertaining to the agreements in the first two bullets.</w:t>
      </w:r>
    </w:p>
    <w:p w14:paraId="3977C23D" w14:textId="45FF48B6" w:rsidR="00382B09" w:rsidRPr="00382B09" w:rsidRDefault="001E3E35" w:rsidP="00382B09">
      <w:pPr>
        <w:pStyle w:val="ListParagraph"/>
        <w:numPr>
          <w:ilvl w:val="0"/>
          <w:numId w:val="33"/>
        </w:numPr>
        <w:autoSpaceDE/>
        <w:autoSpaceDN/>
        <w:adjustRightInd/>
        <w:snapToGrid/>
        <w:ind w:firstLineChars="0"/>
        <w:rPr>
          <w:rFonts w:ascii="Arial" w:hAnsi="Arial" w:cs="Arial"/>
          <w:sz w:val="20"/>
          <w:szCs w:val="20"/>
          <w:lang w:val="en-GB" w:eastAsia="zh-CN"/>
        </w:rPr>
      </w:pPr>
      <w:r>
        <w:rPr>
          <w:rFonts w:ascii="Arial" w:hAnsi="Arial" w:cs="Arial"/>
          <w:sz w:val="20"/>
          <w:szCs w:val="20"/>
          <w:lang w:val="en-GB" w:eastAsia="zh-CN"/>
        </w:rPr>
        <w:t>If the CORESET other than CORESET0 configured in UE active BWP but not fully contained with</w:t>
      </w:r>
      <w:r w:rsidR="002E63B3">
        <w:rPr>
          <w:rFonts w:ascii="Arial" w:hAnsi="Arial" w:cs="Arial"/>
          <w:sz w:val="20"/>
          <w:szCs w:val="20"/>
          <w:lang w:val="en-GB" w:eastAsia="zh-CN"/>
        </w:rPr>
        <w:t>in</w:t>
      </w:r>
      <w:r>
        <w:rPr>
          <w:rFonts w:ascii="Arial" w:hAnsi="Arial" w:cs="Arial"/>
          <w:sz w:val="20"/>
          <w:szCs w:val="20"/>
          <w:lang w:val="en-GB" w:eastAsia="zh-CN"/>
        </w:rPr>
        <w:t xml:space="preserve"> the CFR, whether the CORESET can be used for scheduling multicast. </w:t>
      </w:r>
    </w:p>
    <w:p w14:paraId="49154261" w14:textId="11D120DF" w:rsidR="00BE763F" w:rsidRDefault="00382B09" w:rsidP="007A0CA6">
      <w:pPr>
        <w:autoSpaceDE/>
        <w:autoSpaceDN/>
        <w:adjustRightInd/>
        <w:snapToGrid/>
        <w:rPr>
          <w:rFonts w:ascii="Arial" w:hAnsi="Arial" w:cs="Arial"/>
          <w:i/>
          <w:sz w:val="20"/>
          <w:szCs w:val="20"/>
          <w:lang w:val="en-GB" w:eastAsia="zh-CN"/>
        </w:rPr>
      </w:pPr>
      <w:r>
        <w:rPr>
          <w:rFonts w:ascii="Arial" w:hAnsi="Arial" w:cs="Arial"/>
          <w:sz w:val="20"/>
          <w:szCs w:val="20"/>
          <w:lang w:val="en-GB" w:eastAsia="zh-CN"/>
        </w:rPr>
        <w:t>F</w:t>
      </w:r>
      <w:r w:rsidR="00BE763F">
        <w:rPr>
          <w:rFonts w:ascii="Arial" w:hAnsi="Arial" w:cs="Arial"/>
          <w:sz w:val="20"/>
          <w:szCs w:val="20"/>
          <w:lang w:val="en-GB" w:eastAsia="zh-CN"/>
        </w:rPr>
        <w:t xml:space="preserve">rom RAN1 perspective, </w:t>
      </w:r>
      <w:r>
        <w:rPr>
          <w:rFonts w:ascii="Arial" w:hAnsi="Arial" w:cs="Arial"/>
          <w:sz w:val="20"/>
          <w:szCs w:val="20"/>
          <w:lang w:val="en-GB" w:eastAsia="zh-CN"/>
        </w:rPr>
        <w:t xml:space="preserve">keeping </w:t>
      </w:r>
      <w:r w:rsidR="00BE763F">
        <w:rPr>
          <w:rFonts w:ascii="Arial" w:hAnsi="Arial" w:cs="Arial"/>
          <w:sz w:val="20"/>
          <w:szCs w:val="20"/>
          <w:lang w:val="en-GB" w:eastAsia="zh-CN"/>
        </w:rPr>
        <w:t xml:space="preserve">the </w:t>
      </w:r>
      <w:r w:rsidRPr="00382B09">
        <w:rPr>
          <w:rFonts w:ascii="Arial" w:hAnsi="Arial" w:cs="Arial"/>
          <w:sz w:val="20"/>
          <w:szCs w:val="20"/>
          <w:lang w:val="en-GB" w:eastAsia="zh-CN"/>
        </w:rPr>
        <w:t xml:space="preserve">entire </w:t>
      </w:r>
      <w:r w:rsidRPr="00382B09">
        <w:rPr>
          <w:rFonts w:ascii="Arial" w:hAnsi="Arial" w:cs="Arial"/>
          <w:i/>
          <w:sz w:val="20"/>
          <w:szCs w:val="20"/>
          <w:lang w:val="en-GB" w:eastAsia="zh-CN"/>
        </w:rPr>
        <w:t>RateMatchPattern</w:t>
      </w:r>
      <w:r w:rsidRPr="00382B09">
        <w:rPr>
          <w:rFonts w:ascii="Arial" w:hAnsi="Arial" w:cs="Arial"/>
          <w:sz w:val="20"/>
          <w:szCs w:val="20"/>
          <w:lang w:val="en-GB" w:eastAsia="zh-CN"/>
        </w:rPr>
        <w:t xml:space="preserve"> configuration</w:t>
      </w:r>
      <w:r>
        <w:rPr>
          <w:rFonts w:ascii="Arial" w:hAnsi="Arial" w:cs="Arial"/>
          <w:sz w:val="20"/>
          <w:szCs w:val="20"/>
          <w:lang w:val="en-GB" w:eastAsia="zh-CN"/>
        </w:rPr>
        <w:t xml:space="preserve"> for multicast/broadcast </w:t>
      </w:r>
      <w:r w:rsidRPr="00382B09">
        <w:rPr>
          <w:rFonts w:ascii="Arial" w:hAnsi="Arial" w:cs="Arial"/>
          <w:sz w:val="20"/>
          <w:szCs w:val="20"/>
          <w:lang w:val="en-GB" w:eastAsia="zh-CN"/>
        </w:rPr>
        <w:t>the same</w:t>
      </w:r>
      <w:r>
        <w:rPr>
          <w:rFonts w:ascii="Arial" w:hAnsi="Arial" w:cs="Arial"/>
          <w:sz w:val="20"/>
          <w:szCs w:val="20"/>
          <w:lang w:val="en-GB" w:eastAsia="zh-CN"/>
        </w:rPr>
        <w:t xml:space="preserve"> as that for unicast does not mean the same resource configuration for rate matching, because bandwidths for BWP and CFR may be different but </w:t>
      </w:r>
      <w:r w:rsidRPr="00382B09">
        <w:rPr>
          <w:rFonts w:ascii="Arial" w:hAnsi="Arial" w:cs="Arial"/>
          <w:sz w:val="20"/>
          <w:szCs w:val="20"/>
          <w:lang w:val="en-GB" w:eastAsia="zh-CN"/>
        </w:rPr>
        <w:t xml:space="preserve">the </w:t>
      </w:r>
      <w:r w:rsidRPr="00382B09">
        <w:rPr>
          <w:rFonts w:ascii="Arial" w:hAnsi="Arial" w:cs="Arial"/>
          <w:i/>
          <w:sz w:val="20"/>
          <w:szCs w:val="20"/>
          <w:lang w:val="en-GB" w:eastAsia="zh-CN"/>
        </w:rPr>
        <w:t>resourceBlocks</w:t>
      </w:r>
      <w:r w:rsidRPr="00382B09">
        <w:rPr>
          <w:rFonts w:ascii="Arial" w:hAnsi="Arial" w:cs="Arial"/>
          <w:sz w:val="20"/>
          <w:szCs w:val="20"/>
          <w:lang w:val="en-GB" w:eastAsia="zh-CN"/>
        </w:rPr>
        <w:t xml:space="preserve"> </w:t>
      </w:r>
      <w:r>
        <w:rPr>
          <w:rFonts w:ascii="Arial" w:hAnsi="Arial" w:cs="Arial"/>
          <w:sz w:val="20"/>
          <w:szCs w:val="20"/>
          <w:lang w:val="en-GB" w:eastAsia="zh-CN"/>
        </w:rPr>
        <w:t xml:space="preserve">within the IE of </w:t>
      </w:r>
      <w:r w:rsidRPr="00382B09">
        <w:rPr>
          <w:rFonts w:ascii="Arial" w:hAnsi="Arial" w:cs="Arial"/>
          <w:i/>
          <w:sz w:val="20"/>
          <w:szCs w:val="20"/>
          <w:lang w:val="en-GB" w:eastAsia="zh-CN"/>
        </w:rPr>
        <w:t>RateMatchPattern</w:t>
      </w:r>
      <w:r w:rsidRPr="00382B09">
        <w:rPr>
          <w:rFonts w:ascii="Arial" w:hAnsi="Arial" w:cs="Arial"/>
          <w:sz w:val="20"/>
          <w:szCs w:val="20"/>
          <w:lang w:val="en-GB" w:eastAsia="zh-CN"/>
        </w:rPr>
        <w:t xml:space="preserve"> for the rate matching resources are numerated based on the RBs within the CFR or within CRB/BWP</w:t>
      </w:r>
      <w:r>
        <w:rPr>
          <w:rFonts w:ascii="Arial" w:hAnsi="Arial" w:cs="Arial"/>
          <w:sz w:val="20"/>
          <w:szCs w:val="20"/>
          <w:lang w:val="en-GB" w:eastAsia="zh-CN"/>
        </w:rPr>
        <w:t xml:space="preserve">. Therefore, </w:t>
      </w:r>
      <w:r w:rsidRPr="00382B09">
        <w:rPr>
          <w:rFonts w:ascii="Arial" w:hAnsi="Arial" w:cs="Arial"/>
          <w:sz w:val="20"/>
          <w:szCs w:val="20"/>
          <w:lang w:val="en-GB" w:eastAsia="zh-CN"/>
        </w:rPr>
        <w:t>“</w:t>
      </w:r>
      <w:r w:rsidRPr="00382B09">
        <w:rPr>
          <w:rFonts w:ascii="Arial" w:hAnsi="Arial" w:cs="Arial"/>
          <w:i/>
          <w:sz w:val="20"/>
          <w:szCs w:val="20"/>
          <w:lang w:val="en-GB" w:eastAsia="zh-CN"/>
        </w:rPr>
        <w:t xml:space="preserve">the same </w:t>
      </w:r>
      <w:r w:rsidRPr="00382B09">
        <w:rPr>
          <w:rFonts w:ascii="Arial" w:hAnsi="Arial" w:cs="Arial"/>
          <w:i/>
          <w:sz w:val="20"/>
          <w:szCs w:val="20"/>
          <w:lang w:eastAsia="zh-CN"/>
        </w:rPr>
        <w:t xml:space="preserve">resource </w:t>
      </w:r>
      <w:r w:rsidRPr="00382B09">
        <w:rPr>
          <w:rFonts w:ascii="Arial" w:hAnsi="Arial" w:cs="Arial"/>
          <w:i/>
          <w:sz w:val="20"/>
          <w:szCs w:val="20"/>
          <w:lang w:val="en-GB" w:eastAsia="zh-CN"/>
        </w:rPr>
        <w:t>configuration</w:t>
      </w:r>
      <w:r w:rsidRPr="00382B09">
        <w:rPr>
          <w:rFonts w:ascii="Arial" w:hAnsi="Arial" w:cs="Arial"/>
          <w:sz w:val="20"/>
          <w:szCs w:val="20"/>
          <w:lang w:val="en-GB" w:eastAsia="zh-CN"/>
        </w:rPr>
        <w:t xml:space="preserve">” should mean the same set of REs/RBs indicated by the configurations for the rate matching patterns instead of exactly the same parameters for the configuration of </w:t>
      </w:r>
      <w:r w:rsidRPr="00382B09">
        <w:rPr>
          <w:rFonts w:ascii="Arial" w:hAnsi="Arial" w:cs="Arial"/>
          <w:i/>
          <w:sz w:val="20"/>
          <w:szCs w:val="20"/>
          <w:lang w:val="en-GB" w:eastAsia="zh-CN"/>
        </w:rPr>
        <w:t>RateMatchPattern.</w:t>
      </w:r>
    </w:p>
    <w:p w14:paraId="677FC361" w14:textId="3113E8A9" w:rsidR="00382B09" w:rsidRDefault="00382B09" w:rsidP="007A0CA6">
      <w:pPr>
        <w:autoSpaceDE/>
        <w:autoSpaceDN/>
        <w:adjustRightInd/>
        <w:snapToGrid/>
        <w:rPr>
          <w:rFonts w:ascii="Arial" w:hAnsi="Arial" w:cs="Arial"/>
          <w:sz w:val="20"/>
          <w:szCs w:val="20"/>
          <w:lang w:eastAsia="zh-CN"/>
        </w:rPr>
      </w:pPr>
      <w:r>
        <w:rPr>
          <w:rFonts w:ascii="Arial" w:hAnsi="Arial" w:cs="Arial"/>
          <w:sz w:val="20"/>
          <w:szCs w:val="20"/>
          <w:lang w:val="en-GB" w:eastAsia="zh-CN"/>
        </w:rPr>
        <w:t>Regarding the CORESET configuration, it</w:t>
      </w:r>
      <w:r w:rsidRPr="00382B09">
        <w:rPr>
          <w:rFonts w:ascii="Arial" w:hAnsi="Arial" w:cs="Arial"/>
          <w:sz w:val="20"/>
          <w:szCs w:val="20"/>
          <w:lang w:val="en-GB" w:eastAsia="zh-CN"/>
        </w:rPr>
        <w:t xml:space="preserve"> should be the common sense from RAN1 perspective that the CORESET used for scheduling multicast should be fully contained within the CFR, even though it is configured certainly within one UE’s active BWP for scheduling unicast. Otherwise, it may not be contained in other UE’s active BWP because the concept of CFR was designed to represent the common part of active BWPs of all UEs </w:t>
      </w:r>
      <w:r w:rsidRPr="00382B09">
        <w:rPr>
          <w:rFonts w:ascii="Arial" w:hAnsi="Arial" w:cs="Arial"/>
          <w:sz w:val="20"/>
          <w:szCs w:val="20"/>
          <w:lang w:val="en-GB" w:eastAsia="zh-CN"/>
        </w:rPr>
        <w:lastRenderedPageBreak/>
        <w:t>in the group that could be applicable for multicast scheduling.</w:t>
      </w:r>
      <w:r>
        <w:rPr>
          <w:rFonts w:ascii="Arial" w:hAnsi="Arial" w:cs="Arial"/>
          <w:sz w:val="20"/>
          <w:szCs w:val="20"/>
          <w:lang w:val="en-GB" w:eastAsia="zh-CN"/>
        </w:rPr>
        <w:t xml:space="preserve"> Therefore, </w:t>
      </w:r>
      <w:r w:rsidRPr="00382B09">
        <w:rPr>
          <w:rFonts w:ascii="Arial" w:hAnsi="Arial" w:cs="Arial"/>
          <w:sz w:val="20"/>
          <w:szCs w:val="20"/>
          <w:lang w:val="en-GB" w:eastAsia="zh-CN"/>
        </w:rPr>
        <w:t xml:space="preserve">if </w:t>
      </w:r>
      <w:r>
        <w:rPr>
          <w:rFonts w:ascii="Arial" w:hAnsi="Arial" w:cs="Arial"/>
          <w:sz w:val="20"/>
          <w:szCs w:val="20"/>
          <w:lang w:val="en-GB" w:eastAsia="zh-CN"/>
        </w:rPr>
        <w:t xml:space="preserve">one </w:t>
      </w:r>
      <w:r w:rsidRPr="00382B09">
        <w:rPr>
          <w:rFonts w:ascii="Arial" w:hAnsi="Arial" w:cs="Arial"/>
          <w:sz w:val="20"/>
          <w:szCs w:val="20"/>
          <w:lang w:val="en-GB" w:eastAsia="zh-CN"/>
        </w:rPr>
        <w:t>CORESET</w:t>
      </w:r>
      <w:r>
        <w:rPr>
          <w:rFonts w:ascii="Arial" w:hAnsi="Arial" w:cs="Arial"/>
          <w:sz w:val="20"/>
          <w:szCs w:val="20"/>
          <w:lang w:val="en-GB" w:eastAsia="zh-CN"/>
        </w:rPr>
        <w:t xml:space="preserve"> other than COREST0</w:t>
      </w:r>
      <w:r w:rsidRPr="00382B09">
        <w:rPr>
          <w:rFonts w:ascii="Arial" w:hAnsi="Arial" w:cs="Arial"/>
          <w:sz w:val="20"/>
          <w:szCs w:val="20"/>
          <w:lang w:val="en-GB" w:eastAsia="zh-CN"/>
        </w:rPr>
        <w:t xml:space="preserve"> configured for scheduling unicast is also expected to be used for scheduling multicast for UEs not supporting </w:t>
      </w:r>
      <w:r w:rsidRPr="00382B09">
        <w:rPr>
          <w:rFonts w:ascii="Arial" w:hAnsi="Arial" w:cs="Arial"/>
          <w:i/>
          <w:sz w:val="20"/>
          <w:szCs w:val="20"/>
          <w:lang w:eastAsia="zh-CN"/>
        </w:rPr>
        <w:t>multipleCORESET</w:t>
      </w:r>
      <w:r w:rsidRPr="00382B09">
        <w:rPr>
          <w:rFonts w:ascii="Arial" w:hAnsi="Arial" w:cs="Arial"/>
          <w:b/>
          <w:i/>
          <w:sz w:val="20"/>
          <w:szCs w:val="20"/>
          <w:lang w:eastAsia="zh-CN"/>
        </w:rPr>
        <w:t xml:space="preserve">, </w:t>
      </w:r>
      <w:r w:rsidRPr="00382B09">
        <w:rPr>
          <w:rFonts w:ascii="Arial" w:hAnsi="Arial" w:cs="Arial"/>
          <w:sz w:val="20"/>
          <w:szCs w:val="20"/>
          <w:lang w:eastAsia="zh-CN"/>
        </w:rPr>
        <w:t>the</w:t>
      </w:r>
      <w:r>
        <w:rPr>
          <w:rFonts w:ascii="Arial" w:hAnsi="Arial" w:cs="Arial"/>
          <w:b/>
          <w:i/>
          <w:sz w:val="20"/>
          <w:szCs w:val="20"/>
          <w:lang w:eastAsia="zh-CN"/>
        </w:rPr>
        <w:t xml:space="preserve"> </w:t>
      </w:r>
      <w:r w:rsidRPr="00382B09">
        <w:rPr>
          <w:rFonts w:ascii="Arial" w:hAnsi="Arial" w:cs="Arial"/>
          <w:sz w:val="20"/>
          <w:szCs w:val="20"/>
          <w:lang w:eastAsia="zh-CN"/>
        </w:rPr>
        <w:t xml:space="preserve">CORESET </w:t>
      </w:r>
      <w:r w:rsidR="0044750E">
        <w:rPr>
          <w:rFonts w:ascii="Arial" w:hAnsi="Arial" w:cs="Arial"/>
          <w:sz w:val="20"/>
          <w:szCs w:val="20"/>
          <w:lang w:eastAsia="zh-CN"/>
        </w:rPr>
        <w:t>is also expected to be</w:t>
      </w:r>
      <w:r w:rsidRPr="00382B09">
        <w:rPr>
          <w:rFonts w:ascii="Arial" w:hAnsi="Arial" w:cs="Arial"/>
          <w:sz w:val="20"/>
          <w:szCs w:val="20"/>
          <w:lang w:eastAsia="zh-CN"/>
        </w:rPr>
        <w:t xml:space="preserve"> included completely within the CFR.</w:t>
      </w:r>
    </w:p>
    <w:p w14:paraId="1406F85F" w14:textId="36BF213C" w:rsidR="00382B09" w:rsidRDefault="00382B09" w:rsidP="007A0CA6">
      <w:pPr>
        <w:autoSpaceDE/>
        <w:autoSpaceDN/>
        <w:adjustRightInd/>
        <w:snapToGrid/>
        <w:rPr>
          <w:rFonts w:ascii="Arial" w:hAnsi="Arial" w:cs="Arial"/>
          <w:sz w:val="20"/>
          <w:szCs w:val="20"/>
          <w:lang w:eastAsia="zh-CN"/>
        </w:rPr>
      </w:pPr>
      <w:r>
        <w:rPr>
          <w:rFonts w:ascii="Arial" w:hAnsi="Arial" w:cs="Arial"/>
          <w:sz w:val="20"/>
          <w:szCs w:val="20"/>
          <w:lang w:eastAsia="zh-CN"/>
        </w:rPr>
        <w:t>Regarding the RAN2 agreements, the following bullets are necessary clarification</w:t>
      </w:r>
      <w:r w:rsidR="00A66EE2">
        <w:rPr>
          <w:rFonts w:ascii="Arial" w:hAnsi="Arial" w:cs="Arial"/>
          <w:sz w:val="20"/>
          <w:szCs w:val="20"/>
          <w:lang w:eastAsia="zh-CN"/>
        </w:rPr>
        <w:t>s</w:t>
      </w:r>
      <w:r>
        <w:rPr>
          <w:rFonts w:ascii="Arial" w:hAnsi="Arial" w:cs="Arial"/>
          <w:sz w:val="20"/>
          <w:szCs w:val="20"/>
          <w:lang w:eastAsia="zh-CN"/>
        </w:rPr>
        <w:t xml:space="preserve"> from RAN1 perspective</w:t>
      </w:r>
      <w:r w:rsidR="005379F3">
        <w:rPr>
          <w:rFonts w:ascii="Arial" w:hAnsi="Arial" w:cs="Arial"/>
          <w:sz w:val="20"/>
          <w:szCs w:val="20"/>
          <w:lang w:eastAsia="zh-CN"/>
        </w:rPr>
        <w:t>,</w:t>
      </w:r>
      <w:r w:rsidR="00DE3DD4">
        <w:rPr>
          <w:rFonts w:ascii="Arial" w:hAnsi="Arial" w:cs="Arial"/>
          <w:sz w:val="20"/>
          <w:szCs w:val="20"/>
          <w:lang w:eastAsia="zh-CN"/>
        </w:rPr>
        <w:t xml:space="preserve"> which may affect RAN2 specifications</w:t>
      </w:r>
      <w:r>
        <w:rPr>
          <w:rFonts w:ascii="Arial" w:hAnsi="Arial" w:cs="Arial"/>
          <w:sz w:val="20"/>
          <w:szCs w:val="20"/>
          <w:lang w:eastAsia="zh-CN"/>
        </w:rPr>
        <w:t xml:space="preserve">, </w:t>
      </w:r>
    </w:p>
    <w:p w14:paraId="7FE066EE" w14:textId="15F5D447" w:rsidR="00382B09" w:rsidRPr="00382B09" w:rsidRDefault="00382B09" w:rsidP="00382B09">
      <w:pPr>
        <w:pStyle w:val="ListParagraph"/>
        <w:numPr>
          <w:ilvl w:val="0"/>
          <w:numId w:val="35"/>
        </w:numPr>
        <w:autoSpaceDE/>
        <w:autoSpaceDN/>
        <w:adjustRightInd/>
        <w:snapToGrid/>
        <w:ind w:firstLineChars="0"/>
        <w:rPr>
          <w:rFonts w:ascii="Arial" w:hAnsi="Arial" w:cs="Arial"/>
          <w:sz w:val="20"/>
          <w:szCs w:val="20"/>
          <w:lang w:eastAsia="zh-CN"/>
        </w:rPr>
      </w:pPr>
      <w:r w:rsidRPr="00382B09">
        <w:rPr>
          <w:rFonts w:ascii="Arial" w:hAnsi="Arial" w:cs="Arial"/>
          <w:b/>
          <w:i/>
          <w:sz w:val="20"/>
          <w:szCs w:val="20"/>
          <w:lang w:val="en-GB" w:eastAsia="zh-CN"/>
        </w:rPr>
        <w:t xml:space="preserve">“the same </w:t>
      </w:r>
      <w:r w:rsidRPr="00382B09">
        <w:rPr>
          <w:rFonts w:ascii="Arial" w:hAnsi="Arial" w:cs="Arial"/>
          <w:b/>
          <w:i/>
          <w:sz w:val="20"/>
          <w:szCs w:val="20"/>
          <w:lang w:eastAsia="zh-CN"/>
        </w:rPr>
        <w:t xml:space="preserve">resource </w:t>
      </w:r>
      <w:r w:rsidRPr="00382B09">
        <w:rPr>
          <w:rFonts w:ascii="Arial" w:hAnsi="Arial" w:cs="Arial"/>
          <w:b/>
          <w:i/>
          <w:sz w:val="20"/>
          <w:szCs w:val="20"/>
          <w:lang w:val="en-GB" w:eastAsia="zh-CN"/>
        </w:rPr>
        <w:t>configuration” from RAN2 agreement should mean the same set of REs/RBs indicated by the configuration for the rate matching patterns instead of exactly the same parameters for the configuration of RateMatchPattern as has already been captured in TS38.331.</w:t>
      </w:r>
    </w:p>
    <w:p w14:paraId="5025E1B2" w14:textId="531705B4" w:rsidR="00382B09" w:rsidRPr="00382B09" w:rsidRDefault="00382B09" w:rsidP="00382B09">
      <w:pPr>
        <w:pStyle w:val="ListParagraph"/>
        <w:numPr>
          <w:ilvl w:val="0"/>
          <w:numId w:val="35"/>
        </w:numPr>
        <w:autoSpaceDE/>
        <w:autoSpaceDN/>
        <w:adjustRightInd/>
        <w:snapToGrid/>
        <w:ind w:firstLineChars="0"/>
        <w:rPr>
          <w:rFonts w:ascii="Arial" w:hAnsi="Arial" w:cs="Arial"/>
          <w:sz w:val="20"/>
          <w:szCs w:val="20"/>
          <w:lang w:eastAsia="zh-CN"/>
        </w:rPr>
      </w:pPr>
      <w:r w:rsidRPr="00382B09">
        <w:rPr>
          <w:rFonts w:ascii="Arial" w:hAnsi="Arial" w:cs="Arial"/>
          <w:b/>
          <w:i/>
          <w:sz w:val="20"/>
          <w:szCs w:val="20"/>
          <w:lang w:eastAsia="zh-CN"/>
        </w:rPr>
        <w:t xml:space="preserve">for UE not supporting multipleCORESET in FR1, in order to receive MBS multicast in CFR within UE active BWP, if the other CORESET than CORESET0 configured for </w:t>
      </w:r>
      <w:r w:rsidRPr="00382B09">
        <w:rPr>
          <w:rFonts w:ascii="Arial" w:hAnsi="Arial" w:cs="Arial"/>
          <w:b/>
          <w:i/>
          <w:sz w:val="20"/>
          <w:szCs w:val="20"/>
          <w:lang w:val="en-GB" w:eastAsia="zh-CN"/>
        </w:rPr>
        <w:t>scheduling unicast is also expected to schedule multicast</w:t>
      </w:r>
      <w:r w:rsidRPr="00382B09">
        <w:rPr>
          <w:rFonts w:ascii="Arial" w:hAnsi="Arial" w:cs="Arial"/>
          <w:b/>
          <w:i/>
          <w:sz w:val="20"/>
          <w:szCs w:val="20"/>
          <w:lang w:eastAsia="zh-CN"/>
        </w:rPr>
        <w:t xml:space="preserve">, the CORESET </w:t>
      </w:r>
      <w:r w:rsidR="000F4267">
        <w:rPr>
          <w:rFonts w:ascii="Arial" w:hAnsi="Arial" w:cs="Arial"/>
          <w:b/>
          <w:i/>
          <w:sz w:val="20"/>
          <w:szCs w:val="20"/>
          <w:lang w:eastAsia="zh-CN"/>
        </w:rPr>
        <w:t>is expected to</w:t>
      </w:r>
      <w:r w:rsidRPr="00382B09">
        <w:rPr>
          <w:rFonts w:ascii="Arial" w:hAnsi="Arial" w:cs="Arial"/>
          <w:b/>
          <w:i/>
          <w:sz w:val="20"/>
          <w:szCs w:val="20"/>
          <w:lang w:eastAsia="zh-CN"/>
        </w:rPr>
        <w:t xml:space="preserve"> be included completely within the CFR.</w:t>
      </w:r>
    </w:p>
    <w:p w14:paraId="2FF97763" w14:textId="77777777" w:rsidR="00E01B51" w:rsidRPr="00382B09" w:rsidRDefault="00E01B51" w:rsidP="00FC1F43">
      <w:pPr>
        <w:autoSpaceDE/>
        <w:autoSpaceDN/>
        <w:adjustRightInd/>
        <w:snapToGrid/>
        <w:spacing w:after="0"/>
        <w:jc w:val="left"/>
        <w:rPr>
          <w:rFonts w:ascii="Arial" w:eastAsia="MS Mincho" w:hAnsi="Arial" w:cs="Arial"/>
          <w:sz w:val="20"/>
          <w:szCs w:val="20"/>
          <w:lang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BEDC062" w14:textId="375319CE" w:rsidR="008A1181" w:rsidRDefault="008A1181" w:rsidP="008E224B">
      <w:pPr>
        <w:tabs>
          <w:tab w:val="left" w:pos="5103"/>
        </w:tabs>
        <w:autoSpaceDE/>
        <w:autoSpaceDN/>
        <w:adjustRightInd/>
        <w:snapToGrid/>
        <w:ind w:left="2268" w:hanging="2268"/>
        <w:jc w:val="left"/>
        <w:rPr>
          <w:rFonts w:ascii="Arial" w:hAnsi="Arial" w:cs="Arial"/>
          <w:bCs/>
          <w:color w:val="000000"/>
          <w:sz w:val="20"/>
          <w:szCs w:val="20"/>
          <w:lang w:val="en-GB"/>
        </w:rPr>
      </w:pPr>
      <w:r w:rsidRPr="008A1181">
        <w:rPr>
          <w:rFonts w:ascii="Arial" w:hAnsi="Arial" w:cs="Arial"/>
          <w:bCs/>
          <w:color w:val="000000"/>
          <w:sz w:val="20"/>
          <w:szCs w:val="20"/>
          <w:lang w:val="en-GB"/>
        </w:rPr>
        <w:t>TSG-RAN WG1 Meeting #110</w:t>
      </w:r>
      <w:r>
        <w:rPr>
          <w:rFonts w:ascii="Arial" w:hAnsi="Arial" w:cs="Arial"/>
          <w:bCs/>
          <w:color w:val="000000"/>
          <w:sz w:val="20"/>
          <w:szCs w:val="20"/>
          <w:lang w:val="en-GB"/>
        </w:rPr>
        <w:t>bis</w:t>
      </w:r>
      <w:r w:rsidRPr="008A1181">
        <w:rPr>
          <w:rFonts w:ascii="Arial" w:hAnsi="Arial" w:cs="Arial"/>
          <w:bCs/>
          <w:color w:val="000000"/>
          <w:sz w:val="20"/>
          <w:szCs w:val="20"/>
          <w:lang w:val="en-GB"/>
        </w:rPr>
        <w:t>-e</w:t>
      </w:r>
      <w:r>
        <w:rPr>
          <w:rFonts w:ascii="Arial" w:hAnsi="Arial" w:cs="Arial"/>
          <w:bCs/>
          <w:color w:val="000000"/>
          <w:sz w:val="20"/>
          <w:szCs w:val="20"/>
          <w:lang w:val="en-GB"/>
        </w:rPr>
        <w:t xml:space="preserve">                                    10 – 19 October 2022</w:t>
      </w:r>
      <w:r>
        <w:rPr>
          <w:rFonts w:ascii="Arial" w:hAnsi="Arial" w:cs="Arial"/>
          <w:bCs/>
          <w:color w:val="000000"/>
          <w:sz w:val="20"/>
          <w:szCs w:val="20"/>
          <w:lang w:val="en-GB"/>
        </w:rPr>
        <w:tab/>
      </w:r>
      <w:r>
        <w:rPr>
          <w:rFonts w:ascii="Arial" w:hAnsi="Arial" w:cs="Arial"/>
          <w:bCs/>
          <w:color w:val="000000"/>
          <w:sz w:val="20"/>
          <w:szCs w:val="20"/>
          <w:lang w:val="en-GB"/>
        </w:rPr>
        <w:tab/>
      </w:r>
      <w:r>
        <w:rPr>
          <w:rFonts w:ascii="Arial" w:hAnsi="Arial" w:cs="Arial"/>
          <w:bCs/>
          <w:color w:val="000000"/>
          <w:sz w:val="20"/>
          <w:szCs w:val="20"/>
          <w:lang w:val="en-GB"/>
        </w:rPr>
        <w:tab/>
      </w:r>
      <w:r w:rsidR="00734AFD">
        <w:rPr>
          <w:rFonts w:ascii="Arial" w:hAnsi="Arial" w:cs="Arial"/>
          <w:bCs/>
          <w:color w:val="000000"/>
          <w:sz w:val="20"/>
          <w:szCs w:val="20"/>
          <w:lang w:val="en-GB"/>
        </w:rPr>
        <w:t xml:space="preserve">        </w:t>
      </w:r>
      <w:r>
        <w:rPr>
          <w:rFonts w:ascii="Arial" w:hAnsi="Arial" w:cs="Arial"/>
          <w:bCs/>
          <w:color w:val="000000"/>
          <w:sz w:val="20"/>
          <w:szCs w:val="20"/>
          <w:lang w:val="en-GB"/>
        </w:rPr>
        <w:t>online</w:t>
      </w:r>
    </w:p>
    <w:p w14:paraId="23822DEB" w14:textId="46FC854E" w:rsidR="005F051E" w:rsidRPr="005F051E" w:rsidRDefault="005F051E" w:rsidP="005F051E">
      <w:pPr>
        <w:tabs>
          <w:tab w:val="left" w:pos="5103"/>
        </w:tabs>
        <w:autoSpaceDE/>
        <w:autoSpaceDN/>
        <w:adjustRightInd/>
        <w:snapToGrid/>
        <w:ind w:left="2268" w:hanging="2268"/>
        <w:jc w:val="left"/>
        <w:rPr>
          <w:rFonts w:ascii="Arial" w:hAnsi="Arial" w:cs="Arial"/>
          <w:bCs/>
          <w:color w:val="000000"/>
          <w:sz w:val="20"/>
          <w:szCs w:val="20"/>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 xml:space="preserve">1        </w:t>
      </w:r>
      <w:r w:rsidRPr="005F051E">
        <w:rPr>
          <w:rFonts w:ascii="Arial" w:hAnsi="Arial" w:cs="Arial"/>
          <w:bCs/>
          <w:color w:val="000000"/>
          <w:sz w:val="20"/>
          <w:szCs w:val="20"/>
          <w:lang w:val="en-GB"/>
        </w:rPr>
        <w:t xml:space="preserve">                                    1</w:t>
      </w:r>
      <w:r>
        <w:rPr>
          <w:rFonts w:ascii="Arial" w:hAnsi="Arial" w:cs="Arial"/>
          <w:bCs/>
          <w:color w:val="000000"/>
          <w:sz w:val="20"/>
          <w:szCs w:val="20"/>
          <w:lang w:val="en-GB"/>
        </w:rPr>
        <w:t>1</w:t>
      </w:r>
      <w:r w:rsidRPr="005F051E">
        <w:rPr>
          <w:rFonts w:ascii="Arial" w:hAnsi="Arial" w:cs="Arial"/>
          <w:bCs/>
          <w:color w:val="000000"/>
          <w:sz w:val="20"/>
          <w:szCs w:val="20"/>
          <w:lang w:val="en-GB"/>
        </w:rPr>
        <w:t xml:space="preserve"> – 1</w:t>
      </w:r>
      <w:r>
        <w:rPr>
          <w:rFonts w:ascii="Arial" w:hAnsi="Arial" w:cs="Arial"/>
          <w:bCs/>
          <w:color w:val="000000"/>
          <w:sz w:val="20"/>
          <w:szCs w:val="20"/>
          <w:lang w:val="en-GB"/>
        </w:rPr>
        <w:t>4</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Pr>
          <w:rFonts w:ascii="Arial" w:hAnsi="Arial" w:cs="Arial"/>
          <w:bCs/>
          <w:color w:val="000000"/>
          <w:sz w:val="20"/>
          <w:szCs w:val="20"/>
          <w:lang w:val="en-GB"/>
        </w:rPr>
        <w:t>Canada</w:t>
      </w:r>
    </w:p>
    <w:p w14:paraId="6F5030A2" w14:textId="77777777" w:rsidR="005F051E" w:rsidRPr="005F051E" w:rsidRDefault="005F051E" w:rsidP="008E224B">
      <w:pPr>
        <w:tabs>
          <w:tab w:val="left" w:pos="5103"/>
        </w:tabs>
        <w:autoSpaceDE/>
        <w:autoSpaceDN/>
        <w:adjustRightInd/>
        <w:snapToGrid/>
        <w:ind w:left="2268" w:hanging="2268"/>
        <w:jc w:val="left"/>
        <w:rPr>
          <w:rFonts w:ascii="Arial" w:hAnsi="Arial" w:cs="Arial"/>
          <w:bCs/>
          <w:color w:val="000000"/>
          <w:sz w:val="20"/>
          <w:szCs w:val="20"/>
          <w:lang w:val="en-GB"/>
        </w:rPr>
      </w:pP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6C9C9" w14:textId="77777777" w:rsidR="004538B7" w:rsidRDefault="004538B7">
      <w:r>
        <w:separator/>
      </w:r>
    </w:p>
  </w:endnote>
  <w:endnote w:type="continuationSeparator" w:id="0">
    <w:p w14:paraId="5A10257E" w14:textId="77777777" w:rsidR="004538B7" w:rsidRDefault="0045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690E7" w14:textId="77777777" w:rsidR="004538B7" w:rsidRDefault="004538B7">
      <w:r>
        <w:separator/>
      </w:r>
    </w:p>
  </w:footnote>
  <w:footnote w:type="continuationSeparator" w:id="0">
    <w:p w14:paraId="388107AA" w14:textId="77777777" w:rsidR="004538B7" w:rsidRDefault="00453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6"/>
  </w:num>
  <w:num w:numId="4">
    <w:abstractNumId w:val="21"/>
  </w:num>
  <w:num w:numId="5">
    <w:abstractNumId w:val="18"/>
  </w:num>
  <w:num w:numId="6">
    <w:abstractNumId w:val="8"/>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9"/>
  </w:num>
  <w:num w:numId="13">
    <w:abstractNumId w:val="1"/>
  </w:num>
  <w:num w:numId="14">
    <w:abstractNumId w:val="19"/>
  </w:num>
  <w:num w:numId="15">
    <w:abstractNumId w:val="6"/>
  </w:num>
  <w:num w:numId="16">
    <w:abstractNumId w:val="1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9"/>
  </w:num>
  <w:num w:numId="21">
    <w:abstractNumId w:val="4"/>
  </w:num>
  <w:num w:numId="22">
    <w:abstractNumId w:val="24"/>
  </w:num>
  <w:num w:numId="23">
    <w:abstractNumId w:val="20"/>
  </w:num>
  <w:num w:numId="24">
    <w:abstractNumId w:val="5"/>
  </w:num>
  <w:num w:numId="25">
    <w:abstractNumId w:val="28"/>
  </w:num>
  <w:num w:numId="26">
    <w:abstractNumId w:val="12"/>
  </w:num>
  <w:num w:numId="27">
    <w:abstractNumId w:val="25"/>
  </w:num>
  <w:num w:numId="28">
    <w:abstractNumId w:val="2"/>
  </w:num>
  <w:num w:numId="29">
    <w:abstractNumId w:val="23"/>
  </w:num>
  <w:num w:numId="30">
    <w:abstractNumId w:val="16"/>
  </w:num>
  <w:num w:numId="31">
    <w:abstractNumId w:val="17"/>
  </w:num>
  <w:num w:numId="32">
    <w:abstractNumId w:val="27"/>
  </w:num>
  <w:num w:numId="33">
    <w:abstractNumId w:val="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B09"/>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C1AB6-4745-49A3-80EA-3CF3F333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jinhuan</cp:lastModifiedBy>
  <cp:revision>124</cp:revision>
  <cp:lastPrinted>2007-06-18T22:08:00Z</cp:lastPrinted>
  <dcterms:created xsi:type="dcterms:W3CDTF">2021-12-22T03:02:00Z</dcterms:created>
  <dcterms:modified xsi:type="dcterms:W3CDTF">2022-08-12T08:31:00Z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(3)0GhtJmezu7CaiAWcjvfGXvrk0BrQS2C7JT5EfkA8ps1o4nEAPQydB6wvPZg2UwQlS13rtciu
gMIRBt5gF/hAZN6+yf+GAao5kE2sYlEXrHFP/zsgQz96aH06R0ErRz8691z4/rbY6nIi8ixO
COQWgt8W4QQS+oQOkX4AjcJmcTSj17HVjL6ypXQNdFpSunFsfSXzG2jqVRg6M6WxGxQE34vY
ObwU7CUGE0riiixLkY</vt:lpwstr>
  </property>
  <property fmtid="{D5CDD505-2E9C-101B-9397-08002B2CF9AE}" pid="13" name="_2015_ms_pID_725343_00">
    <vt:lpwstr>_2015_ms_pID_725343</vt:lpwstr>
  </property>
  <property fmtid="{D5CDD505-2E9C-101B-9397-08002B2CF9AE}" pid="14" name="_2015_ms_pID_7253431">
    <vt:lpwstr>vHHJ81JG/3beE54UHGo6jaC76yKbjnimp3krz+QQBNU4WiRrYRxYOL
a1/tYkJZll2vwusetvl+ebsGNjWG4MaEO5MiXS6221NxIgG5yeUH7ajRQEVTcn09F53ymTwC
sTKnSw3LHXLrWBM5NtE7PJFhPkdccxr0AVVHrlJt7RJGU3aIckapeL4xnQbQgnZgF/ReAug7
QYogBVdM47ohnNtcErKpDVYGl0pmXu3e6dMo</vt:lpwstr>
  </property>
  <property fmtid="{D5CDD505-2E9C-101B-9397-08002B2CF9AE}" pid="15" name="_2015_ms_pID_7253431_00">
    <vt:lpwstr>_2015_ms_pID_7253431</vt:lpwstr>
  </property>
  <property fmtid="{D5CDD505-2E9C-101B-9397-08002B2CF9AE}" pid="16" name="_2015_ms_pID_7253432">
    <vt:lpwstr>ks7vIE7GWZd8Yv5FZ6EzPBZlegZtIqJ91kAG
2f6wOEhg+5ZJSynEA7AUQFleVE6JUw==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1660293059</vt:lpwstr>
  </property>
</Properties>
</file>