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4274297" w14:textId="74773CBD" w:rsidR="000451E3" w:rsidRPr="00021E89" w:rsidRDefault="000451E3" w:rsidP="000451E3">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768E6F86" wp14:editId="515965C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410F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w:t>
      </w:r>
      <w:r w:rsidR="009D05E9">
        <w:rPr>
          <w:b/>
          <w:lang w:eastAsia="zh-CN"/>
        </w:rPr>
        <w:t>10</w:t>
      </w:r>
      <w:r w:rsidRPr="00021E89">
        <w:rPr>
          <w:b/>
          <w:kern w:val="2"/>
          <w:lang w:eastAsia="zh-CN"/>
        </w:rPr>
        <w:tab/>
      </w:r>
      <w:r w:rsidR="00874C09" w:rsidRPr="00EF71F3">
        <w:rPr>
          <w:b/>
          <w:kern w:val="2"/>
          <w:lang w:eastAsia="zh-CN"/>
        </w:rPr>
        <w:t>R1-22</w:t>
      </w:r>
      <w:r w:rsidR="00EF71F3" w:rsidRPr="00EF71F3">
        <w:rPr>
          <w:b/>
          <w:kern w:val="2"/>
          <w:lang w:eastAsia="zh-CN"/>
        </w:rPr>
        <w:t>07520</w:t>
      </w:r>
      <w:bookmarkStart w:id="1" w:name="_GoBack"/>
      <w:bookmarkEnd w:id="1"/>
    </w:p>
    <w:p w14:paraId="31326D0E" w14:textId="7ECBF50F" w:rsidR="000451E3" w:rsidRPr="00BE6DE5" w:rsidRDefault="00BE6DE5" w:rsidP="000451E3">
      <w:pPr>
        <w:spacing w:afterLines="50"/>
        <w:rPr>
          <w:b/>
          <w:kern w:val="2"/>
          <w:lang w:val="en-GB" w:eastAsia="zh-CN"/>
        </w:rPr>
      </w:pPr>
      <w:r w:rsidRPr="00BE6DE5">
        <w:rPr>
          <w:b/>
          <w:kern w:val="2"/>
          <w:lang w:val="en-GB" w:eastAsia="zh-CN"/>
        </w:rPr>
        <w:t>Toulouse, France, August 22 – 26, 2022</w:t>
      </w:r>
    </w:p>
    <w:bookmarkEnd w:id="0"/>
    <w:p w14:paraId="3D2B8FE4" w14:textId="73989E18" w:rsidR="009C0564" w:rsidRPr="00BE6DE5" w:rsidRDefault="009C0564" w:rsidP="00173F76">
      <w:pPr>
        <w:pBdr>
          <w:top w:val="single" w:sz="4" w:space="1" w:color="auto"/>
        </w:pBdr>
        <w:spacing w:after="0"/>
        <w:rPr>
          <w:b/>
          <w:kern w:val="2"/>
          <w:sz w:val="16"/>
          <w:szCs w:val="16"/>
          <w:lang w:val="en-GB" w:eastAsia="zh-CN"/>
        </w:rPr>
      </w:pPr>
    </w:p>
    <w:p w14:paraId="4B3C0381" w14:textId="0AEC14DE"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2A41FC">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proofErr w:type="spellStart"/>
      <w:r w:rsidR="006F5015">
        <w:rPr>
          <w:b/>
          <w:lang w:eastAsia="zh-CN"/>
        </w:rPr>
        <w:t>HiSilicon</w:t>
      </w:r>
      <w:bookmarkEnd w:id="2"/>
      <w:bookmarkEnd w:id="3"/>
      <w:proofErr w:type="spellEnd"/>
    </w:p>
    <w:p w14:paraId="5CCD9BDC" w14:textId="4831C539"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9D05E9" w:rsidRPr="009D05E9">
        <w:rPr>
          <w:b/>
          <w:kern w:val="2"/>
          <w:lang w:eastAsia="zh-CN"/>
        </w:rPr>
        <w:t xml:space="preserve">Discussion on the LS on the CCA configurations of </w:t>
      </w:r>
      <w:proofErr w:type="spellStart"/>
      <w:r w:rsidR="009D05E9" w:rsidRPr="009D05E9">
        <w:rPr>
          <w:b/>
          <w:kern w:val="2"/>
          <w:lang w:eastAsia="zh-CN"/>
        </w:rPr>
        <w:t>neighbour</w:t>
      </w:r>
      <w:proofErr w:type="spellEnd"/>
      <w:r w:rsidR="009D05E9" w:rsidRPr="009D05E9">
        <w:rPr>
          <w:b/>
          <w:kern w:val="2"/>
          <w:lang w:eastAsia="zh-CN"/>
        </w:rPr>
        <w:t xml:space="preserve"> cell</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28123FE6" w14:textId="08520161" w:rsidR="00491940" w:rsidRDefault="002A41FC" w:rsidP="002A41FC">
      <w:pPr>
        <w:pStyle w:val="ae"/>
        <w:rPr>
          <w:lang w:val="en-US"/>
        </w:rPr>
      </w:pPr>
      <w:r w:rsidRPr="002B14A9">
        <w:rPr>
          <w:lang w:val="en-US"/>
        </w:rPr>
        <w:t xml:space="preserve">In </w:t>
      </w:r>
      <w:r w:rsidR="00491940">
        <w:rPr>
          <w:lang w:val="en-US"/>
        </w:rPr>
        <w:t>RAN4#103e meeting</w:t>
      </w:r>
      <w:r w:rsidRPr="002B14A9">
        <w:rPr>
          <w:lang w:val="en-US"/>
        </w:rPr>
        <w:t xml:space="preserve">, </w:t>
      </w:r>
      <w:r w:rsidR="009D05E9">
        <w:rPr>
          <w:lang w:val="en-US"/>
        </w:rPr>
        <w:t>a</w:t>
      </w:r>
      <w:r w:rsidRPr="002B14A9">
        <w:rPr>
          <w:lang w:val="en-US"/>
        </w:rPr>
        <w:t xml:space="preserve"> LS </w:t>
      </w:r>
      <w:r w:rsidR="00C07099">
        <w:rPr>
          <w:lang w:val="en-US"/>
        </w:rPr>
        <w:fldChar w:fldCharType="begin"/>
      </w:r>
      <w:r w:rsidR="00C07099">
        <w:rPr>
          <w:lang w:val="en-US"/>
        </w:rPr>
        <w:instrText xml:space="preserve"> REF _Ref524600064 \r \h </w:instrText>
      </w:r>
      <w:r w:rsidR="00C07099">
        <w:rPr>
          <w:lang w:val="en-US"/>
        </w:rPr>
      </w:r>
      <w:r w:rsidR="00C07099">
        <w:rPr>
          <w:lang w:val="en-US"/>
        </w:rPr>
        <w:fldChar w:fldCharType="separate"/>
      </w:r>
      <w:r w:rsidR="00C07099">
        <w:rPr>
          <w:lang w:val="en-US"/>
        </w:rPr>
        <w:t>[1]</w:t>
      </w:r>
      <w:r w:rsidR="00C07099">
        <w:rPr>
          <w:lang w:val="en-US"/>
        </w:rPr>
        <w:fldChar w:fldCharType="end"/>
      </w:r>
      <w:r w:rsidRPr="002B14A9">
        <w:rPr>
          <w:lang w:val="en-US"/>
        </w:rPr>
        <w:t xml:space="preserve"> is sent to RAN1</w:t>
      </w:r>
      <w:r w:rsidR="00491940">
        <w:rPr>
          <w:lang w:val="en-US"/>
        </w:rPr>
        <w:t xml:space="preserve"> to ask about the </w:t>
      </w:r>
      <w:r w:rsidR="00FE39E7">
        <w:rPr>
          <w:lang w:val="en-US"/>
        </w:rPr>
        <w:t>LBT</w:t>
      </w:r>
      <w:r w:rsidR="00491940">
        <w:rPr>
          <w:lang w:val="en-US"/>
        </w:rPr>
        <w:t xml:space="preserve"> configurations for neighbor cell measurement, which is shown </w:t>
      </w:r>
      <w:r w:rsidRPr="002B14A9">
        <w:rPr>
          <w:lang w:val="en-US"/>
        </w:rPr>
        <w:t>as follows.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2"/>
      </w:tblGrid>
      <w:tr w:rsidR="00EF51E1" w:rsidRPr="002B14A9" w14:paraId="695E2A5A" w14:textId="77777777" w:rsidTr="00BB5166">
        <w:trPr>
          <w:trHeight w:val="848"/>
        </w:trPr>
        <w:tc>
          <w:tcPr>
            <w:tcW w:w="9498" w:type="dxa"/>
          </w:tcPr>
          <w:p w14:paraId="106BB53C" w14:textId="77777777" w:rsidR="00491940" w:rsidRPr="00740AA7" w:rsidRDefault="00491940" w:rsidP="00491940">
            <w:pPr>
              <w:rPr>
                <w:rFonts w:ascii="Arial" w:hAnsi="Arial" w:cs="Arial"/>
                <w:b/>
              </w:rPr>
            </w:pPr>
            <w:r w:rsidRPr="00740AA7">
              <w:rPr>
                <w:rFonts w:ascii="Arial" w:hAnsi="Arial" w:cs="Arial"/>
                <w:b/>
              </w:rPr>
              <w:t>1. Overall Description:</w:t>
            </w:r>
          </w:p>
          <w:p w14:paraId="0F1487A1" w14:textId="77777777" w:rsidR="00491940" w:rsidRDefault="00491940" w:rsidP="00491940">
            <w:pPr>
              <w:rPr>
                <w:rFonts w:ascii="Arial" w:hAnsi="Arial" w:cs="Arial"/>
              </w:rPr>
            </w:pPr>
            <w:r w:rsidRPr="2D287C37">
              <w:rPr>
                <w:rFonts w:ascii="Arial" w:hAnsi="Arial" w:cs="Arial"/>
              </w:rPr>
              <w:t xml:space="preserve">During RAN4 discussion, it was identified </w:t>
            </w:r>
            <w:r>
              <w:rPr>
                <w:rFonts w:ascii="Arial" w:hAnsi="Arial" w:cs="Arial"/>
              </w:rPr>
              <w:t xml:space="preserve">to be beneficial for a </w:t>
            </w:r>
            <w:r w:rsidRPr="2D287C37">
              <w:rPr>
                <w:rFonts w:ascii="Arial" w:hAnsi="Arial" w:cs="Arial"/>
              </w:rPr>
              <w:t xml:space="preserve">UE </w:t>
            </w:r>
            <w:r>
              <w:rPr>
                <w:rFonts w:ascii="Arial" w:hAnsi="Arial" w:cs="Arial"/>
              </w:rPr>
              <w:t xml:space="preserve">to know </w:t>
            </w:r>
            <w:r w:rsidRPr="2D287C37">
              <w:rPr>
                <w:rFonts w:ascii="Arial" w:hAnsi="Arial" w:cs="Arial"/>
              </w:rPr>
              <w:t xml:space="preserve">whether CCA is being used in </w:t>
            </w:r>
            <w:proofErr w:type="spellStart"/>
            <w:r w:rsidRPr="2D287C37">
              <w:rPr>
                <w:rFonts w:ascii="Arial" w:hAnsi="Arial" w:cs="Arial"/>
              </w:rPr>
              <w:t>neighbour</w:t>
            </w:r>
            <w:proofErr w:type="spellEnd"/>
            <w:r w:rsidRPr="2D287C37">
              <w:rPr>
                <w:rFonts w:ascii="Arial" w:hAnsi="Arial" w:cs="Arial"/>
              </w:rPr>
              <w:t xml:space="preserve"> cells where it is performing measurements or RRM procedures</w:t>
            </w:r>
            <w:r>
              <w:rPr>
                <w:rFonts w:ascii="Arial" w:hAnsi="Arial" w:cs="Arial"/>
              </w:rPr>
              <w:t xml:space="preserve">, since </w:t>
            </w:r>
            <w:r w:rsidRPr="2D287C37">
              <w:rPr>
                <w:rFonts w:ascii="Arial" w:hAnsi="Arial" w:cs="Arial"/>
              </w:rPr>
              <w:t>CCA is not mandatory in FR2-2</w:t>
            </w:r>
            <w:r>
              <w:rPr>
                <w:rFonts w:ascii="Arial" w:hAnsi="Arial" w:cs="Arial"/>
              </w:rPr>
              <w:t xml:space="preserve"> i</w:t>
            </w:r>
            <w:r w:rsidRPr="2D287C37">
              <w:rPr>
                <w:rFonts w:ascii="Arial" w:hAnsi="Arial" w:cs="Arial"/>
              </w:rPr>
              <w:t>n some regions. If the UE does</w:t>
            </w:r>
            <w:r>
              <w:rPr>
                <w:rFonts w:ascii="Arial" w:hAnsi="Arial" w:cs="Arial"/>
              </w:rPr>
              <w:t xml:space="preserve"> not</w:t>
            </w:r>
            <w:r w:rsidRPr="2D287C37">
              <w:rPr>
                <w:rFonts w:ascii="Arial" w:hAnsi="Arial" w:cs="Arial"/>
              </w:rPr>
              <w:t xml:space="preserve"> know the CCA configuration of a cell it is performing measurements, it </w:t>
            </w:r>
            <w:r>
              <w:rPr>
                <w:rFonts w:ascii="Arial" w:hAnsi="Arial" w:cs="Arial"/>
              </w:rPr>
              <w:t xml:space="preserve">may not </w:t>
            </w:r>
            <w:r w:rsidRPr="2D287C37">
              <w:rPr>
                <w:rFonts w:ascii="Arial" w:hAnsi="Arial" w:cs="Arial"/>
              </w:rPr>
              <w:t>know which requirements will apply</w:t>
            </w:r>
            <w:r>
              <w:rPr>
                <w:rFonts w:ascii="Arial" w:hAnsi="Arial" w:cs="Arial"/>
              </w:rPr>
              <w:t xml:space="preserve"> in RRC_IDLE state and in RRC_CONNECTED state</w:t>
            </w:r>
            <w:r w:rsidRPr="2D287C37">
              <w:rPr>
                <w:rFonts w:ascii="Arial" w:hAnsi="Arial" w:cs="Arial"/>
              </w:rPr>
              <w:t>.</w:t>
            </w:r>
          </w:p>
          <w:p w14:paraId="21A3F43F" w14:textId="77777777" w:rsidR="00491940" w:rsidRDefault="00491940" w:rsidP="00491940">
            <w:pPr>
              <w:rPr>
                <w:rFonts w:ascii="Arial" w:eastAsia="Malgun Gothic" w:hAnsi="Arial" w:cs="Arial"/>
                <w:lang w:eastAsia="ko-KR"/>
              </w:rPr>
            </w:pPr>
          </w:p>
          <w:p w14:paraId="29DDD6AD" w14:textId="77777777" w:rsidR="00491940" w:rsidRDefault="00491940" w:rsidP="00491940">
            <w:pPr>
              <w:rPr>
                <w:rFonts w:ascii="Arial" w:eastAsia="Malgun Gothic" w:hAnsi="Arial" w:cs="Arial"/>
                <w:lang w:eastAsia="ko-KR"/>
              </w:rPr>
            </w:pPr>
            <w:r w:rsidRPr="2D287C37">
              <w:rPr>
                <w:rFonts w:ascii="Arial" w:eastAsia="Malgun Gothic" w:hAnsi="Arial" w:cs="Arial"/>
                <w:lang w:eastAsia="ko-KR"/>
              </w:rPr>
              <w:t xml:space="preserve">Therefore, RAN4 respectfully asks RAN1 and RAN2 to </w:t>
            </w:r>
            <w:r>
              <w:rPr>
                <w:rFonts w:ascii="Arial" w:eastAsia="Malgun Gothic" w:hAnsi="Arial" w:cs="Arial"/>
                <w:lang w:eastAsia="ko-KR"/>
              </w:rPr>
              <w:t xml:space="preserve">share views on </w:t>
            </w:r>
            <w:r w:rsidRPr="2D287C37">
              <w:rPr>
                <w:rFonts w:ascii="Arial" w:eastAsia="Malgun Gothic" w:hAnsi="Arial" w:cs="Arial"/>
                <w:lang w:eastAsia="ko-KR"/>
              </w:rPr>
              <w:t>whether</w:t>
            </w:r>
            <w:r>
              <w:rPr>
                <w:rFonts w:ascii="Arial" w:eastAsia="Malgun Gothic" w:hAnsi="Arial" w:cs="Arial"/>
                <w:lang w:eastAsia="ko-KR"/>
              </w:rPr>
              <w:t xml:space="preserve"> and how</w:t>
            </w:r>
            <w:r w:rsidRPr="2D287C37">
              <w:rPr>
                <w:rFonts w:ascii="Arial" w:eastAsia="Malgun Gothic" w:hAnsi="Arial" w:cs="Arial"/>
                <w:lang w:eastAsia="ko-KR"/>
              </w:rPr>
              <w:t xml:space="preserve"> the information about the channel access mode used by </w:t>
            </w:r>
            <w:proofErr w:type="spellStart"/>
            <w:r w:rsidRPr="2D287C37">
              <w:rPr>
                <w:rFonts w:ascii="Arial" w:eastAsia="Malgun Gothic" w:hAnsi="Arial" w:cs="Arial"/>
                <w:lang w:eastAsia="ko-KR"/>
              </w:rPr>
              <w:t>neighbour</w:t>
            </w:r>
            <w:proofErr w:type="spellEnd"/>
            <w:r w:rsidRPr="2D287C37">
              <w:rPr>
                <w:rFonts w:ascii="Arial" w:eastAsia="Malgun Gothic" w:hAnsi="Arial" w:cs="Arial"/>
                <w:lang w:eastAsia="ko-KR"/>
              </w:rPr>
              <w:t xml:space="preserve"> cells is </w:t>
            </w:r>
            <w:r>
              <w:rPr>
                <w:rFonts w:ascii="Arial" w:eastAsia="Malgun Gothic" w:hAnsi="Arial" w:cs="Arial"/>
                <w:lang w:eastAsia="ko-KR"/>
              </w:rPr>
              <w:t xml:space="preserve">made </w:t>
            </w:r>
            <w:r w:rsidRPr="2D287C37">
              <w:rPr>
                <w:rFonts w:ascii="Arial" w:eastAsia="Malgun Gothic" w:hAnsi="Arial" w:cs="Arial"/>
                <w:lang w:eastAsia="ko-KR"/>
              </w:rPr>
              <w:t>available to the UE</w:t>
            </w:r>
            <w:r>
              <w:rPr>
                <w:rFonts w:ascii="Arial" w:eastAsia="Malgun Gothic" w:hAnsi="Arial" w:cs="Arial"/>
                <w:lang w:eastAsia="ko-KR"/>
              </w:rPr>
              <w:t xml:space="preserve"> </w:t>
            </w:r>
            <w:r>
              <w:rPr>
                <w:rFonts w:ascii="Arial" w:hAnsi="Arial" w:cs="Arial"/>
              </w:rPr>
              <w:t>in RRC_IDLE state and</w:t>
            </w:r>
            <w:r>
              <w:rPr>
                <w:rFonts w:ascii="Arial" w:eastAsia="Malgun Gothic" w:hAnsi="Arial" w:cs="Arial"/>
                <w:lang w:eastAsia="ko-KR"/>
              </w:rPr>
              <w:t xml:space="preserve"> in RRC_CONNECTED state.</w:t>
            </w:r>
            <w:r w:rsidRPr="2D287C37">
              <w:rPr>
                <w:rFonts w:ascii="Arial" w:eastAsia="Malgun Gothic" w:hAnsi="Arial" w:cs="Arial"/>
                <w:lang w:eastAsia="ko-KR"/>
              </w:rPr>
              <w:t xml:space="preserve"> </w:t>
            </w:r>
          </w:p>
          <w:p w14:paraId="3E8170C2" w14:textId="77777777" w:rsidR="00491940" w:rsidRPr="00740AA7" w:rsidRDefault="00491940" w:rsidP="00491940">
            <w:pPr>
              <w:rPr>
                <w:rFonts w:ascii="Arial" w:hAnsi="Arial" w:cs="Arial"/>
              </w:rPr>
            </w:pPr>
          </w:p>
          <w:p w14:paraId="06CF8804" w14:textId="77777777" w:rsidR="00491940" w:rsidRPr="00740AA7" w:rsidRDefault="00491940" w:rsidP="00491940">
            <w:pPr>
              <w:rPr>
                <w:rFonts w:ascii="Arial" w:hAnsi="Arial" w:cs="Arial"/>
                <w:b/>
              </w:rPr>
            </w:pPr>
            <w:r w:rsidRPr="00740AA7">
              <w:rPr>
                <w:rFonts w:ascii="Arial" w:hAnsi="Arial" w:cs="Arial"/>
                <w:b/>
              </w:rPr>
              <w:t>2. Actions:</w:t>
            </w:r>
          </w:p>
          <w:p w14:paraId="62A1A425" w14:textId="77777777" w:rsidR="00491940" w:rsidRPr="00740AA7" w:rsidRDefault="00491940" w:rsidP="00491940">
            <w:pPr>
              <w:rPr>
                <w:rFonts w:ascii="Arial" w:hAnsi="Arial" w:cs="Arial"/>
                <w:b/>
              </w:rPr>
            </w:pPr>
            <w:r w:rsidRPr="00740AA7">
              <w:rPr>
                <w:rFonts w:ascii="Arial" w:hAnsi="Arial" w:cs="Arial"/>
                <w:b/>
              </w:rPr>
              <w:t>To RAN</w:t>
            </w:r>
            <w:r>
              <w:rPr>
                <w:rFonts w:ascii="Arial" w:hAnsi="Arial" w:cs="Arial"/>
                <w:b/>
              </w:rPr>
              <w:t>1 and RAN2</w:t>
            </w:r>
            <w:r w:rsidRPr="00740AA7">
              <w:rPr>
                <w:rFonts w:ascii="Arial" w:hAnsi="Arial" w:cs="Arial"/>
                <w:b/>
              </w:rPr>
              <w:t xml:space="preserve"> group:</w:t>
            </w:r>
          </w:p>
          <w:p w14:paraId="7B398988" w14:textId="4F54AA3B" w:rsidR="00EF51E1" w:rsidRPr="00491940" w:rsidRDefault="00491940" w:rsidP="00EF51E1">
            <w:pPr>
              <w:rPr>
                <w:rFonts w:ascii="Arial" w:eastAsia="Malgun Gothic" w:hAnsi="Arial" w:cs="Arial"/>
                <w:lang w:eastAsia="ko-KR"/>
              </w:rPr>
            </w:pPr>
            <w:r w:rsidRPr="2D287C37">
              <w:rPr>
                <w:rFonts w:ascii="Arial" w:hAnsi="Arial" w:cs="Arial"/>
                <w:b/>
                <w:bCs/>
              </w:rPr>
              <w:t xml:space="preserve">ACTION: </w:t>
            </w:r>
            <w:r>
              <w:tab/>
            </w:r>
            <w:r w:rsidRPr="2D287C37">
              <w:rPr>
                <w:rFonts w:ascii="Arial" w:eastAsia="Malgun Gothic" w:hAnsi="Arial" w:cs="Arial"/>
                <w:lang w:eastAsia="ko-KR"/>
              </w:rPr>
              <w:t xml:space="preserve">RAN4 respectfully asks RAN1 and RAN2 to </w:t>
            </w:r>
            <w:r>
              <w:rPr>
                <w:rFonts w:ascii="Arial" w:eastAsia="Malgun Gothic" w:hAnsi="Arial" w:cs="Arial"/>
                <w:lang w:eastAsia="ko-KR"/>
              </w:rPr>
              <w:t xml:space="preserve">share views on </w:t>
            </w:r>
            <w:r w:rsidRPr="2D287C37">
              <w:rPr>
                <w:rFonts w:ascii="Arial" w:eastAsia="Malgun Gothic" w:hAnsi="Arial" w:cs="Arial"/>
                <w:lang w:eastAsia="ko-KR"/>
              </w:rPr>
              <w:t>whether</w:t>
            </w:r>
            <w:r>
              <w:rPr>
                <w:rFonts w:ascii="Arial" w:eastAsia="Malgun Gothic" w:hAnsi="Arial" w:cs="Arial"/>
                <w:lang w:eastAsia="ko-KR"/>
              </w:rPr>
              <w:t xml:space="preserve"> and how</w:t>
            </w:r>
            <w:r w:rsidRPr="2D287C37">
              <w:rPr>
                <w:rFonts w:ascii="Arial" w:eastAsia="Malgun Gothic" w:hAnsi="Arial" w:cs="Arial"/>
                <w:lang w:eastAsia="ko-KR"/>
              </w:rPr>
              <w:t xml:space="preserve"> the information about the channel access mode used by </w:t>
            </w:r>
            <w:proofErr w:type="spellStart"/>
            <w:r w:rsidRPr="2D287C37">
              <w:rPr>
                <w:rFonts w:ascii="Arial" w:eastAsia="Malgun Gothic" w:hAnsi="Arial" w:cs="Arial"/>
                <w:lang w:eastAsia="ko-KR"/>
              </w:rPr>
              <w:t>neighbour</w:t>
            </w:r>
            <w:proofErr w:type="spellEnd"/>
            <w:r w:rsidRPr="2D287C37">
              <w:rPr>
                <w:rFonts w:ascii="Arial" w:eastAsia="Malgun Gothic" w:hAnsi="Arial" w:cs="Arial"/>
                <w:lang w:eastAsia="ko-KR"/>
              </w:rPr>
              <w:t xml:space="preserve"> cells is </w:t>
            </w:r>
            <w:r>
              <w:rPr>
                <w:rFonts w:ascii="Arial" w:eastAsia="Malgun Gothic" w:hAnsi="Arial" w:cs="Arial"/>
                <w:lang w:eastAsia="ko-KR"/>
              </w:rPr>
              <w:t xml:space="preserve">made </w:t>
            </w:r>
            <w:r w:rsidRPr="2D287C37">
              <w:rPr>
                <w:rFonts w:ascii="Arial" w:eastAsia="Malgun Gothic" w:hAnsi="Arial" w:cs="Arial"/>
                <w:lang w:eastAsia="ko-KR"/>
              </w:rPr>
              <w:t>available to the UE</w:t>
            </w:r>
            <w:r>
              <w:rPr>
                <w:rFonts w:ascii="Arial" w:eastAsia="Malgun Gothic" w:hAnsi="Arial" w:cs="Arial"/>
                <w:lang w:eastAsia="ko-KR"/>
              </w:rPr>
              <w:t xml:space="preserve"> </w:t>
            </w:r>
            <w:r>
              <w:rPr>
                <w:rFonts w:ascii="Arial" w:hAnsi="Arial" w:cs="Arial"/>
              </w:rPr>
              <w:t>in RRC_IDLE state and</w:t>
            </w:r>
            <w:r>
              <w:rPr>
                <w:rFonts w:ascii="Arial" w:eastAsia="Malgun Gothic" w:hAnsi="Arial" w:cs="Arial"/>
                <w:lang w:eastAsia="ko-KR"/>
              </w:rPr>
              <w:t xml:space="preserve"> in RRC_CONNECTED state</w:t>
            </w:r>
            <w:r w:rsidRPr="2D287C37">
              <w:rPr>
                <w:rFonts w:ascii="Arial" w:eastAsia="Malgun Gothic" w:hAnsi="Arial" w:cs="Arial"/>
                <w:lang w:eastAsia="ko-KR"/>
              </w:rPr>
              <w:t>.</w:t>
            </w:r>
          </w:p>
        </w:tc>
      </w:tr>
    </w:tbl>
    <w:p w14:paraId="5073DA65" w14:textId="77777777" w:rsidR="009D05E9" w:rsidRDefault="009D05E9" w:rsidP="008E5F91">
      <w:pPr>
        <w:pStyle w:val="ae"/>
        <w:rPr>
          <w:lang w:val="en-US"/>
        </w:rPr>
      </w:pPr>
    </w:p>
    <w:p w14:paraId="7E1386E6" w14:textId="078E2EAF" w:rsidR="00491940" w:rsidRDefault="00491940" w:rsidP="008E5F91">
      <w:pPr>
        <w:pStyle w:val="ae"/>
        <w:rPr>
          <w:lang w:val="en-US"/>
        </w:rPr>
      </w:pPr>
      <w:r>
        <w:rPr>
          <w:lang w:val="en-US"/>
        </w:rPr>
        <w:t>Based on the LS, RAN1 is expected to reply on whether and how UE can determine the channel access mode assumption for neighbor cell measurement. In this contribution, considerations are provided regarding the issue.</w:t>
      </w:r>
    </w:p>
    <w:p w14:paraId="74A1A8D1" w14:textId="77777777" w:rsidR="009D05E9" w:rsidRPr="00491940" w:rsidRDefault="009D05E9" w:rsidP="008E5F91">
      <w:pPr>
        <w:pStyle w:val="ae"/>
        <w:rPr>
          <w:lang w:val="en-US"/>
        </w:rPr>
      </w:pPr>
    </w:p>
    <w:p w14:paraId="2FD87A92" w14:textId="3C918390" w:rsidR="00366B75" w:rsidRDefault="00D86160" w:rsidP="00B9650B">
      <w:pPr>
        <w:pStyle w:val="1"/>
        <w:rPr>
          <w:lang w:eastAsia="zh-CN"/>
        </w:rPr>
      </w:pPr>
      <w:bookmarkStart w:id="6" w:name="OLE_LINK69"/>
      <w:bookmarkStart w:id="7" w:name="OLE_LINK70"/>
      <w:bookmarkStart w:id="8" w:name="_Ref129681832"/>
      <w:r>
        <w:rPr>
          <w:lang w:eastAsia="zh-CN"/>
        </w:rPr>
        <w:t>Discussion</w:t>
      </w:r>
    </w:p>
    <w:p w14:paraId="41581745" w14:textId="7E9622F4" w:rsidR="00AB32EB" w:rsidRDefault="0050093F" w:rsidP="00D21235">
      <w:r>
        <w:rPr>
          <w:lang w:val="en-AU" w:eastAsia="zh-CN"/>
        </w:rPr>
        <w:t xml:space="preserve">According to the LS from RAN4, it is identified that </w:t>
      </w:r>
      <w:r>
        <w:t xml:space="preserve">channel access mode information is needed for neighbor cell measurement and other RRM procedures. Requirements in RAN4 are differentiated between carriers with/without </w:t>
      </w:r>
      <w:r w:rsidR="003A480B">
        <w:t>LBT</w:t>
      </w:r>
      <w:r>
        <w:t xml:space="preserve">. For the requirements for operation with </w:t>
      </w:r>
      <w:r w:rsidR="003A480B">
        <w:t>LBT</w:t>
      </w:r>
      <w:r>
        <w:t xml:space="preserve">, some measurement results may be considered as “unavailable”, and the corresponding delay is extended accordingly. Different from Rel-16 NRU, where </w:t>
      </w:r>
      <w:r w:rsidR="003A480B">
        <w:t>LBT</w:t>
      </w:r>
      <w:r>
        <w:t xml:space="preserve"> is always needed, </w:t>
      </w:r>
      <w:r w:rsidR="003A480B">
        <w:t>LBT</w:t>
      </w:r>
      <w:r>
        <w:t xml:space="preserve"> procedure in FR2-2 is optional in some region</w:t>
      </w:r>
      <w:r w:rsidR="003A480B">
        <w:t>s</w:t>
      </w:r>
      <w:r>
        <w:t xml:space="preserve">. </w:t>
      </w:r>
      <w:r w:rsidR="006F3A88">
        <w:t xml:space="preserve">Thus, UE may have different understanding on how to treat the obtained results of neighbor cells without the </w:t>
      </w:r>
      <w:r w:rsidR="003A480B">
        <w:t>LBT</w:t>
      </w:r>
      <w:r w:rsidR="00090C3F">
        <w:t xml:space="preserve"> assumptions, and </w:t>
      </w:r>
      <w:proofErr w:type="spellStart"/>
      <w:r w:rsidR="00090C3F">
        <w:t>gNB</w:t>
      </w:r>
      <w:proofErr w:type="spellEnd"/>
      <w:r w:rsidR="00090C3F">
        <w:t xml:space="preserve"> may misunderstand the reported measurement results as some measurement samples are dropped as unavailable ones. </w:t>
      </w:r>
    </w:p>
    <w:p w14:paraId="64CAF021" w14:textId="6FEBB1E1" w:rsidR="006F3A88" w:rsidRDefault="00834A87" w:rsidP="00D21235">
      <w:pPr>
        <w:rPr>
          <w:lang w:eastAsia="sv-SE"/>
        </w:rPr>
      </w:pPr>
      <w:r>
        <w:rPr>
          <w:lang w:eastAsia="zh-CN"/>
        </w:rPr>
        <w:t>In</w:t>
      </w:r>
      <w:r w:rsidR="00CF1EEE">
        <w:rPr>
          <w:lang w:eastAsia="zh-CN"/>
        </w:rPr>
        <w:t xml:space="preserve"> TS37.213, the channel access procedure is performed </w:t>
      </w:r>
      <w:r w:rsidR="005302F6">
        <w:rPr>
          <w:lang w:eastAsia="zh-CN"/>
        </w:rPr>
        <w:t xml:space="preserve">by </w:t>
      </w:r>
      <w:proofErr w:type="spellStart"/>
      <w:r w:rsidR="005302F6">
        <w:rPr>
          <w:lang w:eastAsia="zh-CN"/>
        </w:rPr>
        <w:t>gNB</w:t>
      </w:r>
      <w:proofErr w:type="spellEnd"/>
      <w:r w:rsidR="005302F6">
        <w:rPr>
          <w:lang w:eastAsia="zh-CN"/>
        </w:rPr>
        <w:t xml:space="preserve"> or UE </w:t>
      </w:r>
      <w:r w:rsidR="00CF1EEE">
        <w:rPr>
          <w:lang w:eastAsia="zh-CN"/>
        </w:rPr>
        <w:t xml:space="preserve">when </w:t>
      </w:r>
      <w:r w:rsidR="005302F6">
        <w:rPr>
          <w:lang w:eastAsia="zh-CN"/>
        </w:rPr>
        <w:t xml:space="preserve">required by regulations </w:t>
      </w:r>
      <w:r w:rsidR="005302F6">
        <w:t xml:space="preserve">or when a </w:t>
      </w:r>
      <w:proofErr w:type="spellStart"/>
      <w:r w:rsidR="005302F6">
        <w:t>gNB</w:t>
      </w:r>
      <w:proofErr w:type="spellEnd"/>
      <w:r w:rsidR="005302F6">
        <w:t xml:space="preserve"> provides UE(s) with higher layer parameters </w:t>
      </w:r>
      <w:r w:rsidR="005302F6">
        <w:rPr>
          <w:i/>
          <w:iCs/>
        </w:rPr>
        <w:t>channelAccessMode2-r17</w:t>
      </w:r>
      <w:r w:rsidR="005302F6">
        <w:t xml:space="preserve"> by SIB1 or dedicated configuration. </w:t>
      </w:r>
      <w:r w:rsidR="00CE65F9">
        <w:t>T</w:t>
      </w:r>
      <w:r w:rsidR="005302F6">
        <w:t xml:space="preserve">he </w:t>
      </w:r>
      <w:r w:rsidR="00CE65F9">
        <w:rPr>
          <w:rFonts w:hint="eastAsia"/>
          <w:lang w:eastAsia="zh-CN"/>
        </w:rPr>
        <w:t>con</w:t>
      </w:r>
      <w:r w:rsidR="00CE65F9">
        <w:t xml:space="preserve">figuration of </w:t>
      </w:r>
      <w:r w:rsidR="00CE65F9">
        <w:rPr>
          <w:i/>
          <w:iCs/>
        </w:rPr>
        <w:t>channelAccessMode2-r17=’enable’</w:t>
      </w:r>
      <w:r w:rsidR="00CE65F9" w:rsidRPr="00CE65F9">
        <w:rPr>
          <w:iCs/>
        </w:rPr>
        <w:t xml:space="preserve"> is also</w:t>
      </w:r>
      <w:r w:rsidR="00CE65F9">
        <w:rPr>
          <w:iCs/>
        </w:rPr>
        <w:t xml:space="preserve"> used by UE to determine the applicability of features </w:t>
      </w:r>
      <w:r w:rsidR="00916021">
        <w:rPr>
          <w:iCs/>
        </w:rPr>
        <w:t>due to channel access</w:t>
      </w:r>
      <w:r w:rsidR="00417CA1">
        <w:rPr>
          <w:iCs/>
        </w:rPr>
        <w:t xml:space="preserve">, such as periodic </w:t>
      </w:r>
      <w:r w:rsidR="00CE65F9">
        <w:rPr>
          <w:iCs/>
        </w:rPr>
        <w:t xml:space="preserve">CSI-RS validation. </w:t>
      </w:r>
      <w:r w:rsidR="00916021">
        <w:t>However</w:t>
      </w:r>
      <w:r w:rsidR="007147E9">
        <w:t xml:space="preserve">, the </w:t>
      </w:r>
      <w:r w:rsidR="007147E9" w:rsidRPr="007147E9">
        <w:rPr>
          <w:i/>
        </w:rPr>
        <w:lastRenderedPageBreak/>
        <w:t>channelAccessMode2</w:t>
      </w:r>
      <w:r w:rsidR="007147E9">
        <w:t xml:space="preserve"> </w:t>
      </w:r>
      <w:r w:rsidR="00916021">
        <w:t>is only indicated for serving cell</w:t>
      </w:r>
      <w:r w:rsidR="007147E9">
        <w:rPr>
          <w:lang w:eastAsia="sv-SE"/>
        </w:rPr>
        <w:t>.</w:t>
      </w:r>
      <w:r w:rsidR="00F14FE7">
        <w:rPr>
          <w:lang w:eastAsia="sv-SE"/>
        </w:rPr>
        <w:t xml:space="preserve"> Thus, regarding RAN4’s question in the LS, there is no </w:t>
      </w:r>
      <w:r w:rsidR="00F14FE7" w:rsidRPr="00F14FE7">
        <w:rPr>
          <w:lang w:eastAsia="sv-SE"/>
        </w:rPr>
        <w:t>information about the channel access mode used by neighbor cells</w:t>
      </w:r>
      <w:r w:rsidR="00F14FE7">
        <w:rPr>
          <w:lang w:eastAsia="sv-SE"/>
        </w:rPr>
        <w:t xml:space="preserve"> from RAN1’s perspective.</w:t>
      </w:r>
    </w:p>
    <w:p w14:paraId="1B6285FD" w14:textId="49665901" w:rsidR="00F14FE7" w:rsidRPr="00B52842" w:rsidRDefault="00F14FE7" w:rsidP="00D21235">
      <w:pPr>
        <w:rPr>
          <w:b/>
          <w:lang w:eastAsia="sv-SE"/>
        </w:rPr>
      </w:pPr>
      <w:r w:rsidRPr="00A913CF">
        <w:rPr>
          <w:b/>
          <w:i/>
          <w:lang w:eastAsia="sv-SE"/>
        </w:rPr>
        <w:t>Observation 1:</w:t>
      </w:r>
      <w:r w:rsidR="00B52842" w:rsidRPr="00B52842">
        <w:rPr>
          <w:b/>
          <w:lang w:eastAsia="sv-SE"/>
        </w:rPr>
        <w:t xml:space="preserve"> </w:t>
      </w:r>
      <w:r w:rsidR="00B52842" w:rsidRPr="001E3F84">
        <w:rPr>
          <w:i/>
          <w:lang w:eastAsia="sv-SE"/>
        </w:rPr>
        <w:t>There is no channel access mode information for neighbor cell from RAN1’s perspective.</w:t>
      </w:r>
      <w:r w:rsidR="00B52842" w:rsidRPr="00B52842">
        <w:rPr>
          <w:b/>
          <w:lang w:eastAsia="sv-SE"/>
        </w:rPr>
        <w:t xml:space="preserve"> </w:t>
      </w:r>
    </w:p>
    <w:p w14:paraId="5A39857C" w14:textId="386FE123" w:rsidR="006F3A88" w:rsidRDefault="00FB4FC9" w:rsidP="00D21235">
      <w:r>
        <w:t xml:space="preserve">The issued described in RAN4’s LS is similar as determining the QCL assumption among candidate SSB positions when UE performs neighbor cell measurement. </w:t>
      </w:r>
      <w:r w:rsidRPr="00FB4FC9">
        <w:rPr>
          <w:i/>
        </w:rPr>
        <w:t>SSB-</w:t>
      </w:r>
      <w:proofErr w:type="spellStart"/>
      <w:r w:rsidRPr="00FB4FC9">
        <w:rPr>
          <w:i/>
        </w:rPr>
        <w:t>PositionQCL</w:t>
      </w:r>
      <w:proofErr w:type="spellEnd"/>
      <w:r w:rsidRPr="00FB4FC9">
        <w:rPr>
          <w:i/>
        </w:rPr>
        <w:t>-Relation</w:t>
      </w:r>
      <w:r>
        <w:t xml:space="preserve"> is </w:t>
      </w:r>
      <w:r w:rsidR="002F08AE">
        <w:t>included</w:t>
      </w:r>
      <w:r>
        <w:t xml:space="preserve"> in </w:t>
      </w:r>
      <w:r w:rsidRPr="00FB4FC9">
        <w:rPr>
          <w:i/>
        </w:rPr>
        <w:t>SIB2/3/4</w:t>
      </w:r>
      <w:r>
        <w:t xml:space="preserve"> and </w:t>
      </w:r>
      <w:proofErr w:type="spellStart"/>
      <w:r w:rsidRPr="00FB4FC9">
        <w:rPr>
          <w:i/>
        </w:rPr>
        <w:t>MeasObjectNR</w:t>
      </w:r>
      <w:proofErr w:type="spellEnd"/>
      <w:r>
        <w:t xml:space="preserve"> for IDLE mode and CONNECTED mode neighbor cell measurement.</w:t>
      </w:r>
      <w:r w:rsidR="002F08AE">
        <w:t xml:space="preserve"> In FR2-2, </w:t>
      </w:r>
      <w:r w:rsidR="002F08AE" w:rsidRPr="002F08AE">
        <w:rPr>
          <w:i/>
        </w:rPr>
        <w:t>SSB-</w:t>
      </w:r>
      <w:proofErr w:type="spellStart"/>
      <w:r w:rsidR="002F08AE" w:rsidRPr="002F08AE">
        <w:rPr>
          <w:i/>
        </w:rPr>
        <w:t>PositionQCL</w:t>
      </w:r>
      <w:proofErr w:type="spellEnd"/>
      <w:r w:rsidR="002F08AE" w:rsidRPr="002F08AE">
        <w:rPr>
          <w:i/>
        </w:rPr>
        <w:t>-Relation</w:t>
      </w:r>
      <w:r w:rsidR="002F08AE">
        <w:t xml:space="preserve"> can be configured as 32 or 64.</w:t>
      </w:r>
      <w:r>
        <w:t xml:space="preserve"> </w:t>
      </w:r>
      <w:r w:rsidR="002F08AE">
        <w:t xml:space="preserve">If </w:t>
      </w:r>
      <w:r w:rsidR="002F08AE" w:rsidRPr="002F08AE">
        <w:t>SSB-</w:t>
      </w:r>
      <w:proofErr w:type="spellStart"/>
      <w:r w:rsidR="002F08AE" w:rsidRPr="002F08AE">
        <w:t>PositionQCL</w:t>
      </w:r>
      <w:proofErr w:type="spellEnd"/>
      <w:r w:rsidR="002F08AE" w:rsidRPr="002F08AE">
        <w:t xml:space="preserve">-Relation </w:t>
      </w:r>
      <w:r w:rsidR="002F08AE">
        <w:t xml:space="preserve">is configured as 32, it implicitly indicates that </w:t>
      </w:r>
      <w:r w:rsidR="003A480B">
        <w:t>LBT</w:t>
      </w:r>
      <w:r w:rsidR="002F08AE">
        <w:t xml:space="preserve"> is used. However, when </w:t>
      </w:r>
      <w:r w:rsidR="002F08AE" w:rsidRPr="002F08AE">
        <w:rPr>
          <w:i/>
        </w:rPr>
        <w:t>SSB-</w:t>
      </w:r>
      <w:proofErr w:type="spellStart"/>
      <w:r w:rsidR="002F08AE" w:rsidRPr="002F08AE">
        <w:rPr>
          <w:i/>
        </w:rPr>
        <w:t>PositionQCL</w:t>
      </w:r>
      <w:proofErr w:type="spellEnd"/>
      <w:r w:rsidR="002F08AE" w:rsidRPr="002F08AE">
        <w:rPr>
          <w:i/>
        </w:rPr>
        <w:t>-Relation</w:t>
      </w:r>
      <w:r w:rsidR="002F08AE">
        <w:t xml:space="preserve"> is configured as 64, </w:t>
      </w:r>
      <w:r w:rsidR="003A480B">
        <w:t xml:space="preserve">the cell can operate in either LBT or non-LBT mode. </w:t>
      </w:r>
    </w:p>
    <w:p w14:paraId="6FD16439" w14:textId="1AE584F0" w:rsidR="001E3F84" w:rsidRPr="001E3F84" w:rsidRDefault="001E3F84" w:rsidP="00D21235">
      <w:pPr>
        <w:rPr>
          <w:b/>
        </w:rPr>
      </w:pPr>
      <w:r w:rsidRPr="001E3F84">
        <w:rPr>
          <w:b/>
        </w:rPr>
        <w:t xml:space="preserve">Observation 2: </w:t>
      </w:r>
      <w:r w:rsidRPr="001E3F84">
        <w:rPr>
          <w:i/>
        </w:rPr>
        <w:t>SSB-</w:t>
      </w:r>
      <w:proofErr w:type="spellStart"/>
      <w:r w:rsidRPr="001E3F84">
        <w:rPr>
          <w:i/>
        </w:rPr>
        <w:t>PositionQCL</w:t>
      </w:r>
      <w:proofErr w:type="spellEnd"/>
      <w:r w:rsidRPr="001E3F84">
        <w:rPr>
          <w:i/>
        </w:rPr>
        <w:t xml:space="preserve">-Relation can reflect the LBT mode of neighbor cell </w:t>
      </w:r>
      <w:r w:rsidR="009D05E9">
        <w:rPr>
          <w:i/>
        </w:rPr>
        <w:t xml:space="preserve">only </w:t>
      </w:r>
      <w:r w:rsidRPr="001E3F84">
        <w:rPr>
          <w:i/>
        </w:rPr>
        <w:t>when it is configured as 32.</w:t>
      </w:r>
    </w:p>
    <w:p w14:paraId="60D8D21F" w14:textId="64F9B127" w:rsidR="001E3F84" w:rsidRDefault="00133075" w:rsidP="00D21235">
      <w:r>
        <w:t xml:space="preserve">A straightforward approach </w:t>
      </w:r>
      <w:r w:rsidR="001E042C">
        <w:t>is</w:t>
      </w:r>
      <w:r>
        <w:t xml:space="preserve"> to indicate the LBT mode assumption explicitly</w:t>
      </w:r>
      <w:r w:rsidR="00D06C80">
        <w:t xml:space="preserve"> with signaling. Similar as </w:t>
      </w:r>
      <w:r w:rsidR="00D06C80" w:rsidRPr="001E3F84">
        <w:rPr>
          <w:i/>
        </w:rPr>
        <w:t>SSB-</w:t>
      </w:r>
      <w:proofErr w:type="spellStart"/>
      <w:r w:rsidR="00D06C80" w:rsidRPr="001E3F84">
        <w:rPr>
          <w:i/>
        </w:rPr>
        <w:t>PositionQCL</w:t>
      </w:r>
      <w:proofErr w:type="spellEnd"/>
      <w:r w:rsidR="00D06C80" w:rsidRPr="001E3F84">
        <w:rPr>
          <w:i/>
        </w:rPr>
        <w:t>-Relation</w:t>
      </w:r>
      <w:r w:rsidR="00D06C80">
        <w:t xml:space="preserve">, </w:t>
      </w:r>
      <w:proofErr w:type="spellStart"/>
      <w:r w:rsidR="00D06C80">
        <w:t>gNB</w:t>
      </w:r>
      <w:proofErr w:type="spellEnd"/>
      <w:r w:rsidR="00D06C80">
        <w:t xml:space="preserve"> </w:t>
      </w:r>
      <w:r w:rsidR="00FB7C34">
        <w:t>can</w:t>
      </w:r>
      <w:r w:rsidR="00D06C80">
        <w:t xml:space="preserve"> include </w:t>
      </w:r>
      <w:r w:rsidR="00C15ED8">
        <w:rPr>
          <w:i/>
          <w:iCs/>
        </w:rPr>
        <w:t>channelAccessMode2-r17</w:t>
      </w:r>
      <w:r w:rsidR="00D06C80">
        <w:t xml:space="preserve"> for neighbor cells in SIB2/3/4 for IDLE mode and in </w:t>
      </w:r>
      <w:proofErr w:type="spellStart"/>
      <w:r w:rsidR="00D06C80" w:rsidRPr="00FB4FC9">
        <w:rPr>
          <w:i/>
        </w:rPr>
        <w:t>MeasObjectNR</w:t>
      </w:r>
      <w:proofErr w:type="spellEnd"/>
      <w:r w:rsidR="00D06C80">
        <w:rPr>
          <w:i/>
        </w:rPr>
        <w:t xml:space="preserve"> </w:t>
      </w:r>
      <w:r w:rsidR="00FB7C34">
        <w:t xml:space="preserve">for CONNECTED mode, and UE shall perform neighbor cell measurement based on the LBT mode indication accordingly. </w:t>
      </w:r>
    </w:p>
    <w:p w14:paraId="6F04A19C" w14:textId="402ADC98" w:rsidR="00FB7C34" w:rsidRPr="00FB7C34" w:rsidRDefault="00FB7C34" w:rsidP="00D21235">
      <w:pPr>
        <w:rPr>
          <w:i/>
        </w:rPr>
      </w:pPr>
      <w:r w:rsidRPr="00FB7C34">
        <w:rPr>
          <w:b/>
          <w:i/>
        </w:rPr>
        <w:t>Proposal 1:</w:t>
      </w:r>
      <w:r w:rsidRPr="00FB7C34">
        <w:rPr>
          <w:i/>
        </w:rPr>
        <w:t xml:space="preserve"> In</w:t>
      </w:r>
      <w:r w:rsidR="00F3797A">
        <w:rPr>
          <w:i/>
        </w:rPr>
        <w:t xml:space="preserve">clude </w:t>
      </w:r>
      <w:r w:rsidR="00F3797A">
        <w:rPr>
          <w:i/>
          <w:iCs/>
        </w:rPr>
        <w:t>channelAccessMode2-r17</w:t>
      </w:r>
      <w:r w:rsidRPr="00FB7C34">
        <w:rPr>
          <w:i/>
        </w:rPr>
        <w:t xml:space="preserve"> in SIB</w:t>
      </w:r>
      <w:r w:rsidR="00F3797A">
        <w:rPr>
          <w:i/>
        </w:rPr>
        <w:t>2/3/4</w:t>
      </w:r>
      <w:r w:rsidRPr="00FB7C34">
        <w:rPr>
          <w:i/>
        </w:rPr>
        <w:t xml:space="preserve"> and </w:t>
      </w:r>
      <w:proofErr w:type="spellStart"/>
      <w:r w:rsidRPr="00FB7C34">
        <w:rPr>
          <w:i/>
        </w:rPr>
        <w:t>MeasObjectNR</w:t>
      </w:r>
      <w:proofErr w:type="spellEnd"/>
      <w:r w:rsidRPr="00FB7C34">
        <w:rPr>
          <w:i/>
        </w:rPr>
        <w:t xml:space="preserve"> for neighbor cell measurement if needed</w:t>
      </w:r>
      <w:r w:rsidR="00F3797A">
        <w:rPr>
          <w:i/>
        </w:rPr>
        <w:t xml:space="preserve"> and send LS to RAN2 and RAN4</w:t>
      </w:r>
    </w:p>
    <w:p w14:paraId="2A260425" w14:textId="77777777" w:rsidR="00133075" w:rsidRPr="001E3F84" w:rsidRDefault="00133075" w:rsidP="00D21235"/>
    <w:bookmarkEnd w:id="6"/>
    <w:bookmarkEnd w:id="7"/>
    <w:p w14:paraId="11E03632" w14:textId="77777777" w:rsidR="00DC5E0E" w:rsidRDefault="00747F48" w:rsidP="00173F76">
      <w:pPr>
        <w:pStyle w:val="1"/>
      </w:pPr>
      <w:r w:rsidRPr="00CF195E">
        <w:t>Conclusion</w:t>
      </w:r>
    </w:p>
    <w:p w14:paraId="40D2BBC7" w14:textId="40754BE6" w:rsidR="009D05E9" w:rsidRDefault="009D05E9" w:rsidP="00FB7C34">
      <w:pPr>
        <w:rPr>
          <w:b/>
          <w:i/>
          <w:lang w:eastAsia="zh-CN"/>
        </w:rPr>
      </w:pPr>
      <w:r>
        <w:rPr>
          <w:b/>
          <w:i/>
          <w:lang w:eastAsia="zh-CN"/>
        </w:rPr>
        <w:t>Based on the discussion above, we had following observations and proposal.</w:t>
      </w:r>
    </w:p>
    <w:p w14:paraId="031F661A" w14:textId="77777777" w:rsidR="009D05E9" w:rsidRDefault="009D05E9" w:rsidP="009D05E9">
      <w:pPr>
        <w:rPr>
          <w:b/>
          <w:i/>
          <w:lang w:eastAsia="sv-SE"/>
        </w:rPr>
      </w:pPr>
    </w:p>
    <w:p w14:paraId="328BA2F5" w14:textId="1EB79016" w:rsidR="009D05E9" w:rsidRPr="00B52842" w:rsidRDefault="009D05E9" w:rsidP="009D05E9">
      <w:pPr>
        <w:rPr>
          <w:b/>
          <w:lang w:eastAsia="sv-SE"/>
        </w:rPr>
      </w:pPr>
      <w:r w:rsidRPr="00A913CF">
        <w:rPr>
          <w:b/>
          <w:i/>
          <w:lang w:eastAsia="sv-SE"/>
        </w:rPr>
        <w:t>Observation 1:</w:t>
      </w:r>
      <w:r w:rsidRPr="00B52842">
        <w:rPr>
          <w:b/>
          <w:lang w:eastAsia="sv-SE"/>
        </w:rPr>
        <w:t xml:space="preserve"> </w:t>
      </w:r>
      <w:r w:rsidRPr="001E3F84">
        <w:rPr>
          <w:i/>
          <w:lang w:eastAsia="sv-SE"/>
        </w:rPr>
        <w:t>There is no channel access mode information for neighbor cell from RAN1’s perspective.</w:t>
      </w:r>
      <w:r w:rsidRPr="00B52842">
        <w:rPr>
          <w:b/>
          <w:lang w:eastAsia="sv-SE"/>
        </w:rPr>
        <w:t xml:space="preserve"> </w:t>
      </w:r>
    </w:p>
    <w:p w14:paraId="795DCE12" w14:textId="77777777" w:rsidR="009D05E9" w:rsidRPr="001E3F84" w:rsidRDefault="009D05E9" w:rsidP="009D05E9">
      <w:pPr>
        <w:rPr>
          <w:b/>
        </w:rPr>
      </w:pPr>
      <w:r w:rsidRPr="001E3F84">
        <w:rPr>
          <w:b/>
        </w:rPr>
        <w:t xml:space="preserve">Observation 2: </w:t>
      </w:r>
      <w:r w:rsidRPr="001E3F84">
        <w:rPr>
          <w:i/>
        </w:rPr>
        <w:t>SSB-</w:t>
      </w:r>
      <w:proofErr w:type="spellStart"/>
      <w:r w:rsidRPr="001E3F84">
        <w:rPr>
          <w:i/>
        </w:rPr>
        <w:t>PositionQCL</w:t>
      </w:r>
      <w:proofErr w:type="spellEnd"/>
      <w:r w:rsidRPr="001E3F84">
        <w:rPr>
          <w:i/>
        </w:rPr>
        <w:t xml:space="preserve">-Relation can reflect the LBT mode of neighbor cell </w:t>
      </w:r>
      <w:r>
        <w:rPr>
          <w:i/>
        </w:rPr>
        <w:t xml:space="preserve">only </w:t>
      </w:r>
      <w:r w:rsidRPr="001E3F84">
        <w:rPr>
          <w:i/>
        </w:rPr>
        <w:t>when it is configured as 32.</w:t>
      </w:r>
    </w:p>
    <w:p w14:paraId="6EED9556" w14:textId="77777777" w:rsidR="009D05E9" w:rsidRPr="009D05E9" w:rsidRDefault="009D05E9" w:rsidP="00FB7C34">
      <w:pPr>
        <w:rPr>
          <w:b/>
          <w:i/>
          <w:lang w:eastAsia="zh-CN"/>
        </w:rPr>
      </w:pPr>
    </w:p>
    <w:p w14:paraId="1FFBD8C5" w14:textId="722998AB" w:rsidR="00FB7C34" w:rsidRPr="00FB7C34" w:rsidRDefault="00FB7C34" w:rsidP="00FB7C34">
      <w:pPr>
        <w:rPr>
          <w:i/>
        </w:rPr>
      </w:pPr>
      <w:r w:rsidRPr="00FB7C34">
        <w:rPr>
          <w:b/>
          <w:i/>
        </w:rPr>
        <w:t>Proposal 1:</w:t>
      </w:r>
      <w:r w:rsidRPr="00FB7C34">
        <w:rPr>
          <w:i/>
        </w:rPr>
        <w:t xml:space="preserve"> Introduce indication </w:t>
      </w:r>
      <w:r>
        <w:rPr>
          <w:i/>
        </w:rPr>
        <w:t>of</w:t>
      </w:r>
      <w:r w:rsidRPr="00FB7C34">
        <w:rPr>
          <w:i/>
        </w:rPr>
        <w:t xml:space="preserve"> LBT mode assumption in SIB and </w:t>
      </w:r>
      <w:proofErr w:type="spellStart"/>
      <w:r w:rsidRPr="00FB7C34">
        <w:rPr>
          <w:i/>
        </w:rPr>
        <w:t>MeasObjectNR</w:t>
      </w:r>
      <w:proofErr w:type="spellEnd"/>
      <w:r w:rsidRPr="00FB7C34">
        <w:rPr>
          <w:i/>
        </w:rPr>
        <w:t xml:space="preserve"> for neighbor cell measurement if needed.</w:t>
      </w:r>
    </w:p>
    <w:p w14:paraId="28A729F1" w14:textId="77777777" w:rsidR="00906C14" w:rsidRPr="00FB7C34" w:rsidRDefault="00906C14" w:rsidP="00750490"/>
    <w:p w14:paraId="577EA5BB" w14:textId="77777777" w:rsidR="001D780E" w:rsidRPr="00CF195E" w:rsidRDefault="001D780E" w:rsidP="00A17D19">
      <w:pPr>
        <w:pStyle w:val="1"/>
        <w:numPr>
          <w:ilvl w:val="0"/>
          <w:numId w:val="0"/>
        </w:numPr>
        <w:ind w:left="432" w:hanging="432"/>
      </w:pPr>
      <w:bookmarkStart w:id="9" w:name="_Ref124589665"/>
      <w:bookmarkStart w:id="10" w:name="_Ref71620620"/>
      <w:bookmarkStart w:id="11" w:name="_Ref124671424"/>
      <w:r w:rsidRPr="00CF195E">
        <w:t>References</w:t>
      </w:r>
    </w:p>
    <w:p w14:paraId="73D483A1" w14:textId="4291E802" w:rsidR="008A2F51" w:rsidRDefault="00491940" w:rsidP="00491940">
      <w:pPr>
        <w:pStyle w:val="References"/>
      </w:pPr>
      <w:bookmarkStart w:id="12" w:name="_Ref524600064"/>
      <w:bookmarkStart w:id="13" w:name="_Ref534986801"/>
      <w:bookmarkStart w:id="14" w:name="_Ref20661344"/>
      <w:bookmarkEnd w:id="8"/>
      <w:bookmarkEnd w:id="9"/>
      <w:bookmarkEnd w:id="10"/>
      <w:bookmarkEnd w:id="11"/>
      <w:r w:rsidRPr="00491940">
        <w:t>R</w:t>
      </w:r>
      <w:r w:rsidR="00A76ACB">
        <w:t>1</w:t>
      </w:r>
      <w:r w:rsidRPr="00491940">
        <w:t>-</w:t>
      </w:r>
      <w:r w:rsidR="00A76ACB">
        <w:t>2205714</w:t>
      </w:r>
      <w:r w:rsidR="00EC5971">
        <w:t>, “</w:t>
      </w:r>
      <w:r w:rsidRPr="00491940">
        <w:t xml:space="preserve">LS on CCA configurations of </w:t>
      </w:r>
      <w:proofErr w:type="spellStart"/>
      <w:r w:rsidRPr="00491940">
        <w:t>neighbour</w:t>
      </w:r>
      <w:proofErr w:type="spellEnd"/>
      <w:r w:rsidRPr="00491940">
        <w:t xml:space="preserve"> cells</w:t>
      </w:r>
      <w:r w:rsidR="00EC5971">
        <w:t>”,</w:t>
      </w:r>
      <w:r w:rsidR="00EC5971" w:rsidRPr="00EC5971">
        <w:t xml:space="preserve"> </w:t>
      </w:r>
      <w:r w:rsidR="001A1444" w:rsidRPr="001A1444">
        <w:t>TSG RAN WG</w:t>
      </w:r>
      <w:r>
        <w:t>4</w:t>
      </w:r>
      <w:r w:rsidR="001A1444" w:rsidRPr="001A1444">
        <w:t xml:space="preserve"> #10</w:t>
      </w:r>
      <w:r>
        <w:t>3</w:t>
      </w:r>
      <w:r w:rsidR="001A1444" w:rsidRPr="001A1444">
        <w:t>-e</w:t>
      </w:r>
      <w:r w:rsidR="001A1444">
        <w:t xml:space="preserve">, </w:t>
      </w:r>
      <w:r>
        <w:t>May 9th – 20</w:t>
      </w:r>
      <w:r w:rsidR="001A1444" w:rsidRPr="001A1444">
        <w:t>th, 202</w:t>
      </w:r>
      <w:r>
        <w:t>2</w:t>
      </w:r>
      <w:r w:rsidR="00EC5971">
        <w:t>.</w:t>
      </w:r>
      <w:bookmarkStart w:id="15" w:name="_Ref54360332"/>
      <w:bookmarkEnd w:id="12"/>
      <w:bookmarkEnd w:id="13"/>
      <w:bookmarkEnd w:id="14"/>
      <w:bookmarkEnd w:id="15"/>
    </w:p>
    <w:p w14:paraId="596BD084" w14:textId="604E8793" w:rsidR="004A3471" w:rsidRDefault="004A3471" w:rsidP="00D40BF5">
      <w:pPr>
        <w:pStyle w:val="References"/>
        <w:numPr>
          <w:ilvl w:val="0"/>
          <w:numId w:val="0"/>
        </w:numPr>
        <w:rPr>
          <w:lang w:eastAsia="zh-CN"/>
        </w:rPr>
      </w:pPr>
    </w:p>
    <w:sectPr w:rsidR="004A3471" w:rsidSect="005426B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35DB1" w14:textId="77777777" w:rsidR="00450778" w:rsidRDefault="00450778">
      <w:r>
        <w:separator/>
      </w:r>
    </w:p>
  </w:endnote>
  <w:endnote w:type="continuationSeparator" w:id="0">
    <w:p w14:paraId="4BCFE0AA" w14:textId="77777777" w:rsidR="00450778" w:rsidRDefault="0045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42EC5" w14:textId="77777777" w:rsidR="00450778" w:rsidRDefault="00450778">
      <w:r>
        <w:separator/>
      </w:r>
    </w:p>
  </w:footnote>
  <w:footnote w:type="continuationSeparator" w:id="0">
    <w:p w14:paraId="2B47785D" w14:textId="77777777" w:rsidR="00450778" w:rsidRDefault="00450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1E2126"/>
    <w:multiLevelType w:val="hybridMultilevel"/>
    <w:tmpl w:val="549659F4"/>
    <w:lvl w:ilvl="0" w:tplc="C7800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09046D"/>
    <w:multiLevelType w:val="hybridMultilevel"/>
    <w:tmpl w:val="0A604B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27"/>
  </w:num>
  <w:num w:numId="4">
    <w:abstractNumId w:val="10"/>
  </w:num>
  <w:num w:numId="5">
    <w:abstractNumId w:val="18"/>
  </w:num>
  <w:num w:numId="6">
    <w:abstractNumId w:val="3"/>
  </w:num>
  <w:num w:numId="7">
    <w:abstractNumId w:val="1"/>
  </w:num>
  <w:num w:numId="8">
    <w:abstractNumId w:val="57"/>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44"/>
  </w:num>
  <w:num w:numId="19">
    <w:abstractNumId w:val="0"/>
  </w:num>
  <w:num w:numId="20">
    <w:abstractNumId w:val="42"/>
  </w:num>
  <w:num w:numId="21">
    <w:abstractNumId w:val="31"/>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40"/>
  </w:num>
  <w:num w:numId="37">
    <w:abstractNumId w:val="34"/>
  </w:num>
  <w:num w:numId="38">
    <w:abstractNumId w:val="17"/>
  </w:num>
  <w:num w:numId="39">
    <w:abstractNumId w:val="33"/>
  </w:num>
  <w:num w:numId="40">
    <w:abstractNumId w:val="30"/>
  </w:num>
  <w:num w:numId="41">
    <w:abstractNumId w:val="15"/>
  </w:num>
  <w:num w:numId="42">
    <w:abstractNumId w:val="38"/>
  </w:num>
  <w:num w:numId="43">
    <w:abstractNumId w:val="46"/>
  </w:num>
  <w:num w:numId="44">
    <w:abstractNumId w:val="41"/>
  </w:num>
  <w:num w:numId="45">
    <w:abstractNumId w:val="45"/>
  </w:num>
  <w:num w:numId="46">
    <w:abstractNumId w:val="25"/>
  </w:num>
  <w:num w:numId="47">
    <w:abstractNumId w:val="52"/>
  </w:num>
  <w:num w:numId="48">
    <w:abstractNumId w:val="28"/>
  </w:num>
  <w:num w:numId="49">
    <w:abstractNumId w:val="43"/>
  </w:num>
  <w:num w:numId="50">
    <w:abstractNumId w:val="48"/>
  </w:num>
  <w:num w:numId="51">
    <w:abstractNumId w:val="56"/>
  </w:num>
  <w:num w:numId="52">
    <w:abstractNumId w:val="16"/>
  </w:num>
  <w:num w:numId="53">
    <w:abstractNumId w:val="55"/>
  </w:num>
  <w:num w:numId="54">
    <w:abstractNumId w:val="36"/>
  </w:num>
  <w:num w:numId="55">
    <w:abstractNumId w:val="5"/>
  </w:num>
  <w:num w:numId="56">
    <w:abstractNumId w:val="23"/>
  </w:num>
  <w:num w:numId="57">
    <w:abstractNumId w:val="12"/>
  </w:num>
  <w:num w:numId="58">
    <w:abstractNumId w:val="58"/>
  </w:num>
  <w:num w:numId="59">
    <w:abstractNumId w:val="51"/>
  </w:num>
  <w:num w:numId="60">
    <w:abstractNumId w:val="20"/>
  </w:num>
  <w:num w:numId="61">
    <w:abstractNumId w:val="54"/>
  </w:num>
  <w:num w:numId="62">
    <w:abstractNumId w:val="39"/>
  </w:num>
  <w:num w:numId="63">
    <w:abstractNumId w:val="35"/>
  </w:num>
  <w:num w:numId="64">
    <w:abstractNumId w:val="49"/>
  </w:num>
  <w:num w:numId="65">
    <w:abstractNumId w:val="53"/>
  </w:num>
  <w:num w:numId="66">
    <w:abstractNumId w:val="9"/>
  </w:num>
  <w:num w:numId="67">
    <w:abstractNumId w:val="24"/>
  </w:num>
  <w:num w:numId="68">
    <w:abstractNumId w:val="22"/>
  </w:num>
  <w:num w:numId="69">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622"/>
    <w:rsid w:val="00037AE4"/>
    <w:rsid w:val="00037E28"/>
    <w:rsid w:val="00037E99"/>
    <w:rsid w:val="00037FE7"/>
    <w:rsid w:val="0004014E"/>
    <w:rsid w:val="0004023E"/>
    <w:rsid w:val="0004024B"/>
    <w:rsid w:val="00040335"/>
    <w:rsid w:val="00040A2D"/>
    <w:rsid w:val="00040DE9"/>
    <w:rsid w:val="00040E16"/>
    <w:rsid w:val="0004145F"/>
    <w:rsid w:val="00041ADA"/>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1E3"/>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B9"/>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3F"/>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2FBD"/>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48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4BC"/>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20B"/>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075"/>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6D99"/>
    <w:rsid w:val="00137005"/>
    <w:rsid w:val="001370D6"/>
    <w:rsid w:val="001372F4"/>
    <w:rsid w:val="001375F0"/>
    <w:rsid w:val="00137907"/>
    <w:rsid w:val="0013799C"/>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018"/>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444"/>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42C"/>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3F84"/>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49"/>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DA4"/>
    <w:rsid w:val="00202E37"/>
    <w:rsid w:val="00203009"/>
    <w:rsid w:val="0020349A"/>
    <w:rsid w:val="002034B4"/>
    <w:rsid w:val="0020375D"/>
    <w:rsid w:val="00204032"/>
    <w:rsid w:val="002041D8"/>
    <w:rsid w:val="002044F1"/>
    <w:rsid w:val="002048FD"/>
    <w:rsid w:val="00204AB7"/>
    <w:rsid w:val="00204BAD"/>
    <w:rsid w:val="00204D60"/>
    <w:rsid w:val="00205550"/>
    <w:rsid w:val="002055CF"/>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1D"/>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BC2"/>
    <w:rsid w:val="00233F21"/>
    <w:rsid w:val="00234151"/>
    <w:rsid w:val="0023428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ECA"/>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A6D"/>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C6A"/>
    <w:rsid w:val="002A1E92"/>
    <w:rsid w:val="002A204D"/>
    <w:rsid w:val="002A2281"/>
    <w:rsid w:val="002A2616"/>
    <w:rsid w:val="002A262E"/>
    <w:rsid w:val="002A26E1"/>
    <w:rsid w:val="002A2837"/>
    <w:rsid w:val="002A298C"/>
    <w:rsid w:val="002A31D9"/>
    <w:rsid w:val="002A337C"/>
    <w:rsid w:val="002A35A6"/>
    <w:rsid w:val="002A368A"/>
    <w:rsid w:val="002A4065"/>
    <w:rsid w:val="002A41FC"/>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3E"/>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551"/>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A89"/>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AE"/>
    <w:rsid w:val="002F08D2"/>
    <w:rsid w:val="002F0B0D"/>
    <w:rsid w:val="002F0C28"/>
    <w:rsid w:val="002F0C74"/>
    <w:rsid w:val="002F0D03"/>
    <w:rsid w:val="002F0DC1"/>
    <w:rsid w:val="002F0F7E"/>
    <w:rsid w:val="002F1075"/>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CD1"/>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3A26"/>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9DE"/>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FC"/>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B0"/>
    <w:rsid w:val="003A18DD"/>
    <w:rsid w:val="003A1C38"/>
    <w:rsid w:val="003A1D65"/>
    <w:rsid w:val="003A1E34"/>
    <w:rsid w:val="003A1F25"/>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480B"/>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CA1"/>
    <w:rsid w:val="00417F09"/>
    <w:rsid w:val="00417FF7"/>
    <w:rsid w:val="00420056"/>
    <w:rsid w:val="0042017A"/>
    <w:rsid w:val="00420B84"/>
    <w:rsid w:val="00420B89"/>
    <w:rsid w:val="00420D86"/>
    <w:rsid w:val="00420F09"/>
    <w:rsid w:val="00420F6A"/>
    <w:rsid w:val="00421503"/>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C04"/>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778"/>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49F8"/>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57"/>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E98"/>
    <w:rsid w:val="004910CF"/>
    <w:rsid w:val="00491940"/>
    <w:rsid w:val="004919ED"/>
    <w:rsid w:val="00491AAC"/>
    <w:rsid w:val="00491CC4"/>
    <w:rsid w:val="00492770"/>
    <w:rsid w:val="00492B9A"/>
    <w:rsid w:val="00493069"/>
    <w:rsid w:val="004935E1"/>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71"/>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6FC1"/>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93F"/>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0EC"/>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2FF"/>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2F6"/>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6B5"/>
    <w:rsid w:val="00542D52"/>
    <w:rsid w:val="00542E3F"/>
    <w:rsid w:val="005430A0"/>
    <w:rsid w:val="0054343A"/>
    <w:rsid w:val="005438FA"/>
    <w:rsid w:val="00543974"/>
    <w:rsid w:val="00543A5E"/>
    <w:rsid w:val="00543E26"/>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660"/>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A763E"/>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3E49"/>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B1"/>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CB2"/>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0F1"/>
    <w:rsid w:val="006243F0"/>
    <w:rsid w:val="006244C9"/>
    <w:rsid w:val="006245F6"/>
    <w:rsid w:val="0062475D"/>
    <w:rsid w:val="0062495F"/>
    <w:rsid w:val="006250C0"/>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0FB7"/>
    <w:rsid w:val="00641071"/>
    <w:rsid w:val="0064165E"/>
    <w:rsid w:val="00641AF6"/>
    <w:rsid w:val="00641D28"/>
    <w:rsid w:val="00641F74"/>
    <w:rsid w:val="00642176"/>
    <w:rsid w:val="00642541"/>
    <w:rsid w:val="00642707"/>
    <w:rsid w:val="00642AE4"/>
    <w:rsid w:val="00642E9B"/>
    <w:rsid w:val="0064314A"/>
    <w:rsid w:val="00643269"/>
    <w:rsid w:val="00643437"/>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232"/>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2F86"/>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0B9"/>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A88"/>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28D"/>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346"/>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BC8"/>
    <w:rsid w:val="00711C6C"/>
    <w:rsid w:val="0071212B"/>
    <w:rsid w:val="00712920"/>
    <w:rsid w:val="00712C42"/>
    <w:rsid w:val="00713095"/>
    <w:rsid w:val="007133FA"/>
    <w:rsid w:val="00713DE4"/>
    <w:rsid w:val="00713E08"/>
    <w:rsid w:val="00713F82"/>
    <w:rsid w:val="0071431F"/>
    <w:rsid w:val="0071436B"/>
    <w:rsid w:val="007145DC"/>
    <w:rsid w:val="00714719"/>
    <w:rsid w:val="007147E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429"/>
    <w:rsid w:val="0075189B"/>
    <w:rsid w:val="0075190E"/>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A71"/>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6E1"/>
    <w:rsid w:val="007E08F5"/>
    <w:rsid w:val="007E1349"/>
    <w:rsid w:val="007E1369"/>
    <w:rsid w:val="007E18CF"/>
    <w:rsid w:val="007E1A1B"/>
    <w:rsid w:val="007E1A53"/>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3C"/>
    <w:rsid w:val="00832C64"/>
    <w:rsid w:val="00832F5C"/>
    <w:rsid w:val="00832FCE"/>
    <w:rsid w:val="00833146"/>
    <w:rsid w:val="00833357"/>
    <w:rsid w:val="00833771"/>
    <w:rsid w:val="00833A85"/>
    <w:rsid w:val="0083423D"/>
    <w:rsid w:val="00834257"/>
    <w:rsid w:val="0083448E"/>
    <w:rsid w:val="008347CB"/>
    <w:rsid w:val="00834826"/>
    <w:rsid w:val="0083483F"/>
    <w:rsid w:val="00834A87"/>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5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3F8"/>
    <w:rsid w:val="0087375B"/>
    <w:rsid w:val="00873E80"/>
    <w:rsid w:val="00873E94"/>
    <w:rsid w:val="00873F15"/>
    <w:rsid w:val="00874096"/>
    <w:rsid w:val="008742C2"/>
    <w:rsid w:val="0087445E"/>
    <w:rsid w:val="008746A5"/>
    <w:rsid w:val="00874C09"/>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359"/>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5F9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3D"/>
    <w:rsid w:val="0090716A"/>
    <w:rsid w:val="00907518"/>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021"/>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0C8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554"/>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17E"/>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84"/>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00A"/>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998"/>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5E9"/>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2FF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A7E"/>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AEC"/>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61"/>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849"/>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ACB"/>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3CF"/>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1"/>
    <w:rsid w:val="00A94786"/>
    <w:rsid w:val="00A949A9"/>
    <w:rsid w:val="00A94E96"/>
    <w:rsid w:val="00A9522C"/>
    <w:rsid w:val="00A95738"/>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0F94"/>
    <w:rsid w:val="00AC109B"/>
    <w:rsid w:val="00AC1613"/>
    <w:rsid w:val="00AC1759"/>
    <w:rsid w:val="00AC1957"/>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54D"/>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3D93"/>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17921"/>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09"/>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42"/>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926"/>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76"/>
    <w:rsid w:val="00BC24BC"/>
    <w:rsid w:val="00BC2832"/>
    <w:rsid w:val="00BC307F"/>
    <w:rsid w:val="00BC3159"/>
    <w:rsid w:val="00BC3257"/>
    <w:rsid w:val="00BC337B"/>
    <w:rsid w:val="00BC34B7"/>
    <w:rsid w:val="00BC3944"/>
    <w:rsid w:val="00BC39DB"/>
    <w:rsid w:val="00BC3A32"/>
    <w:rsid w:val="00BC4305"/>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4F"/>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49"/>
    <w:rsid w:val="00BE49E1"/>
    <w:rsid w:val="00BE4B20"/>
    <w:rsid w:val="00BE5339"/>
    <w:rsid w:val="00BE5FC4"/>
    <w:rsid w:val="00BE61A8"/>
    <w:rsid w:val="00BE656E"/>
    <w:rsid w:val="00BE67BF"/>
    <w:rsid w:val="00BE6DE5"/>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099"/>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48"/>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5ED8"/>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8AC"/>
    <w:rsid w:val="00C37ADF"/>
    <w:rsid w:val="00C4011D"/>
    <w:rsid w:val="00C40330"/>
    <w:rsid w:val="00C40373"/>
    <w:rsid w:val="00C4082D"/>
    <w:rsid w:val="00C40ABF"/>
    <w:rsid w:val="00C40AE6"/>
    <w:rsid w:val="00C4105F"/>
    <w:rsid w:val="00C410A9"/>
    <w:rsid w:val="00C4118F"/>
    <w:rsid w:val="00C411AF"/>
    <w:rsid w:val="00C4138D"/>
    <w:rsid w:val="00C417A2"/>
    <w:rsid w:val="00C417AC"/>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A3B"/>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1A1F"/>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BA3"/>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5F9"/>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1EEE"/>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C80"/>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1FC"/>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8E8"/>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5CE"/>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3D"/>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1F10"/>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06"/>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884"/>
    <w:rsid w:val="00DD3ADB"/>
    <w:rsid w:val="00DD3EF5"/>
    <w:rsid w:val="00DD440A"/>
    <w:rsid w:val="00DD4B76"/>
    <w:rsid w:val="00DD53BA"/>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6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025"/>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864"/>
    <w:rsid w:val="00E35FD8"/>
    <w:rsid w:val="00E36099"/>
    <w:rsid w:val="00E361B8"/>
    <w:rsid w:val="00E36378"/>
    <w:rsid w:val="00E363F6"/>
    <w:rsid w:val="00E364B2"/>
    <w:rsid w:val="00E36A1B"/>
    <w:rsid w:val="00E37277"/>
    <w:rsid w:val="00E37E1B"/>
    <w:rsid w:val="00E401E4"/>
    <w:rsid w:val="00E4033B"/>
    <w:rsid w:val="00E4066D"/>
    <w:rsid w:val="00E406EF"/>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9C3"/>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685"/>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1F81"/>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0DC8"/>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1E1"/>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1F3"/>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A32"/>
    <w:rsid w:val="00F14B7A"/>
    <w:rsid w:val="00F14FE7"/>
    <w:rsid w:val="00F154EA"/>
    <w:rsid w:val="00F155CE"/>
    <w:rsid w:val="00F157FD"/>
    <w:rsid w:val="00F15B12"/>
    <w:rsid w:val="00F15B1D"/>
    <w:rsid w:val="00F160C5"/>
    <w:rsid w:val="00F1653A"/>
    <w:rsid w:val="00F166CA"/>
    <w:rsid w:val="00F172A8"/>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912"/>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3797A"/>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40E"/>
    <w:rsid w:val="00F80601"/>
    <w:rsid w:val="00F80ABE"/>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53"/>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8EE"/>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225"/>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4FC9"/>
    <w:rsid w:val="00FB6165"/>
    <w:rsid w:val="00FB648B"/>
    <w:rsid w:val="00FB74A1"/>
    <w:rsid w:val="00FB794A"/>
    <w:rsid w:val="00FB7C34"/>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9E7"/>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05E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f"/>
    <w:rsid w:val="00AB3F38"/>
    <w:pPr>
      <w:tabs>
        <w:tab w:val="center" w:pos="4680"/>
        <w:tab w:val="right" w:pos="9360"/>
      </w:tabs>
    </w:pPr>
    <w:rPr>
      <w:kern w:val="2"/>
      <w:lang w:val="en-GB" w:eastAsia="zh-CN"/>
    </w:rPr>
  </w:style>
  <w:style w:type="character" w:customStyle="1" w:styleId="af">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a"/>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609349">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E310C-3C7E-4753-B411-06869D4B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cp:lastPrinted>2016-09-23T15:14:00Z</cp:lastPrinted>
  <dcterms:created xsi:type="dcterms:W3CDTF">2022-08-12T03:01:00Z</dcterms:created>
  <dcterms:modified xsi:type="dcterms:W3CDTF">2022-08-12T08:52:00Z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(3)EFVdMZvxa4gCIIc0hHs/devPPzVpedLe+UyHS83WQXBok5jpuy8D5gyXO+dFcs6UkyQWm8sP
LYYXp8RdAXVTno6dIN5HBJTeXP4JYCopj2Xm0UUMk/nGM0LbTs8XhvrjIfrRVBAHBU4I+aOA
soFz6Dvnm6zJGNjsxQTDUsMd1rS8mKA1nNjdgD77/xVFdrPdw87fsw7SGU5kC5GD1+qRh00f
qYmZboAdQ/EmDIgGyc</vt:lpwstr>
  </property>
  <property fmtid="{D5CDD505-2E9C-101B-9397-08002B2CF9AE}" pid="13" name="_2015_ms_pID_725343_00">
    <vt:lpwstr>_2015_ms_pID_725343</vt:lpwstr>
  </property>
  <property fmtid="{D5CDD505-2E9C-101B-9397-08002B2CF9AE}" pid="14" name="_2015_ms_pID_7253431">
    <vt:lpwstr>vN/PKSQodSrb1KYb2f7dZlg7Y5gYyWuxRAxM6A2WLNMGisZtI+JG4j
8RTOeE7L4Di6B1ucM+fvQ4uNRL2DAJUB66I1oqiuPQix2p9jWgXvorzpt/VwektsLX4hQVi9
GcaLKc18VKV//WYbHcOMblCFzFLYB44pQeIWmbWm6cw3qs46I3N8GhkkLYS9jjUqKXf2me3P
HeLHxGRejTyRYEKz/kIRHqVUpf6MmNfcxK2E</vt:lpwstr>
  </property>
  <property fmtid="{D5CDD505-2E9C-101B-9397-08002B2CF9AE}" pid="15" name="_2015_ms_pID_7253431_00">
    <vt:lpwstr>_2015_ms_pID_7253431</vt:lpwstr>
  </property>
  <property fmtid="{D5CDD505-2E9C-101B-9397-08002B2CF9AE}" pid="16" name="_2015_ms_pID_7253432">
    <vt:lpwstr>Am6q3mArfWjz3dw7r2vg8SSgLFgK5HY8/yQI
UEr+ehOwdA7FZrrJqqTa8OZ2u4WLDQ==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1644196834</vt:lpwstr>
  </property>
</Properties>
</file>