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572E4968" w:rsidR="00DB7303" w:rsidRPr="00922A73" w:rsidRDefault="00B40A80" w:rsidP="00DB7303">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5360EF"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CF5A24">
        <w:rPr>
          <w:rFonts w:ascii="Times New Roman" w:eastAsia="MS Mincho" w:hAnsi="Times New Roman" w:cs="Times New Roman"/>
          <w:b/>
          <w:bCs/>
          <w:noProof/>
          <w:sz w:val="24"/>
          <w:szCs w:val="24"/>
          <w:lang w:val="en-GB" w:eastAsia="ja-JP"/>
        </w:rPr>
        <w:t>10</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w:t>
      </w:r>
      <w:r w:rsidR="0013047F">
        <w:rPr>
          <w:rFonts w:ascii="Times New Roman" w:eastAsia="MS Mincho" w:hAnsi="Times New Roman" w:cs="Times New Roman"/>
          <w:b/>
          <w:bCs/>
          <w:noProof/>
          <w:sz w:val="24"/>
          <w:szCs w:val="24"/>
          <w:lang w:val="en-GB" w:eastAsia="ja-JP"/>
        </w:rPr>
        <w:t>2</w:t>
      </w:r>
      <w:r w:rsidR="00952426">
        <w:rPr>
          <w:rFonts w:ascii="Times New Roman" w:eastAsia="MS Mincho" w:hAnsi="Times New Roman" w:cs="Times New Roman"/>
          <w:b/>
          <w:bCs/>
          <w:noProof/>
          <w:sz w:val="24"/>
          <w:szCs w:val="24"/>
          <w:lang w:val="en-GB" w:eastAsia="ja-JP"/>
        </w:rPr>
        <w:t>2</w:t>
      </w:r>
      <w:r w:rsidR="00505292">
        <w:rPr>
          <w:rFonts w:ascii="Times New Roman" w:eastAsia="MS Mincho" w:hAnsi="Times New Roman" w:cs="Times New Roman"/>
          <w:b/>
          <w:bCs/>
          <w:noProof/>
          <w:sz w:val="24"/>
          <w:szCs w:val="24"/>
          <w:lang w:val="en-GB" w:eastAsia="ja-JP"/>
        </w:rPr>
        <w:t>0</w:t>
      </w:r>
      <w:r w:rsidR="00E065A1">
        <w:rPr>
          <w:rFonts w:ascii="Times New Roman" w:eastAsia="MS Mincho" w:hAnsi="Times New Roman" w:cs="Times New Roman"/>
          <w:b/>
          <w:bCs/>
          <w:noProof/>
          <w:sz w:val="24"/>
          <w:szCs w:val="24"/>
          <w:lang w:val="en-GB" w:eastAsia="ja-JP"/>
        </w:rPr>
        <w:t>7173</w:t>
      </w:r>
    </w:p>
    <w:p w14:paraId="50789A01" w14:textId="3CB8D772" w:rsidR="00DB7303" w:rsidRDefault="003B1244" w:rsidP="00DB7303">
      <w:pPr>
        <w:widowControl w:val="0"/>
        <w:spacing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August</w:t>
      </w:r>
      <w:r w:rsidR="00AF203E">
        <w:rPr>
          <w:rFonts w:ascii="Times New Roman" w:eastAsia="MS Mincho" w:hAnsi="Times New Roman" w:cs="Arial"/>
          <w:b/>
          <w:bCs/>
          <w:noProof/>
          <w:sz w:val="24"/>
          <w:szCs w:val="24"/>
          <w:lang w:val="en-GB" w:eastAsia="ja-JP"/>
        </w:rPr>
        <w:t xml:space="preserve"> </w:t>
      </w:r>
      <w:r w:rsidR="00346A0E">
        <w:rPr>
          <w:rFonts w:ascii="Times New Roman" w:eastAsia="MS Mincho" w:hAnsi="Times New Roman" w:cs="Arial"/>
          <w:b/>
          <w:bCs/>
          <w:noProof/>
          <w:sz w:val="24"/>
          <w:szCs w:val="24"/>
          <w:lang w:val="en-GB" w:eastAsia="ja-JP"/>
        </w:rPr>
        <w:t>22</w:t>
      </w:r>
      <w:r w:rsidR="00346A0E">
        <w:rPr>
          <w:rFonts w:ascii="Times New Roman" w:eastAsia="MS Mincho" w:hAnsi="Times New Roman" w:cs="Arial"/>
          <w:b/>
          <w:bCs/>
          <w:noProof/>
          <w:sz w:val="24"/>
          <w:szCs w:val="24"/>
          <w:vertAlign w:val="superscript"/>
          <w:lang w:val="en-GB" w:eastAsia="ja-JP"/>
        </w:rPr>
        <w:t>nd</w:t>
      </w:r>
      <w:r w:rsidR="008A143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F44831">
        <w:rPr>
          <w:rFonts w:ascii="Times New Roman" w:eastAsia="MS Mincho" w:hAnsi="Times New Roman" w:cs="Arial"/>
          <w:b/>
          <w:bCs/>
          <w:noProof/>
          <w:sz w:val="24"/>
          <w:szCs w:val="24"/>
          <w:lang w:val="en-GB" w:eastAsia="ja-JP"/>
        </w:rPr>
        <w:t>2</w:t>
      </w:r>
      <w:r w:rsidR="00346A0E">
        <w:rPr>
          <w:rFonts w:ascii="Times New Roman" w:eastAsia="MS Mincho" w:hAnsi="Times New Roman" w:cs="Arial"/>
          <w:b/>
          <w:bCs/>
          <w:noProof/>
          <w:sz w:val="24"/>
          <w:szCs w:val="24"/>
          <w:lang w:val="en-GB" w:eastAsia="ja-JP"/>
        </w:rPr>
        <w:t>6</w:t>
      </w:r>
      <w:r w:rsidR="00F44831" w:rsidRPr="00F44831">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w:t>
      </w:r>
      <w:r w:rsidR="001F5759">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0C3A3CCF" w:rsidR="00DB7303" w:rsidRPr="00DB7303" w:rsidRDefault="00DB7303" w:rsidP="00DB7303">
      <w:pPr>
        <w:widowControl w:val="0"/>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F44831">
        <w:rPr>
          <w:rFonts w:ascii="Times New Roman" w:eastAsia="MS Mincho" w:hAnsi="Times New Roman" w:cs="Arial"/>
          <w:b/>
          <w:noProof/>
          <w:sz w:val="24"/>
          <w:lang w:eastAsia="ja-JP"/>
        </w:rPr>
        <w:t>Discussion on Rel</w:t>
      </w:r>
      <w:r w:rsidR="005977BD">
        <w:rPr>
          <w:rFonts w:ascii="Times New Roman" w:eastAsia="MS Mincho" w:hAnsi="Times New Roman" w:cs="Arial"/>
          <w:b/>
          <w:noProof/>
          <w:sz w:val="24"/>
          <w:lang w:eastAsia="ja-JP"/>
        </w:rPr>
        <w:t>-</w:t>
      </w:r>
      <w:r w:rsidR="00F44831">
        <w:rPr>
          <w:rFonts w:ascii="Times New Roman" w:eastAsia="MS Mincho" w:hAnsi="Times New Roman" w:cs="Arial"/>
          <w:b/>
          <w:noProof/>
          <w:sz w:val="24"/>
          <w:lang w:eastAsia="ja-JP"/>
        </w:rPr>
        <w:t xml:space="preserve">16 span-based PDCCH monitoring </w:t>
      </w:r>
    </w:p>
    <w:bookmarkEnd w:id="1"/>
    <w:bookmarkEnd w:id="2"/>
    <w:bookmarkEnd w:id="3"/>
    <w:bookmarkEnd w:id="4"/>
    <w:p w14:paraId="11118B57" w14:textId="2EBCC5F1" w:rsidR="00DB7303" w:rsidRPr="00DB7303" w:rsidRDefault="00DB7303" w:rsidP="00DB7303">
      <w:pPr>
        <w:widowControl w:val="0"/>
        <w:tabs>
          <w:tab w:val="left" w:pos="1800"/>
        </w:tabs>
        <w:spacing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r w:rsidR="00645FE0">
        <w:rPr>
          <w:rFonts w:ascii="Times New Roman" w:eastAsia="MS Mincho" w:hAnsi="Times New Roman" w:cs="Arial"/>
          <w:b/>
          <w:noProof/>
          <w:sz w:val="24"/>
        </w:rPr>
        <w:t>7.</w:t>
      </w:r>
      <w:r w:rsidR="00F44831">
        <w:rPr>
          <w:rFonts w:ascii="Times New Roman" w:eastAsia="MS Mincho" w:hAnsi="Times New Roman" w:cs="Arial"/>
          <w:b/>
          <w:noProof/>
          <w:sz w:val="24"/>
        </w:rPr>
        <w:t>2.11</w:t>
      </w:r>
    </w:p>
    <w:p w14:paraId="37AABA68" w14:textId="0C4DAE62" w:rsidR="00223F7C" w:rsidRPr="00F44831" w:rsidRDefault="00DB7303" w:rsidP="00F44831">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6" w:name="DocumentFor"/>
      <w:bookmarkEnd w:id="6"/>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469117B9" w14:textId="3D4B97BC" w:rsidR="00C21227" w:rsidRPr="009A102E" w:rsidRDefault="00990279" w:rsidP="009A102E">
      <w:pPr>
        <w:pStyle w:val="Heading1"/>
        <w:numPr>
          <w:ilvl w:val="0"/>
          <w:numId w:val="5"/>
        </w:numPr>
        <w:rPr>
          <w:b/>
          <w:lang w:eastAsia="ja-JP"/>
        </w:rPr>
      </w:pPr>
      <w:r>
        <w:rPr>
          <w:b/>
          <w:lang w:eastAsia="ja-JP"/>
        </w:rPr>
        <w:t>Discussion</w:t>
      </w:r>
    </w:p>
    <w:p w14:paraId="4701A9DE" w14:textId="68BD1FCA" w:rsidR="006268D7" w:rsidRDefault="007809A3" w:rsidP="00F31FFA">
      <w:pPr>
        <w:jc w:val="both"/>
        <w:rPr>
          <w:rFonts w:eastAsia="MS Mincho"/>
          <w:lang w:val="en-GB" w:eastAsia="ja-JP"/>
        </w:rPr>
      </w:pPr>
      <w:r>
        <w:rPr>
          <w:rFonts w:eastAsia="MS Mincho"/>
          <w:lang w:val="en-GB" w:eastAsia="ja-JP"/>
        </w:rPr>
        <w:t xml:space="preserve">In Rel. 16 URLLC, a new span-based PDCCH monitoring capability with limitations on the number of CCEs/BDs per span is specified. For this capability, each span is defined as follows [1]: </w:t>
      </w:r>
    </w:p>
    <w:p w14:paraId="3A796837" w14:textId="5E9FEC08" w:rsidR="007809A3" w:rsidRDefault="007809A3" w:rsidP="00F31FFA">
      <w:pPr>
        <w:jc w:val="both"/>
        <w:rPr>
          <w:rFonts w:eastAsia="MS Mincho"/>
          <w:lang w:val="en-GB" w:eastAsia="ja-JP"/>
        </w:rPr>
      </w:pPr>
    </w:p>
    <w:tbl>
      <w:tblPr>
        <w:tblStyle w:val="TableGrid"/>
        <w:tblW w:w="20245" w:type="dxa"/>
        <w:tblLook w:val="04A0" w:firstRow="1" w:lastRow="0" w:firstColumn="1" w:lastColumn="0" w:noHBand="0" w:noVBand="1"/>
      </w:tblPr>
      <w:tblGrid>
        <w:gridCol w:w="20245"/>
      </w:tblGrid>
      <w:tr w:rsidR="007809A3" w14:paraId="5DF047FA" w14:textId="77777777" w:rsidTr="00FC21BB">
        <w:tc>
          <w:tcPr>
            <w:tcW w:w="20245" w:type="dxa"/>
          </w:tcPr>
          <w:p w14:paraId="5A6A09AC" w14:textId="77777777" w:rsidR="007809A3" w:rsidRDefault="007809A3" w:rsidP="007809A3">
            <w:pPr>
              <w:pStyle w:val="Heading1"/>
              <w:spacing w:before="240" w:after="180"/>
              <w:ind w:left="1134" w:hanging="1134"/>
              <w:outlineLvl w:val="0"/>
              <w:rPr>
                <w:rFonts w:ascii="Arial" w:hAnsi="Arial" w:cs="Arial"/>
                <w:color w:val="000000"/>
                <w:sz w:val="36"/>
                <w:szCs w:val="36"/>
              </w:rPr>
            </w:pPr>
            <w:bookmarkStart w:id="7" w:name="_Toc90376699"/>
            <w:r>
              <w:rPr>
                <w:rFonts w:ascii="Arial" w:hAnsi="Arial" w:cs="Arial"/>
                <w:b/>
                <w:bCs/>
                <w:color w:val="000000"/>
                <w:sz w:val="36"/>
                <w:szCs w:val="36"/>
                <w:lang w:val="en-GB"/>
              </w:rPr>
              <w:t>10       UE procedure for receiving control information</w:t>
            </w:r>
            <w:bookmarkEnd w:id="7"/>
          </w:p>
          <w:p w14:paraId="15F51653" w14:textId="520ED906" w:rsidR="007809A3" w:rsidRDefault="007809A3" w:rsidP="00F31FFA">
            <w:pPr>
              <w:jc w:val="both"/>
              <w:rPr>
                <w:rFonts w:eastAsia="MS Mincho"/>
                <w:lang w:val="en-GB" w:eastAsia="ja-JP"/>
              </w:rPr>
            </w:pPr>
            <w:r>
              <w:rPr>
                <w:rFonts w:eastAsia="MS Mincho"/>
                <w:lang w:val="en-GB" w:eastAsia="ja-JP"/>
              </w:rPr>
              <w:t>…</w:t>
            </w:r>
          </w:p>
          <w:p w14:paraId="48C2DC89" w14:textId="77777777" w:rsidR="007809A3" w:rsidRDefault="007809A3" w:rsidP="00F31FFA">
            <w:pPr>
              <w:jc w:val="both"/>
              <w:rPr>
                <w:rFonts w:eastAsia="MS Mincho"/>
                <w:lang w:val="en-GB" w:eastAsia="ja-JP"/>
              </w:rPr>
            </w:pPr>
          </w:p>
          <w:p w14:paraId="4538A92D" w14:textId="77777777" w:rsidR="007809A3" w:rsidRDefault="007809A3" w:rsidP="00F31FFA">
            <w:pPr>
              <w:jc w:val="both"/>
              <w:rPr>
                <w:color w:val="000000"/>
                <w:lang w:val="en-GB"/>
              </w:rPr>
            </w:pPr>
            <w:r w:rsidRPr="007809A3">
              <w:rPr>
                <w:color w:val="000000"/>
                <w:lang w:val="en-GB"/>
              </w:rPr>
              <w:t>A UE can indicate a capability to monitor PDCCH according to one or more of the combinations </w:t>
            </w:r>
            <w:r w:rsidRPr="007809A3">
              <w:rPr>
                <w:noProof/>
                <w:color w:val="000000"/>
                <w:lang w:val="en-GB"/>
              </w:rPr>
              <w:drawing>
                <wp:inline distT="0" distB="0" distL="0" distR="0" wp14:anchorId="438E8343" wp14:editId="20292766">
                  <wp:extent cx="2952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 (2, 2), (4, 3), and (7, 3) per SCS configuration of </w:t>
            </w:r>
            <w:r w:rsidRPr="007809A3">
              <w:rPr>
                <w:noProof/>
                <w:color w:val="000000"/>
                <w:lang w:val="en-GB"/>
              </w:rPr>
              <w:drawing>
                <wp:inline distT="0" distB="0" distL="0" distR="0" wp14:anchorId="4D4E7C4D" wp14:editId="648851BE">
                  <wp:extent cx="304800" cy="152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w:t>
            </w:r>
            <w:proofErr w:type="spellStart"/>
            <w:r w:rsidRPr="007809A3">
              <w:rPr>
                <w:color w:val="000000"/>
                <w:lang w:val="en-GB"/>
              </w:rPr>
              <w:t>and</w:t>
            </w:r>
            <w:proofErr w:type="spellEnd"/>
            <w:r w:rsidRPr="007809A3">
              <w:rPr>
                <w:color w:val="000000"/>
                <w:lang w:val="en-GB"/>
              </w:rPr>
              <w:t> </w:t>
            </w:r>
            <w:r w:rsidRPr="007809A3">
              <w:rPr>
                <w:noProof/>
                <w:color w:val="000000"/>
                <w:lang w:val="en-GB"/>
              </w:rPr>
              <w:drawing>
                <wp:inline distT="0" distB="0" distL="0" distR="0" wp14:anchorId="57038371" wp14:editId="610FD566">
                  <wp:extent cx="304800" cy="152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7809A3">
              <w:rPr>
                <w:color w:val="000000"/>
                <w:lang w:val="en-GB"/>
              </w:rPr>
              <w:t>. A span is a number of consecutive symbols in a slot where the UE is configured to monitor PDCCH. Each PDCCH monitoring occasion is within one span. If a UE monitors PDCCH on a cell according to combination </w:t>
            </w:r>
            <w:r w:rsidRPr="007809A3">
              <w:rPr>
                <w:noProof/>
                <w:color w:val="000000"/>
                <w:lang w:val="en-GB"/>
              </w:rPr>
              <w:drawing>
                <wp:inline distT="0" distB="0" distL="0" distR="0" wp14:anchorId="3CD66E5A" wp14:editId="761DE8E0">
                  <wp:extent cx="295275" cy="1524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7809A3">
              <w:rPr>
                <w:color w:val="000000"/>
                <w:lang w:val="en-GB"/>
              </w:rPr>
              <w:t>, the UE supports PDCCH monitoring occasions in any symbol of a slot with minimum time separation of </w:t>
            </w:r>
            <w:r w:rsidRPr="007809A3">
              <w:rPr>
                <w:noProof/>
                <w:color w:val="000000"/>
                <w:lang w:val="en-GB"/>
              </w:rPr>
              <w:drawing>
                <wp:inline distT="0" distB="0" distL="0" distR="0" wp14:anchorId="0954468B" wp14:editId="73128E69">
                  <wp:extent cx="857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7809A3">
              <w:rPr>
                <w:color w:val="00000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sidRPr="007809A3">
              <w:rPr>
                <w:noProof/>
                <w:color w:val="000000"/>
                <w:lang w:val="en-GB"/>
              </w:rPr>
              <w:drawing>
                <wp:inline distT="0" distB="0" distL="0" distR="0" wp14:anchorId="0122FFCB" wp14:editId="785C6649">
                  <wp:extent cx="762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7809A3">
              <w:rPr>
                <w:color w:val="000000"/>
                <w:lang w:val="en-GB"/>
              </w:rPr>
              <w:t>.</w:t>
            </w:r>
          </w:p>
          <w:p w14:paraId="20799B4D" w14:textId="77777777" w:rsidR="007809A3" w:rsidRDefault="007809A3" w:rsidP="00F31FFA">
            <w:pPr>
              <w:jc w:val="both"/>
              <w:rPr>
                <w:color w:val="000000"/>
                <w:lang w:val="en-GB"/>
              </w:rPr>
            </w:pPr>
          </w:p>
          <w:p w14:paraId="1009AAF6" w14:textId="143A09AB" w:rsidR="007809A3" w:rsidRDefault="007809A3" w:rsidP="00F31FFA">
            <w:pPr>
              <w:jc w:val="both"/>
              <w:rPr>
                <w:rFonts w:eastAsia="MS Mincho"/>
                <w:lang w:val="en-GB" w:eastAsia="ja-JP"/>
              </w:rPr>
            </w:pPr>
            <w:r>
              <w:rPr>
                <w:color w:val="000000"/>
                <w:lang w:val="en-GB"/>
              </w:rPr>
              <w:t>…</w:t>
            </w:r>
          </w:p>
        </w:tc>
      </w:tr>
    </w:tbl>
    <w:p w14:paraId="382ED7E2" w14:textId="781CBEEE" w:rsidR="007809A3" w:rsidRDefault="007809A3" w:rsidP="00F31FFA">
      <w:pPr>
        <w:jc w:val="both"/>
        <w:rPr>
          <w:rFonts w:eastAsia="MS Mincho"/>
          <w:lang w:val="en-GB" w:eastAsia="ja-JP"/>
        </w:rPr>
      </w:pPr>
    </w:p>
    <w:p w14:paraId="01D5BBC2" w14:textId="7CE74A27" w:rsidR="007809A3" w:rsidRDefault="00AF1BD4" w:rsidP="00F31FFA">
      <w:pPr>
        <w:jc w:val="both"/>
        <w:rPr>
          <w:rFonts w:eastAsia="MS Mincho"/>
          <w:lang w:val="en-GB" w:eastAsia="ja-JP"/>
        </w:rPr>
      </w:pPr>
      <w:r>
        <w:rPr>
          <w:rFonts w:eastAsia="MS Mincho"/>
          <w:lang w:val="en-GB" w:eastAsia="ja-JP"/>
        </w:rPr>
        <w:t xml:space="preserve">Based on the span definition above, </w:t>
      </w:r>
      <w:r w:rsidR="00E02E8E">
        <w:rPr>
          <w:rFonts w:eastAsia="MS Mincho"/>
          <w:lang w:val="en-GB" w:eastAsia="ja-JP"/>
        </w:rPr>
        <w:t xml:space="preserve">for the (2,2) pattern, a UE </w:t>
      </w:r>
      <w:r w:rsidR="0085053B">
        <w:rPr>
          <w:rFonts w:eastAsia="MS Mincho"/>
          <w:lang w:val="en-GB" w:eastAsia="ja-JP"/>
        </w:rPr>
        <w:t>must be able to</w:t>
      </w:r>
      <w:r w:rsidR="00E02E8E">
        <w:rPr>
          <w:rFonts w:eastAsia="MS Mincho"/>
          <w:lang w:val="en-GB" w:eastAsia="ja-JP"/>
        </w:rPr>
        <w:t xml:space="preserve"> perform PDCCH decoding in every symbol. As a consequence, the control decoding overhead under the (2,2) pattern could be significant for a UE. </w:t>
      </w:r>
      <w:r w:rsidR="0085053B">
        <w:rPr>
          <w:rFonts w:eastAsia="MS Mincho"/>
          <w:lang w:val="en-GB" w:eastAsia="ja-JP"/>
        </w:rPr>
        <w:t xml:space="preserve">Although PDCCH monitoring on every symbol </w:t>
      </w:r>
      <w:r w:rsidR="006A446D">
        <w:rPr>
          <w:rFonts w:eastAsia="MS Mincho"/>
          <w:lang w:val="en-GB" w:eastAsia="ja-JP"/>
        </w:rPr>
        <w:t xml:space="preserve">of a slot is not required under (4,3) and (7,3) patterns, </w:t>
      </w:r>
      <w:r w:rsidR="00F82B90">
        <w:rPr>
          <w:rFonts w:eastAsia="MS Mincho"/>
          <w:lang w:val="en-GB" w:eastAsia="ja-JP"/>
        </w:rPr>
        <w:t>PDCCH processing across up to 3 consecutive symbols</w:t>
      </w:r>
      <w:r w:rsidR="006A446D">
        <w:rPr>
          <w:rFonts w:eastAsia="MS Mincho"/>
          <w:lang w:val="en-GB" w:eastAsia="ja-JP"/>
        </w:rPr>
        <w:t xml:space="preserve">, </w:t>
      </w:r>
      <w:r w:rsidR="00512290">
        <w:rPr>
          <w:rFonts w:eastAsia="MS Mincho"/>
          <w:lang w:val="en-GB" w:eastAsia="ja-JP"/>
        </w:rPr>
        <w:t>in particular</w:t>
      </w:r>
      <w:r w:rsidR="006A446D">
        <w:rPr>
          <w:rFonts w:eastAsia="MS Mincho"/>
          <w:lang w:val="en-GB" w:eastAsia="ja-JP"/>
        </w:rPr>
        <w:t xml:space="preserve"> with timing capability 2</w:t>
      </w:r>
      <w:r w:rsidR="00512290">
        <w:rPr>
          <w:rFonts w:eastAsia="MS Mincho"/>
          <w:lang w:val="en-GB" w:eastAsia="ja-JP"/>
        </w:rPr>
        <w:t xml:space="preserve"> for DL and/or UL</w:t>
      </w:r>
      <w:r w:rsidR="006A446D">
        <w:rPr>
          <w:rFonts w:eastAsia="MS Mincho"/>
          <w:lang w:val="en-GB" w:eastAsia="ja-JP"/>
        </w:rPr>
        <w:t>, is challenging</w:t>
      </w:r>
      <w:r w:rsidR="00512290">
        <w:rPr>
          <w:rFonts w:eastAsia="MS Mincho"/>
          <w:lang w:val="en-GB" w:eastAsia="ja-JP"/>
        </w:rPr>
        <w:t xml:space="preserve">. </w:t>
      </w:r>
      <w:r w:rsidR="006A446D">
        <w:rPr>
          <w:rFonts w:eastAsia="MS Mincho"/>
          <w:lang w:val="en-GB" w:eastAsia="ja-JP"/>
        </w:rPr>
        <w:t xml:space="preserve"> </w:t>
      </w:r>
    </w:p>
    <w:p w14:paraId="4F6DCFF3" w14:textId="42CF7877" w:rsidR="00E02E8E" w:rsidRDefault="00E02E8E" w:rsidP="00F31FFA">
      <w:pPr>
        <w:jc w:val="both"/>
        <w:rPr>
          <w:rFonts w:eastAsia="MS Mincho"/>
          <w:lang w:val="en-GB" w:eastAsia="ja-JP"/>
        </w:rPr>
      </w:pPr>
    </w:p>
    <w:p w14:paraId="0D7E9883" w14:textId="190823B6" w:rsidR="000326F2" w:rsidRDefault="000326F2" w:rsidP="00F31FFA">
      <w:pPr>
        <w:jc w:val="both"/>
        <w:rPr>
          <w:rFonts w:eastAsia="MS Mincho"/>
          <w:lang w:val="en-GB" w:eastAsia="ja-JP"/>
        </w:rPr>
      </w:pPr>
      <w:r>
        <w:rPr>
          <w:rFonts w:eastAsia="MS Mincho"/>
          <w:lang w:val="en-GB" w:eastAsia="ja-JP"/>
        </w:rPr>
        <w:t>Given the mentioned issue, we propose to add additional pattern</w:t>
      </w:r>
      <w:r w:rsidR="00EB5415">
        <w:rPr>
          <w:rFonts w:eastAsia="MS Mincho"/>
          <w:lang w:val="en-GB" w:eastAsia="ja-JP"/>
        </w:rPr>
        <w:t>s</w:t>
      </w:r>
      <w:r>
        <w:rPr>
          <w:rFonts w:eastAsia="MS Mincho"/>
          <w:lang w:val="en-GB" w:eastAsia="ja-JP"/>
        </w:rPr>
        <w:t>, in particular (2,1)</w:t>
      </w:r>
      <w:r w:rsidR="00EB5415">
        <w:rPr>
          <w:rFonts w:eastAsia="MS Mincho"/>
          <w:lang w:val="en-GB" w:eastAsia="ja-JP"/>
        </w:rPr>
        <w:t>, (4,1) and (7,1)</w:t>
      </w:r>
      <w:r>
        <w:rPr>
          <w:rFonts w:eastAsia="MS Mincho"/>
          <w:lang w:val="en-GB" w:eastAsia="ja-JP"/>
        </w:rPr>
        <w:t>, so that the required scheduling flexibility for supporting URLLC services can be maintained, while easing the UE complexity. This can be done by int</w:t>
      </w:r>
      <w:r w:rsidR="00F9314F">
        <w:rPr>
          <w:rFonts w:eastAsia="MS Mincho"/>
          <w:lang w:val="en-GB" w:eastAsia="ja-JP"/>
        </w:rPr>
        <w:t>roducing</w:t>
      </w:r>
      <w:r>
        <w:rPr>
          <w:rFonts w:eastAsia="MS Mincho"/>
          <w:lang w:val="en-GB" w:eastAsia="ja-JP"/>
        </w:rPr>
        <w:t xml:space="preserve"> </w:t>
      </w:r>
      <w:r w:rsidR="00F9314F">
        <w:rPr>
          <w:rFonts w:eastAsia="MS Mincho"/>
          <w:lang w:val="en-GB" w:eastAsia="ja-JP"/>
        </w:rPr>
        <w:t xml:space="preserve">a </w:t>
      </w:r>
      <w:r>
        <w:rPr>
          <w:rFonts w:eastAsia="MS Mincho"/>
          <w:lang w:val="en-GB" w:eastAsia="ja-JP"/>
        </w:rPr>
        <w:t>new FG as follows</w:t>
      </w:r>
      <w:r w:rsidR="0048770C">
        <w:rPr>
          <w:rFonts w:eastAsia="MS Mincho"/>
          <w:lang w:val="en-GB" w:eastAsia="ja-JP"/>
        </w:rPr>
        <w:t xml:space="preserve"> which includes </w:t>
      </w:r>
      <w:r w:rsidR="00F9314F">
        <w:rPr>
          <w:rFonts w:eastAsia="MS Mincho"/>
          <w:lang w:val="en-GB" w:eastAsia="ja-JP"/>
        </w:rPr>
        <w:t>the new</w:t>
      </w:r>
      <w:r w:rsidR="0048770C">
        <w:rPr>
          <w:rFonts w:eastAsia="MS Mincho"/>
          <w:lang w:val="en-GB" w:eastAsia="ja-JP"/>
        </w:rPr>
        <w:t xml:space="preserve"> span pattern</w:t>
      </w:r>
      <w:r w:rsidR="00F9314F">
        <w:rPr>
          <w:rFonts w:eastAsia="MS Mincho"/>
          <w:lang w:val="en-GB" w:eastAsia="ja-JP"/>
        </w:rPr>
        <w:t>s</w:t>
      </w:r>
      <w:r>
        <w:rPr>
          <w:rFonts w:eastAsia="MS Mincho"/>
          <w:lang w:val="en-GB" w:eastAsia="ja-JP"/>
        </w:rPr>
        <w:t xml:space="preserve">: </w:t>
      </w:r>
    </w:p>
    <w:p w14:paraId="18E6343B" w14:textId="526E81B7" w:rsidR="0048770C" w:rsidRDefault="0048770C" w:rsidP="00F31FFA">
      <w:pPr>
        <w:jc w:val="both"/>
        <w:rPr>
          <w:rFonts w:eastAsia="MS Mincho"/>
          <w:lang w:val="en-GB" w:eastAsia="ja-JP"/>
        </w:rPr>
      </w:pPr>
    </w:p>
    <w:tbl>
      <w:tblPr>
        <w:tblStyle w:val="TableGrid"/>
        <w:tblW w:w="20222" w:type="dxa"/>
        <w:tblLook w:val="04A0" w:firstRow="1" w:lastRow="0" w:firstColumn="1" w:lastColumn="0" w:noHBand="0" w:noVBand="1"/>
      </w:tblPr>
      <w:tblGrid>
        <w:gridCol w:w="2204"/>
        <w:gridCol w:w="2241"/>
        <w:gridCol w:w="3753"/>
        <w:gridCol w:w="713"/>
        <w:gridCol w:w="2292"/>
        <w:gridCol w:w="2288"/>
        <w:gridCol w:w="1624"/>
        <w:gridCol w:w="1440"/>
        <w:gridCol w:w="2591"/>
        <w:gridCol w:w="1076"/>
      </w:tblGrid>
      <w:tr w:rsidR="00EB5415" w14:paraId="616D0864" w14:textId="77777777" w:rsidTr="00EB5415">
        <w:tc>
          <w:tcPr>
            <w:tcW w:w="2204" w:type="dxa"/>
          </w:tcPr>
          <w:p w14:paraId="16906A2F" w14:textId="0E0C6B8D" w:rsidR="0048770C" w:rsidRPr="0086457C" w:rsidRDefault="0048770C" w:rsidP="0048770C">
            <w:pPr>
              <w:jc w:val="both"/>
              <w:rPr>
                <w:rFonts w:eastAsia="MS Mincho" w:cstheme="minorHAnsi"/>
                <w:lang w:val="en-GB" w:eastAsia="ja-JP"/>
              </w:rPr>
            </w:pPr>
            <w:r w:rsidRPr="000326F2">
              <w:rPr>
                <w:rFonts w:eastAsia="Times New Roman" w:cstheme="minorHAnsi"/>
                <w:lang w:val="en-GB"/>
              </w:rPr>
              <w:t>11-2</w:t>
            </w:r>
            <w:r w:rsidRPr="0086457C">
              <w:rPr>
                <w:rFonts w:eastAsia="Times New Roman" w:cstheme="minorHAnsi"/>
                <w:color w:val="000000" w:themeColor="text1"/>
                <w:lang w:val="en-GB"/>
              </w:rPr>
              <w:t>x</w:t>
            </w:r>
          </w:p>
        </w:tc>
        <w:tc>
          <w:tcPr>
            <w:tcW w:w="2241" w:type="dxa"/>
          </w:tcPr>
          <w:p w14:paraId="3D464891" w14:textId="006B5BAD" w:rsidR="0048770C" w:rsidRPr="0086457C" w:rsidRDefault="0048770C" w:rsidP="0048770C">
            <w:pPr>
              <w:jc w:val="both"/>
              <w:rPr>
                <w:rFonts w:eastAsia="MS Mincho" w:cstheme="minorHAnsi"/>
                <w:lang w:val="en-GB" w:eastAsia="ja-JP"/>
              </w:rPr>
            </w:pPr>
            <w:r w:rsidRPr="000326F2">
              <w:rPr>
                <w:rFonts w:eastAsia="Times New Roman" w:cstheme="minorHAnsi"/>
                <w:lang w:val="en-GB"/>
              </w:rPr>
              <w:t>Rel-16 PDCCH monitoring capability</w:t>
            </w:r>
          </w:p>
        </w:tc>
        <w:tc>
          <w:tcPr>
            <w:tcW w:w="3753" w:type="dxa"/>
          </w:tcPr>
          <w:p w14:paraId="62F28736" w14:textId="7180FB94" w:rsidR="0048770C" w:rsidRPr="000326F2" w:rsidRDefault="0048770C" w:rsidP="0048770C">
            <w:pPr>
              <w:ind w:left="318" w:hanging="284"/>
              <w:rPr>
                <w:rFonts w:eastAsia="Times New Roman" w:cstheme="minorHAnsi"/>
              </w:rPr>
            </w:pPr>
            <w:r w:rsidRPr="000326F2">
              <w:rPr>
                <w:rFonts w:eastAsia="Times New Roman" w:cstheme="minorHAnsi"/>
                <w:lang w:val="en-GB"/>
              </w:rPr>
              <w:t>1.   Supported combination(s) of (X, Y, m). For</w:t>
            </w:r>
            <w:r w:rsidRPr="0086457C">
              <w:rPr>
                <w:rFonts w:eastAsia="Times New Roman" w:cstheme="minorHAnsi"/>
                <w:lang w:val="en-GB"/>
              </w:rPr>
              <w:t xml:space="preserve"> </w:t>
            </w:r>
            <w:r w:rsidR="00EB5415">
              <w:rPr>
                <w:rFonts w:eastAsia="Times New Roman" w:cstheme="minorHAnsi"/>
                <w:lang w:val="en-GB"/>
              </w:rPr>
              <w:t>each</w:t>
            </w:r>
            <w:r w:rsidRPr="000326F2">
              <w:rPr>
                <w:rFonts w:eastAsia="Times New Roman" w:cstheme="minorHAnsi"/>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0D3A0F91" w14:textId="77777777" w:rsidR="0048770C" w:rsidRPr="000326F2" w:rsidRDefault="0048770C" w:rsidP="0048770C">
            <w:pPr>
              <w:ind w:left="318" w:hanging="284"/>
              <w:rPr>
                <w:rFonts w:eastAsia="Times New Roman" w:cstheme="minorHAnsi"/>
              </w:rPr>
            </w:pPr>
            <w:r w:rsidRPr="000326F2">
              <w:rPr>
                <w:rFonts w:eastAsia="Times New Roman" w:cstheme="minorHAnsi"/>
                <w:lang w:val="en-GB"/>
              </w:rPr>
              <w:t>2.   Maximum number of DL and UL unicast DCI formats in a span</w:t>
            </w:r>
          </w:p>
          <w:p w14:paraId="0773E534" w14:textId="77777777" w:rsidR="0048770C" w:rsidRPr="000326F2" w:rsidRDefault="0048770C" w:rsidP="0048770C">
            <w:pPr>
              <w:ind w:left="318"/>
              <w:rPr>
                <w:rFonts w:eastAsia="Times New Roman" w:cstheme="minorHAnsi"/>
              </w:rPr>
            </w:pPr>
            <w:r w:rsidRPr="000326F2">
              <w:rPr>
                <w:rFonts w:eastAsia="Times New Roman" w:cstheme="minorHAnsi"/>
                <w:lang w:val="en-GB"/>
              </w:rPr>
              <w:t>For the set of monitoring occasions which are within the same span:</w:t>
            </w:r>
          </w:p>
          <w:p w14:paraId="042C9FDC"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xml:space="preserve">-     Processing one unicast DCI scheduling DL and one unicast </w:t>
            </w:r>
            <w:r w:rsidRPr="000326F2">
              <w:rPr>
                <w:rFonts w:eastAsia="Times New Roman" w:cstheme="minorHAnsi"/>
                <w:lang w:val="en-GB"/>
              </w:rPr>
              <w:lastRenderedPageBreak/>
              <w:t>DCI scheduling UL per scheduled CC across this set of monitoring occasions for FDD</w:t>
            </w:r>
          </w:p>
          <w:p w14:paraId="3EFD7597" w14:textId="77777777" w:rsidR="0048770C" w:rsidRPr="000326F2" w:rsidRDefault="0048770C" w:rsidP="0048770C">
            <w:pPr>
              <w:ind w:left="601" w:hanging="284"/>
              <w:rPr>
                <w:rFonts w:eastAsia="Times New Roman" w:cstheme="minorHAnsi"/>
              </w:rPr>
            </w:pPr>
            <w:r w:rsidRPr="000326F2">
              <w:rPr>
                <w:rFonts w:eastAsia="Times New Roman" w:cstheme="minorHAnsi"/>
                <w:lang w:val="en-GB"/>
              </w:rPr>
              <w:t>-     Processing one unicast DCI scheduling DL and two unicast DCI scheduling UL per scheduled CC across this set of monitoring occasions for TDD</w:t>
            </w:r>
          </w:p>
          <w:p w14:paraId="4C5AC50E" w14:textId="1C950450" w:rsidR="0048770C" w:rsidRPr="0086457C" w:rsidRDefault="0048770C" w:rsidP="0048770C">
            <w:pPr>
              <w:jc w:val="both"/>
              <w:rPr>
                <w:rFonts w:eastAsia="MS Mincho" w:cstheme="minorHAnsi"/>
                <w:lang w:val="en-GB" w:eastAsia="ja-JP"/>
              </w:rPr>
            </w:pPr>
            <w:r w:rsidRPr="000326F2">
              <w:rPr>
                <w:rFonts w:eastAsia="Times New Roman" w:cstheme="minorHAnsi"/>
                <w:lang w:val="en-GB"/>
              </w:rPr>
              <w:t>-     Processing two unicast DCI scheduling DL and one unicast DCI scheduling UL per scheduled CC across this set of monitoring occasions for TDD</w:t>
            </w:r>
          </w:p>
        </w:tc>
        <w:tc>
          <w:tcPr>
            <w:tcW w:w="713" w:type="dxa"/>
          </w:tcPr>
          <w:p w14:paraId="514696E2" w14:textId="77777777" w:rsidR="0048770C" w:rsidRPr="0086457C" w:rsidRDefault="0048770C" w:rsidP="0048770C">
            <w:pPr>
              <w:jc w:val="both"/>
              <w:rPr>
                <w:rFonts w:eastAsia="MS Mincho" w:cstheme="minorHAnsi"/>
                <w:lang w:val="en-GB" w:eastAsia="ja-JP"/>
              </w:rPr>
            </w:pPr>
          </w:p>
        </w:tc>
        <w:tc>
          <w:tcPr>
            <w:tcW w:w="2292" w:type="dxa"/>
          </w:tcPr>
          <w:p w14:paraId="1A48FB62"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pdcch-Monitoring-r16 {</w:t>
            </w:r>
          </w:p>
          <w:p w14:paraId="7CE0A0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pdsch-ProcessingType1-r16{</w:t>
            </w:r>
          </w:p>
          <w:p w14:paraId="508161B8"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0E8EAB56"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124FAD67"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15BC13E0"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6B53287A" w14:textId="77777777" w:rsidR="0048770C" w:rsidRPr="000326F2" w:rsidRDefault="0048770C" w:rsidP="0048770C">
            <w:pPr>
              <w:rPr>
                <w:rFonts w:eastAsia="Times New Roman" w:cstheme="minorHAnsi"/>
              </w:rPr>
            </w:pPr>
            <w:r w:rsidRPr="000326F2">
              <w:rPr>
                <w:rFonts w:eastAsia="Times New Roman" w:cstheme="minorHAnsi"/>
                <w:i/>
                <w:iCs/>
                <w:lang w:val="en-GB"/>
              </w:rPr>
              <w:t>},</w:t>
            </w:r>
          </w:p>
          <w:p w14:paraId="7044C1AF" w14:textId="77777777" w:rsidR="0048770C" w:rsidRPr="000326F2" w:rsidRDefault="0048770C" w:rsidP="0048770C">
            <w:pPr>
              <w:rPr>
                <w:rFonts w:eastAsia="Times New Roman" w:cstheme="minorHAnsi"/>
              </w:rPr>
            </w:pPr>
            <w:r w:rsidRPr="000326F2">
              <w:rPr>
                <w:rFonts w:eastAsia="Times New Roman" w:cstheme="minorHAnsi"/>
                <w:i/>
                <w:iCs/>
                <w:lang w:val="en-GB"/>
              </w:rPr>
              <w:t>pdsch-ProcessingType2-r16 {</w:t>
            </w:r>
          </w:p>
          <w:p w14:paraId="18C75009" w14:textId="77777777" w:rsidR="0048770C" w:rsidRPr="000326F2" w:rsidRDefault="0048770C" w:rsidP="0048770C">
            <w:pPr>
              <w:rPr>
                <w:rFonts w:eastAsia="Times New Roman" w:cstheme="minorHAnsi"/>
              </w:rPr>
            </w:pPr>
            <w:r w:rsidRPr="000326F2">
              <w:rPr>
                <w:rFonts w:eastAsia="Times New Roman" w:cstheme="minorHAnsi"/>
                <w:i/>
                <w:iCs/>
                <w:lang w:val="en-GB"/>
              </w:rPr>
              <w:t>scs-15kHz-r16</w:t>
            </w:r>
          </w:p>
          <w:p w14:paraId="31562DAE" w14:textId="77777777" w:rsidR="0048770C" w:rsidRPr="000326F2" w:rsidRDefault="0048770C" w:rsidP="0048770C">
            <w:pPr>
              <w:rPr>
                <w:rFonts w:eastAsia="Times New Roman" w:cstheme="minorHAnsi"/>
              </w:rPr>
            </w:pPr>
            <w:r w:rsidRPr="000326F2">
              <w:rPr>
                <w:rFonts w:eastAsia="Times New Roman" w:cstheme="minorHAnsi"/>
                <w:i/>
                <w:iCs/>
                <w:lang w:val="en-GB"/>
              </w:rPr>
              <w:lastRenderedPageBreak/>
              <w:t>PDCCH-MonitoringOccasions-r16,</w:t>
            </w:r>
          </w:p>
          <w:p w14:paraId="52233FD5" w14:textId="77777777" w:rsidR="0048770C" w:rsidRPr="000326F2" w:rsidRDefault="0048770C" w:rsidP="0048770C">
            <w:pPr>
              <w:rPr>
                <w:rFonts w:eastAsia="Times New Roman" w:cstheme="minorHAnsi"/>
              </w:rPr>
            </w:pPr>
            <w:r w:rsidRPr="000326F2">
              <w:rPr>
                <w:rFonts w:eastAsia="Times New Roman" w:cstheme="minorHAnsi"/>
                <w:i/>
                <w:iCs/>
                <w:lang w:val="en-GB"/>
              </w:rPr>
              <w:t>scs-30kHz-r16</w:t>
            </w:r>
          </w:p>
          <w:p w14:paraId="2D549D21" w14:textId="77777777" w:rsidR="0048770C" w:rsidRPr="000326F2" w:rsidRDefault="0048770C" w:rsidP="0048770C">
            <w:pPr>
              <w:rPr>
                <w:rFonts w:eastAsia="Times New Roman" w:cstheme="minorHAnsi"/>
              </w:rPr>
            </w:pPr>
            <w:r w:rsidRPr="000326F2">
              <w:rPr>
                <w:rFonts w:eastAsia="Times New Roman" w:cstheme="minorHAnsi"/>
                <w:i/>
                <w:iCs/>
                <w:lang w:val="en-GB"/>
              </w:rPr>
              <w:t>PDCCH-MonitoringOccasions-r16</w:t>
            </w:r>
          </w:p>
          <w:p w14:paraId="1C172C0D" w14:textId="221CD128"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t>}</w:t>
            </w:r>
          </w:p>
        </w:tc>
        <w:tc>
          <w:tcPr>
            <w:tcW w:w="2288" w:type="dxa"/>
          </w:tcPr>
          <w:p w14:paraId="47D38196" w14:textId="20A54579" w:rsidR="0048770C" w:rsidRPr="0086457C" w:rsidRDefault="0048770C" w:rsidP="0048770C">
            <w:pPr>
              <w:jc w:val="both"/>
              <w:rPr>
                <w:rFonts w:eastAsia="MS Mincho" w:cstheme="minorHAnsi"/>
                <w:lang w:val="en-GB" w:eastAsia="ja-JP"/>
              </w:rPr>
            </w:pPr>
            <w:r w:rsidRPr="000326F2">
              <w:rPr>
                <w:rFonts w:eastAsia="Times New Roman" w:cstheme="minorHAnsi"/>
                <w:i/>
                <w:iCs/>
                <w:lang w:val="en-GB"/>
              </w:rPr>
              <w:lastRenderedPageBreak/>
              <w:t>FeatureSetDownlink-v1610</w:t>
            </w:r>
          </w:p>
        </w:tc>
        <w:tc>
          <w:tcPr>
            <w:tcW w:w="1624" w:type="dxa"/>
          </w:tcPr>
          <w:p w14:paraId="181F3814" w14:textId="7F6703C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1440" w:type="dxa"/>
          </w:tcPr>
          <w:p w14:paraId="00B70FEA" w14:textId="2E09CF4D" w:rsidR="0048770C" w:rsidRPr="0086457C" w:rsidRDefault="0048770C" w:rsidP="0048770C">
            <w:pPr>
              <w:jc w:val="both"/>
              <w:rPr>
                <w:rFonts w:eastAsia="MS Mincho" w:cstheme="minorHAnsi"/>
                <w:lang w:val="en-GB" w:eastAsia="ja-JP"/>
              </w:rPr>
            </w:pPr>
            <w:r w:rsidRPr="000326F2">
              <w:rPr>
                <w:rFonts w:eastAsia="Times New Roman" w:cstheme="minorHAnsi"/>
                <w:lang w:val="en-GB"/>
              </w:rPr>
              <w:t>n/a</w:t>
            </w:r>
          </w:p>
        </w:tc>
        <w:tc>
          <w:tcPr>
            <w:tcW w:w="2591" w:type="dxa"/>
          </w:tcPr>
          <w:p w14:paraId="77FD0570"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This capability is signalled for SCS 15 kHz and 30 kHz.</w:t>
            </w:r>
          </w:p>
          <w:p w14:paraId="40C69C36"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1E63ADA5" w14:textId="50C3DB62"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=0 and 1, candidate value set for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{(7,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(4,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 xml:space="preserve">),  (2, </w:t>
            </w:r>
            <w:r>
              <w:rPr>
                <w:rFonts w:asciiTheme="minorHAnsi" w:hAnsiTheme="minorHAnsi" w:cstheme="minorHAnsi"/>
                <w:color w:val="000000"/>
                <w:sz w:val="22"/>
                <w:szCs w:val="22"/>
                <w:lang w:val="en-GB"/>
              </w:rPr>
              <w:t>1</w:t>
            </w:r>
            <w:r w:rsidRPr="00EB5415">
              <w:rPr>
                <w:rFonts w:asciiTheme="minorHAnsi" w:hAnsiTheme="minorHAnsi" w:cstheme="minorHAnsi"/>
                <w:color w:val="000000"/>
                <w:sz w:val="22"/>
                <w:szCs w:val="22"/>
                <w:lang w:val="en-GB"/>
              </w:rPr>
              <w:t>,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p>
          <w:p w14:paraId="7109473D"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0BFEE720" w14:textId="2F10546C"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for processing capability #1;</w:t>
            </w:r>
          </w:p>
          <w:p w14:paraId="4CF562C2" w14:textId="77777777"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 </w:t>
            </w:r>
          </w:p>
          <w:p w14:paraId="7CDA85CA" w14:textId="132E1DB0" w:rsidR="00EB5415" w:rsidRPr="00EB5415" w:rsidRDefault="00EB5415" w:rsidP="00EB5415">
            <w:pPr>
              <w:pStyle w:val="tal0"/>
              <w:spacing w:before="0" w:beforeAutospacing="0" w:after="0" w:afterAutospacing="0"/>
              <w:rPr>
                <w:rFonts w:asciiTheme="minorHAnsi" w:hAnsiTheme="minorHAnsi" w:cstheme="minorHAnsi"/>
                <w:color w:val="000000"/>
                <w:sz w:val="22"/>
                <w:szCs w:val="22"/>
              </w:rPr>
            </w:pPr>
            <w:r w:rsidRPr="00EB5415">
              <w:rPr>
                <w:rFonts w:asciiTheme="minorHAnsi" w:hAnsiTheme="minorHAnsi" w:cstheme="minorHAnsi"/>
                <w:color w:val="000000"/>
                <w:sz w:val="22"/>
                <w:szCs w:val="22"/>
                <w:lang w:val="en-GB"/>
              </w:rPr>
              <w:t>For component 1, a list of separate UE capabilities (X, Y, </w:t>
            </w:r>
            <m:oMath>
              <m:r>
                <w:rPr>
                  <w:rFonts w:ascii="Cambria Math" w:hAnsi="Cambria Math" w:cstheme="minorHAnsi"/>
                  <w:color w:val="000000"/>
                  <w:sz w:val="22"/>
                  <w:szCs w:val="22"/>
                  <w:lang w:val="en-GB"/>
                </w:rPr>
                <m:t>μ</m:t>
              </m:r>
            </m:oMath>
            <w:r w:rsidRPr="00EB5415">
              <w:rPr>
                <w:rFonts w:asciiTheme="minorHAnsi" w:hAnsiTheme="minorHAnsi" w:cstheme="minorHAnsi"/>
                <w:color w:val="000000"/>
                <w:sz w:val="22"/>
                <w:szCs w:val="22"/>
                <w:lang w:val="en-GB"/>
              </w:rPr>
              <w:t>)</w:t>
            </w:r>
            <w:r>
              <w:rPr>
                <w:rFonts w:asciiTheme="minorHAnsi" w:hAnsiTheme="minorHAnsi" w:cstheme="minorHAnsi"/>
                <w:color w:val="000000"/>
                <w:sz w:val="22"/>
                <w:szCs w:val="22"/>
                <w:lang w:val="en-GB"/>
              </w:rPr>
              <w:t xml:space="preserve"> </w:t>
            </w:r>
            <w:r w:rsidRPr="00EB5415">
              <w:rPr>
                <w:rFonts w:asciiTheme="minorHAnsi" w:hAnsiTheme="minorHAnsi" w:cstheme="minorHAnsi"/>
                <w:color w:val="000000"/>
                <w:sz w:val="22"/>
                <w:szCs w:val="22"/>
                <w:lang w:val="en-GB"/>
              </w:rPr>
              <w:t>for processing capability #2;</w:t>
            </w:r>
          </w:p>
          <w:p w14:paraId="75C4EFB3" w14:textId="77777777" w:rsidR="0048770C" w:rsidRPr="00EB5415" w:rsidRDefault="0048770C" w:rsidP="0048770C">
            <w:pPr>
              <w:rPr>
                <w:rFonts w:eastAsia="Times New Roman" w:cstheme="minorHAnsi"/>
                <w:sz w:val="28"/>
                <w:szCs w:val="28"/>
              </w:rPr>
            </w:pPr>
            <w:r w:rsidRPr="000326F2">
              <w:rPr>
                <w:rFonts w:eastAsia="Times New Roman" w:cstheme="minorHAnsi"/>
                <w:sz w:val="28"/>
                <w:szCs w:val="28"/>
                <w:lang w:val="en-GB"/>
              </w:rPr>
              <w:lastRenderedPageBreak/>
              <w:t> </w:t>
            </w:r>
          </w:p>
          <w:p w14:paraId="2F1CBE59" w14:textId="77777777" w:rsidR="0048770C" w:rsidRPr="0086457C" w:rsidRDefault="0048770C" w:rsidP="0048770C">
            <w:pPr>
              <w:jc w:val="both"/>
              <w:rPr>
                <w:rFonts w:eastAsia="MS Mincho" w:cstheme="minorHAnsi"/>
                <w:lang w:val="en-GB" w:eastAsia="ja-JP"/>
              </w:rPr>
            </w:pPr>
          </w:p>
        </w:tc>
        <w:tc>
          <w:tcPr>
            <w:tcW w:w="1076" w:type="dxa"/>
          </w:tcPr>
          <w:p w14:paraId="7CBF18B9" w14:textId="1F2CAE40" w:rsidR="0048770C" w:rsidRPr="0086457C" w:rsidRDefault="0048770C" w:rsidP="0048770C">
            <w:pPr>
              <w:jc w:val="both"/>
              <w:rPr>
                <w:rFonts w:eastAsia="MS Mincho" w:cstheme="minorHAnsi"/>
                <w:lang w:val="en-GB" w:eastAsia="ja-JP"/>
              </w:rPr>
            </w:pPr>
            <w:r w:rsidRPr="000326F2">
              <w:rPr>
                <w:rFonts w:eastAsia="Times New Roman" w:cstheme="minorHAnsi"/>
                <w:lang w:val="en-GB"/>
              </w:rPr>
              <w:lastRenderedPageBreak/>
              <w:t>Optional with capability signalling</w:t>
            </w:r>
          </w:p>
        </w:tc>
      </w:tr>
    </w:tbl>
    <w:p w14:paraId="747331DA" w14:textId="77777777" w:rsidR="0048770C" w:rsidRDefault="0048770C" w:rsidP="00F31FFA">
      <w:pPr>
        <w:jc w:val="both"/>
        <w:rPr>
          <w:rFonts w:eastAsia="MS Mincho"/>
          <w:lang w:val="en-GB" w:eastAsia="ja-JP"/>
        </w:rPr>
      </w:pPr>
    </w:p>
    <w:p w14:paraId="09DF4190" w14:textId="1FAD96D7" w:rsidR="000326F2" w:rsidRDefault="0048770C" w:rsidP="00F31FFA">
      <w:pPr>
        <w:jc w:val="both"/>
        <w:rPr>
          <w:rFonts w:eastAsia="MS Mincho"/>
          <w:lang w:val="en-GB" w:eastAsia="ja-JP"/>
        </w:rPr>
      </w:pPr>
      <w:r>
        <w:rPr>
          <w:rFonts w:eastAsia="MS Mincho"/>
          <w:lang w:val="en-GB" w:eastAsia="ja-JP"/>
        </w:rPr>
        <w:t>Since, the (X,Y) patterns and their associated CCE/BD limits are included in 38.213, the following changes are then proposed:</w:t>
      </w:r>
    </w:p>
    <w:p w14:paraId="61808B26" w14:textId="2B67A41A" w:rsidR="0048770C" w:rsidRDefault="0048770C" w:rsidP="00F31FFA">
      <w:pPr>
        <w:jc w:val="both"/>
        <w:rPr>
          <w:rFonts w:eastAsia="MS Mincho"/>
          <w:lang w:val="en-GB" w:eastAsia="ja-JP"/>
        </w:rPr>
      </w:pPr>
    </w:p>
    <w:p w14:paraId="420F396F" w14:textId="2F2FA9C7" w:rsidR="004602FC" w:rsidRPr="004602FC" w:rsidRDefault="004602FC" w:rsidP="004602FC">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p>
    <w:tbl>
      <w:tblPr>
        <w:tblStyle w:val="TableGrid"/>
        <w:tblW w:w="0" w:type="auto"/>
        <w:tblLook w:val="04A0" w:firstRow="1" w:lastRow="0" w:firstColumn="1" w:lastColumn="0" w:noHBand="0" w:noVBand="1"/>
      </w:tblPr>
      <w:tblGrid>
        <w:gridCol w:w="19574"/>
      </w:tblGrid>
      <w:tr w:rsidR="0048770C" w14:paraId="32DCA545" w14:textId="77777777" w:rsidTr="0048770C">
        <w:tc>
          <w:tcPr>
            <w:tcW w:w="19574" w:type="dxa"/>
          </w:tcPr>
          <w:p w14:paraId="09B67C0C" w14:textId="77777777" w:rsidR="0048770C" w:rsidRDefault="0048770C" w:rsidP="0048770C">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91800AF" w14:textId="5C2EDB97" w:rsidR="0048770C" w:rsidRDefault="004602FC" w:rsidP="004602FC">
            <w:pPr>
              <w:jc w:val="center"/>
              <w:rPr>
                <w:rFonts w:eastAsia="MS Mincho"/>
                <w:lang w:val="en-GB" w:eastAsia="ja-JP"/>
              </w:rPr>
            </w:pPr>
            <w:r>
              <w:rPr>
                <w:rFonts w:eastAsia="MS Mincho"/>
                <w:lang w:val="en-GB" w:eastAsia="ja-JP"/>
              </w:rPr>
              <w:t>…</w:t>
            </w:r>
          </w:p>
          <w:p w14:paraId="0CAB0713" w14:textId="183B27DD" w:rsidR="004602FC" w:rsidRDefault="004602FC" w:rsidP="00F31FFA">
            <w:pPr>
              <w:jc w:val="both"/>
              <w:rPr>
                <w:rFonts w:eastAsia="MS Mincho"/>
                <w:lang w:val="en-GB" w:eastAsia="ja-JP"/>
              </w:rPr>
            </w:pPr>
          </w:p>
          <w:p w14:paraId="30751976" w14:textId="0020CAD2" w:rsidR="004602FC" w:rsidRDefault="004602FC" w:rsidP="00F31FFA">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63DEFEE5" wp14:editId="3F81518E">
                  <wp:extent cx="29527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00322E5C" w:rsidRPr="00322E5C">
              <w:rPr>
                <w:color w:val="C00000"/>
                <w:sz w:val="20"/>
                <w:szCs w:val="20"/>
                <w:lang w:val="en-GB"/>
              </w:rPr>
              <w:t>(4,1)</w:t>
            </w:r>
            <w:r w:rsidR="00322E5C">
              <w:rPr>
                <w:color w:val="000000"/>
                <w:sz w:val="20"/>
                <w:szCs w:val="20"/>
                <w:lang w:val="en-GB"/>
              </w:rPr>
              <w:t xml:space="preserve">, </w:t>
            </w:r>
            <w:r>
              <w:rPr>
                <w:color w:val="000000"/>
                <w:sz w:val="20"/>
                <w:szCs w:val="20"/>
                <w:lang w:val="en-GB"/>
              </w:rPr>
              <w:t xml:space="preserve">(4, 3), </w:t>
            </w:r>
            <w:r w:rsidR="00322E5C" w:rsidRPr="00322E5C">
              <w:rPr>
                <w:color w:val="C00000"/>
                <w:sz w:val="20"/>
                <w:szCs w:val="20"/>
                <w:lang w:val="en-GB"/>
              </w:rPr>
              <w:t xml:space="preserve">(7,1) </w:t>
            </w:r>
            <w:r w:rsidR="00322E5C">
              <w:rPr>
                <w:color w:val="000000"/>
                <w:sz w:val="20"/>
                <w:szCs w:val="20"/>
                <w:lang w:val="en-GB"/>
              </w:rPr>
              <w:t xml:space="preserve">and </w:t>
            </w:r>
            <w:r>
              <w:rPr>
                <w:color w:val="000000"/>
                <w:sz w:val="20"/>
                <w:szCs w:val="20"/>
                <w:lang w:val="en-GB"/>
              </w:rPr>
              <w:t>(7, 3) per SCS configuration of </w:t>
            </w:r>
            <w:r>
              <w:rPr>
                <w:noProof/>
                <w:color w:val="000000"/>
                <w:sz w:val="20"/>
                <w:szCs w:val="20"/>
                <w:lang w:val="en-GB"/>
              </w:rPr>
              <w:drawing>
                <wp:inline distT="0" distB="0" distL="0" distR="0" wp14:anchorId="7CE59238" wp14:editId="4A64DAB8">
                  <wp:extent cx="3048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w:t>
            </w:r>
            <w:proofErr w:type="spellStart"/>
            <w:r>
              <w:rPr>
                <w:color w:val="000000"/>
                <w:sz w:val="20"/>
                <w:szCs w:val="20"/>
                <w:lang w:val="en-GB"/>
              </w:rPr>
              <w:t>and</w:t>
            </w:r>
            <w:proofErr w:type="spellEnd"/>
            <w:r>
              <w:rPr>
                <w:color w:val="000000"/>
                <w:sz w:val="20"/>
                <w:szCs w:val="20"/>
                <w:lang w:val="en-GB"/>
              </w:rPr>
              <w:t> </w:t>
            </w:r>
            <w:r>
              <w:rPr>
                <w:noProof/>
                <w:color w:val="000000"/>
                <w:sz w:val="20"/>
                <w:szCs w:val="20"/>
                <w:lang w:val="en-GB"/>
              </w:rPr>
              <w:drawing>
                <wp:inline distT="0" distB="0" distL="0" distR="0" wp14:anchorId="0E27784A" wp14:editId="41327AB8">
                  <wp:extent cx="304800" cy="1524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 span is a number of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1B3E71CC" wp14:editId="01BB6578">
                  <wp:extent cx="295275" cy="1524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45A05A74" wp14:editId="2C34368B">
                  <wp:extent cx="857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33BAE896" wp14:editId="5BD34546">
                  <wp:extent cx="762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62A3C0BF" w14:textId="3F265091" w:rsidR="004602FC" w:rsidRDefault="004602FC" w:rsidP="00F31FFA">
            <w:pPr>
              <w:jc w:val="both"/>
              <w:rPr>
                <w:color w:val="000000"/>
                <w:sz w:val="20"/>
                <w:szCs w:val="20"/>
                <w:lang w:val="en-GB"/>
              </w:rPr>
            </w:pPr>
          </w:p>
          <w:p w14:paraId="3BED9F7F" w14:textId="0DD90ECA" w:rsidR="004602FC" w:rsidRPr="004602FC" w:rsidRDefault="004602FC" w:rsidP="004602FC">
            <w:pPr>
              <w:jc w:val="center"/>
              <w:rPr>
                <w:color w:val="000000"/>
                <w:lang w:val="en-GB"/>
              </w:rPr>
            </w:pPr>
            <w:r w:rsidRPr="004602FC">
              <w:rPr>
                <w:color w:val="000000"/>
                <w:lang w:val="en-GB"/>
              </w:rPr>
              <w:t>…</w:t>
            </w:r>
          </w:p>
          <w:p w14:paraId="5B192662" w14:textId="77777777" w:rsidR="004602FC" w:rsidRDefault="004602FC" w:rsidP="00F31FFA">
            <w:pPr>
              <w:jc w:val="both"/>
              <w:rPr>
                <w:rFonts w:eastAsia="MS Mincho"/>
                <w:lang w:val="en-GB" w:eastAsia="ja-JP"/>
              </w:rPr>
            </w:pPr>
          </w:p>
          <w:p w14:paraId="388483F3" w14:textId="77777777" w:rsidR="004602FC" w:rsidRDefault="004602FC" w:rsidP="004602FC">
            <w:pPr>
              <w:pStyle w:val="Heading2"/>
              <w:spacing w:before="180" w:after="180"/>
              <w:ind w:left="850" w:hanging="850"/>
              <w:outlineLvl w:val="1"/>
              <w:rPr>
                <w:rFonts w:ascii="Arial" w:hAnsi="Arial" w:cs="Arial"/>
                <w:color w:val="000000"/>
                <w:sz w:val="32"/>
                <w:szCs w:val="32"/>
              </w:rPr>
            </w:pPr>
            <w:bookmarkStart w:id="8" w:name="_Toc90376700"/>
            <w:r>
              <w:rPr>
                <w:rFonts w:ascii="Arial" w:hAnsi="Arial" w:cs="Arial"/>
                <w:b/>
                <w:bCs/>
                <w:color w:val="000000"/>
                <w:sz w:val="32"/>
                <w:szCs w:val="32"/>
                <w:lang w:val="en-GB"/>
              </w:rPr>
              <w:t>10.1   UE procedure for determining physical downlink control channel assignment</w:t>
            </w:r>
            <w:bookmarkEnd w:id="8"/>
          </w:p>
          <w:p w14:paraId="01C68834" w14:textId="77777777" w:rsidR="0048770C" w:rsidRDefault="0048770C" w:rsidP="00F31FFA">
            <w:pPr>
              <w:jc w:val="both"/>
              <w:rPr>
                <w:rFonts w:eastAsia="MS Mincho"/>
                <w:lang w:val="en-GB" w:eastAsia="ja-JP"/>
              </w:rPr>
            </w:pPr>
          </w:p>
          <w:p w14:paraId="765D351E" w14:textId="77777777" w:rsidR="004602FC" w:rsidRDefault="004602FC" w:rsidP="004602FC">
            <w:pPr>
              <w:jc w:val="center"/>
              <w:rPr>
                <w:rFonts w:eastAsia="MS Mincho"/>
                <w:lang w:val="en-GB" w:eastAsia="ja-JP"/>
              </w:rPr>
            </w:pPr>
            <w:r>
              <w:rPr>
                <w:rFonts w:eastAsia="MS Mincho"/>
                <w:lang w:val="en-GB" w:eastAsia="ja-JP"/>
              </w:rPr>
              <w:t>…</w:t>
            </w:r>
          </w:p>
          <w:p w14:paraId="397B0E7F" w14:textId="29A63B6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33425320" wp14:editId="751B0BF2">
                  <wp:extent cx="3619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127BAFFF" wp14:editId="61F6D1A1">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2E1B740C" wp14:editId="09BB10AF">
                  <wp:extent cx="76200" cy="15240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6E3FC2DA" wp14:editId="31E931E9">
                  <wp:extent cx="17145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F2324E0" wp14:editId="0359F837">
                  <wp:extent cx="352425" cy="17145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224A6CA2" wp14:editId="1E2B52FA">
                  <wp:extent cx="352425" cy="1619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C3652BA" wp14:editId="508E817C">
                  <wp:extent cx="3238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6B10752C" wp14:editId="6B7A71F1">
                  <wp:extent cx="847725" cy="180975"/>
                  <wp:effectExtent l="0" t="0" r="9525"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716BFD63" wp14:editId="39375FD5">
                  <wp:extent cx="762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56E4A817" wp14:editId="54834C7F">
                  <wp:extent cx="17145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1D114E34" wp14:editId="6997E8D1">
                  <wp:extent cx="361950" cy="1809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40E7EFD0" w14:textId="4E1331F2"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3BF1DE2F" wp14:editId="79E48019">
                  <wp:extent cx="523875" cy="1714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48E57AE1" wp14:editId="1AC8031F">
                  <wp:extent cx="76200" cy="1524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1CE7C898" w14:textId="7B05BDAE"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26A7E05B" wp14:editId="7D60861B">
                  <wp:extent cx="571500" cy="2095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156DC00" wp14:editId="1DC35493">
                  <wp:extent cx="7715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4602FC" w:rsidRPr="004602FC" w14:paraId="00C3D2D6" w14:textId="77777777" w:rsidTr="004602FC">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3073462" w14:textId="3E41921E"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4C42B6C7" wp14:editId="6C240E32">
                        <wp:extent cx="76200" cy="1333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467139D1" w14:textId="2EA9A894"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366AD4C6" wp14:editId="1BABF383">
                        <wp:extent cx="52387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4602FC" w:rsidRPr="004602FC" w14:paraId="2C2481B0"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37BFFE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7716436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4602FC" w:rsidRPr="004602FC" w14:paraId="2B24840E"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0F900A7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23EF372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4602FC" w:rsidRPr="004602FC" w14:paraId="373A5294"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32EAC43C"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7376FFA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4602FC" w:rsidRPr="004602FC" w14:paraId="10199C84"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537ED87F"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44446D1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41963E48"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3BE03130" w14:textId="165616A2" w:rsidR="004602FC" w:rsidRPr="004602FC" w:rsidRDefault="004602FC" w:rsidP="004602F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3B7179A9" wp14:editId="696D0497">
                  <wp:extent cx="571500" cy="1714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B55180C" wp14:editId="44FFD372">
                  <wp:extent cx="76200" cy="152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22CBE0E5" w14:textId="12AF7109"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A883B0E" wp14:editId="1A38DE28">
                  <wp:extent cx="609600" cy="2095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374E78DB" wp14:editId="54C26769">
                  <wp:extent cx="52387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4602FC" w:rsidRPr="004602FC" w14:paraId="56ECF44E" w14:textId="77777777" w:rsidTr="004602FC">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27F7E99" w14:textId="77777777"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7028590B" w14:textId="2F97D1EA"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587F2B32" wp14:editId="681959D3">
                        <wp:extent cx="561975" cy="1714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21A8FB80" wp14:editId="1DAFF0CA">
                        <wp:extent cx="285750" cy="133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4602FC" w:rsidRPr="004602FC" w14:paraId="7D06321B" w14:textId="77777777" w:rsidTr="004602FC">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5B654819" w14:textId="012A582C" w:rsidR="004602FC" w:rsidRPr="004602FC" w:rsidRDefault="004602FC" w:rsidP="004602F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6AC52B46" wp14:editId="714F101F">
                        <wp:extent cx="76200" cy="1333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578BD946" w14:textId="271FE5D4"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2B1B2560" w14:textId="2FCD9FBE"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4B75B0A3" w14:textId="2A7DA453"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(7, 3)</w:t>
                  </w:r>
                </w:p>
              </w:tc>
            </w:tr>
            <w:tr w:rsidR="004602FC" w:rsidRPr="004602FC" w14:paraId="69F86A7E"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71BD2E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01A5D016"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512C9191"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35D93CA6"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4602FC" w:rsidRPr="004602FC" w14:paraId="31B2E0C8"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7A1A5AD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601B8F4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1C542781"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637C46BE"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366638DD"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AA058D2" w14:textId="39112D32"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291A0B1A" wp14:editId="47FFBD62">
                  <wp:extent cx="48577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728A2DC" wp14:editId="741C5B95">
                  <wp:extent cx="762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447C1E4C"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68A31150" w14:textId="77777777" w:rsidR="004602FC" w:rsidRPr="004602FC" w:rsidRDefault="004602FC" w:rsidP="004602F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52DC23BF" w14:textId="77777777" w:rsidR="004602FC" w:rsidRPr="004602FC" w:rsidRDefault="004602FC" w:rsidP="004602F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62542FA0" w14:textId="77AE1BF3"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1CFCB787" wp14:editId="50E18B69">
                  <wp:extent cx="53340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26197536" wp14:editId="4E7D6087">
                  <wp:extent cx="7715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4602FC" w:rsidRPr="004602FC" w14:paraId="64EAFB1C" w14:textId="77777777" w:rsidTr="004602FC">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2B3F3C7" w14:textId="06325103"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39B250D0" wp14:editId="09907703">
                        <wp:extent cx="76200" cy="133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5C9BED49" w14:textId="331F7A6A"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08D31E3F" wp14:editId="174AFED9">
                        <wp:extent cx="4953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4602FC" w:rsidRPr="004602FC" w14:paraId="1AB6DCAD"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25B04919"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76F11B72"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25425716"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43CA0D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54F3BA63"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61546E48"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D13A8C7"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63EC690"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4602FC" w:rsidRPr="004602FC" w14:paraId="7960BB52" w14:textId="77777777" w:rsidTr="004602FC">
              <w:trPr>
                <w:jc w:val="center"/>
              </w:trPr>
              <w:tc>
                <w:tcPr>
                  <w:tcW w:w="1465" w:type="dxa"/>
                  <w:tcBorders>
                    <w:top w:val="nil"/>
                    <w:left w:val="single" w:sz="8" w:space="0" w:color="auto"/>
                    <w:bottom w:val="single" w:sz="8" w:space="0" w:color="auto"/>
                    <w:right w:val="single" w:sz="8" w:space="0" w:color="auto"/>
                  </w:tcBorders>
                  <w:vAlign w:val="center"/>
                  <w:hideMark/>
                </w:tcPr>
                <w:p w14:paraId="7F17B69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4BC5ABE8"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0EFF230A" w14:textId="77777777" w:rsidR="004602FC" w:rsidRPr="004602FC" w:rsidRDefault="004602FC" w:rsidP="004602F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6CEFFFFC" w14:textId="0E24C55C" w:rsidR="004602FC" w:rsidRPr="004602FC" w:rsidRDefault="004602FC" w:rsidP="004602F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263C12D5" wp14:editId="33563B11">
                  <wp:extent cx="533400"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69AB34D7" wp14:editId="60A85E48">
                  <wp:extent cx="762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4E3C6014" w14:textId="39E6B4EC" w:rsidR="004602FC" w:rsidRPr="004602FC" w:rsidRDefault="004602FC" w:rsidP="004602F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68171689" wp14:editId="7A982595">
                  <wp:extent cx="581025" cy="2286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58C87E54" wp14:editId="3A9B6350">
                  <wp:extent cx="52387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4602FC" w:rsidRPr="004602FC" w14:paraId="74E62F3B" w14:textId="77777777" w:rsidTr="004602FC">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D3ED114" w14:textId="77777777" w:rsidR="004602FC" w:rsidRPr="004602FC" w:rsidRDefault="004602FC" w:rsidP="004602F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DE7E918" w14:textId="4B2861E5" w:rsidR="004602FC" w:rsidRPr="004602FC" w:rsidRDefault="004602FC" w:rsidP="004602F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1EA34053" wp14:editId="6BC04BC9">
                        <wp:extent cx="533400" cy="1714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77E76187" wp14:editId="14352939">
                        <wp:extent cx="285750" cy="133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4602FC" w:rsidRPr="004602FC" w14:paraId="4A0C4624" w14:textId="77777777" w:rsidTr="004602FC">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DAEF1D4" w14:textId="1245CBE5" w:rsidR="004602FC" w:rsidRPr="004602FC" w:rsidRDefault="004602FC" w:rsidP="004602F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02956CC9" wp14:editId="163F37A1">
                        <wp:extent cx="66675" cy="1333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7B80348B" w14:textId="7BD019FF"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006CB33C" w14:textId="66492B87"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(4, 3)</w:t>
                  </w:r>
                </w:p>
              </w:tc>
              <w:tc>
                <w:tcPr>
                  <w:tcW w:w="1440" w:type="dxa"/>
                  <w:tcBorders>
                    <w:top w:val="nil"/>
                    <w:left w:val="nil"/>
                    <w:bottom w:val="single" w:sz="8" w:space="0" w:color="auto"/>
                    <w:right w:val="single" w:sz="8" w:space="0" w:color="auto"/>
                  </w:tcBorders>
                  <w:hideMark/>
                </w:tcPr>
                <w:p w14:paraId="6524A64A" w14:textId="667DBB59" w:rsidR="004602FC" w:rsidRPr="004602FC" w:rsidRDefault="00322E5C" w:rsidP="004602F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004602FC" w:rsidRPr="004602FC">
                    <w:rPr>
                      <w:rFonts w:ascii="Arial" w:eastAsia="Times New Roman" w:hAnsi="Arial" w:cs="Arial"/>
                      <w:sz w:val="18"/>
                      <w:szCs w:val="18"/>
                      <w:lang w:val="en-GB"/>
                    </w:rPr>
                    <w:t>(7, 3)</w:t>
                  </w:r>
                </w:p>
              </w:tc>
            </w:tr>
            <w:tr w:rsidR="004602FC" w:rsidRPr="004602FC" w14:paraId="792C7977"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53EBAF8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13BA2085"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667E4A8F"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5FF2B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4602FC" w:rsidRPr="004602FC" w14:paraId="728F9043" w14:textId="77777777" w:rsidTr="004602FC">
              <w:trPr>
                <w:jc w:val="center"/>
              </w:trPr>
              <w:tc>
                <w:tcPr>
                  <w:tcW w:w="794" w:type="dxa"/>
                  <w:tcBorders>
                    <w:top w:val="nil"/>
                    <w:left w:val="single" w:sz="8" w:space="0" w:color="auto"/>
                    <w:bottom w:val="single" w:sz="8" w:space="0" w:color="auto"/>
                    <w:right w:val="single" w:sz="8" w:space="0" w:color="auto"/>
                  </w:tcBorders>
                  <w:vAlign w:val="center"/>
                  <w:hideMark/>
                </w:tcPr>
                <w:p w14:paraId="3A3CC44A"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484320A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524965DD"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64D5A108" w14:textId="77777777" w:rsidR="004602FC" w:rsidRPr="004602FC" w:rsidRDefault="004602FC" w:rsidP="004602F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13745B10" w14:textId="77777777" w:rsidR="004602FC" w:rsidRDefault="004602FC" w:rsidP="00F31FFA">
            <w:pPr>
              <w:jc w:val="both"/>
              <w:rPr>
                <w:rFonts w:eastAsia="MS Mincho"/>
                <w:lang w:val="en-GB" w:eastAsia="ja-JP"/>
              </w:rPr>
            </w:pPr>
          </w:p>
          <w:p w14:paraId="1C8EF1BD" w14:textId="63150214" w:rsidR="004602FC" w:rsidRDefault="004602FC" w:rsidP="004602FC">
            <w:pPr>
              <w:jc w:val="center"/>
              <w:rPr>
                <w:rFonts w:eastAsia="MS Mincho"/>
                <w:lang w:val="en-GB" w:eastAsia="ja-JP"/>
              </w:rPr>
            </w:pPr>
            <w:r>
              <w:rPr>
                <w:rFonts w:eastAsia="MS Mincho"/>
                <w:lang w:val="en-GB" w:eastAsia="ja-JP"/>
              </w:rPr>
              <w:t>…</w:t>
            </w:r>
          </w:p>
        </w:tc>
      </w:tr>
    </w:tbl>
    <w:p w14:paraId="733E59A6" w14:textId="2DC94CEF" w:rsidR="0048770C" w:rsidRDefault="0048770C" w:rsidP="00F31FFA">
      <w:pPr>
        <w:jc w:val="both"/>
        <w:rPr>
          <w:rFonts w:eastAsia="MS Mincho"/>
          <w:lang w:val="en-GB" w:eastAsia="ja-JP"/>
        </w:rPr>
      </w:pPr>
    </w:p>
    <w:p w14:paraId="1E992BB1" w14:textId="15ED33C0" w:rsidR="00D17083" w:rsidRDefault="00D17083" w:rsidP="00F31FFA">
      <w:pPr>
        <w:jc w:val="both"/>
        <w:rPr>
          <w:rFonts w:eastAsia="MS Mincho"/>
          <w:lang w:val="en-GB" w:eastAsia="ja-JP"/>
        </w:rPr>
      </w:pPr>
      <w:r>
        <w:rPr>
          <w:rFonts w:eastAsia="MS Mincho"/>
          <w:lang w:val="en-GB" w:eastAsia="ja-JP"/>
        </w:rPr>
        <w:t xml:space="preserve">Based on the specified FGs for Rel. 16 URLLC, the following FGs have FG 11-2 as their prerequisite either directly or indirectly: FG 11-2a, 11-2b, 11-2c, 11-2d, 11-2e, 11-2f and 11-2g. With the addition of the proposed FG 11-2x, </w:t>
      </w:r>
      <w:r w:rsidR="00546686">
        <w:rPr>
          <w:rFonts w:eastAsia="MS Mincho"/>
          <w:lang w:val="en-GB" w:eastAsia="ja-JP"/>
        </w:rPr>
        <w:t>this FG</w:t>
      </w:r>
      <w:r>
        <w:rPr>
          <w:rFonts w:eastAsia="MS Mincho"/>
          <w:lang w:val="en-GB" w:eastAsia="ja-JP"/>
        </w:rPr>
        <w:t xml:space="preserve"> can be added as a prerequisite to FG 11-2a, 11-2b, 11-2d and 11-2f. However, if the span-based feature is already implemented and there are concerns on backward compatibility, the alternative approach is to create a mirrored version of FG 11-2a, 11-2b, 11-2c, 11-2d, 11-2e, 11-2f and 11-2g which are directly or indirectly related to FG 11-2x. </w:t>
      </w:r>
    </w:p>
    <w:p w14:paraId="5BFEC2E1" w14:textId="77777777" w:rsidR="0048770C" w:rsidRDefault="0048770C" w:rsidP="00F31FFA">
      <w:pPr>
        <w:jc w:val="both"/>
        <w:rPr>
          <w:rFonts w:eastAsia="MS Mincho"/>
          <w:lang w:val="en-GB" w:eastAsia="ja-JP"/>
        </w:rPr>
      </w:pPr>
    </w:p>
    <w:p w14:paraId="1F058FD8" w14:textId="77777777" w:rsidR="000326F2" w:rsidRDefault="000326F2" w:rsidP="00F31FFA">
      <w:pPr>
        <w:jc w:val="both"/>
        <w:rPr>
          <w:rFonts w:eastAsia="MS Mincho"/>
          <w:lang w:val="en-GB" w:eastAsia="ja-JP"/>
        </w:rPr>
      </w:pPr>
    </w:p>
    <w:p w14:paraId="2C4D493E" w14:textId="41131B6F" w:rsidR="00E02E8E" w:rsidRDefault="000326F2" w:rsidP="00F31FFA">
      <w:pPr>
        <w:jc w:val="both"/>
        <w:rPr>
          <w:rFonts w:eastAsia="MS Mincho"/>
          <w:b/>
          <w:bCs/>
          <w:lang w:val="en-GB" w:eastAsia="ja-JP"/>
        </w:rPr>
      </w:pPr>
      <w:r w:rsidRPr="00FC21BB">
        <w:rPr>
          <w:rFonts w:eastAsia="MS Mincho"/>
          <w:b/>
          <w:bCs/>
          <w:lang w:val="en-GB" w:eastAsia="ja-JP"/>
        </w:rPr>
        <w:t xml:space="preserve">Proposal: For R16 span-based PDCCH monitoring capability, </w:t>
      </w:r>
      <w:r w:rsidR="00FC21BB" w:rsidRPr="00FC21BB">
        <w:rPr>
          <w:rFonts w:eastAsia="MS Mincho"/>
          <w:b/>
          <w:bCs/>
          <w:lang w:val="en-GB" w:eastAsia="ja-JP"/>
        </w:rPr>
        <w:t>include (2,1)</w:t>
      </w:r>
      <w:r w:rsidR="00191109">
        <w:rPr>
          <w:rFonts w:eastAsia="MS Mincho"/>
          <w:b/>
          <w:bCs/>
          <w:lang w:val="en-GB" w:eastAsia="ja-JP"/>
        </w:rPr>
        <w:t>, (4,1) and (7,1)</w:t>
      </w:r>
      <w:r w:rsidR="00FC21BB" w:rsidRPr="00FC21BB">
        <w:rPr>
          <w:rFonts w:eastAsia="MS Mincho"/>
          <w:b/>
          <w:bCs/>
          <w:lang w:val="en-GB" w:eastAsia="ja-JP"/>
        </w:rPr>
        <w:t xml:space="preserve"> as the new (X,Y) pattern</w:t>
      </w:r>
      <w:r w:rsidR="00191109">
        <w:rPr>
          <w:rFonts w:eastAsia="MS Mincho"/>
          <w:b/>
          <w:bCs/>
          <w:lang w:val="en-GB" w:eastAsia="ja-JP"/>
        </w:rPr>
        <w:t>s</w:t>
      </w:r>
      <w:r w:rsidR="00FC21BB" w:rsidRPr="00FC21BB">
        <w:rPr>
          <w:rFonts w:eastAsia="MS Mincho"/>
          <w:b/>
          <w:bCs/>
          <w:lang w:val="en-GB" w:eastAsia="ja-JP"/>
        </w:rPr>
        <w:t xml:space="preserve"> and introduce the following FG:</w:t>
      </w:r>
      <w:r w:rsidRPr="00FC21BB">
        <w:rPr>
          <w:rFonts w:eastAsia="MS Mincho"/>
          <w:b/>
          <w:bCs/>
          <w:lang w:val="en-GB" w:eastAsia="ja-JP"/>
        </w:rPr>
        <w:t xml:space="preserve"> </w:t>
      </w:r>
      <w:r w:rsidR="00E02E8E" w:rsidRPr="00FC21BB">
        <w:rPr>
          <w:rFonts w:eastAsia="MS Mincho"/>
          <w:b/>
          <w:bCs/>
          <w:lang w:val="en-GB" w:eastAsia="ja-JP"/>
        </w:rPr>
        <w:t xml:space="preserve"> </w:t>
      </w:r>
    </w:p>
    <w:tbl>
      <w:tblPr>
        <w:tblStyle w:val="TableGrid"/>
        <w:tblW w:w="20222" w:type="dxa"/>
        <w:tblLook w:val="04A0" w:firstRow="1" w:lastRow="0" w:firstColumn="1" w:lastColumn="0" w:noHBand="0" w:noVBand="1"/>
      </w:tblPr>
      <w:tblGrid>
        <w:gridCol w:w="2194"/>
        <w:gridCol w:w="2236"/>
        <w:gridCol w:w="3592"/>
        <w:gridCol w:w="861"/>
        <w:gridCol w:w="2294"/>
        <w:gridCol w:w="2288"/>
        <w:gridCol w:w="1380"/>
        <w:gridCol w:w="1080"/>
        <w:gridCol w:w="3193"/>
        <w:gridCol w:w="1104"/>
      </w:tblGrid>
      <w:tr w:rsidR="00EB5415" w14:paraId="2EDCDA01" w14:textId="77777777" w:rsidTr="00322E5C">
        <w:tc>
          <w:tcPr>
            <w:tcW w:w="2194" w:type="dxa"/>
          </w:tcPr>
          <w:p w14:paraId="0CC7F002" w14:textId="7BDBCBAD"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11-2</w:t>
            </w:r>
            <w:r w:rsidRPr="00EB5415">
              <w:rPr>
                <w:rFonts w:eastAsia="Times New Roman" w:cstheme="minorHAnsi"/>
                <w:b/>
                <w:bCs/>
                <w:color w:val="000000" w:themeColor="text1"/>
                <w:lang w:val="en-GB"/>
              </w:rPr>
              <w:t>x</w:t>
            </w:r>
          </w:p>
        </w:tc>
        <w:tc>
          <w:tcPr>
            <w:tcW w:w="2236" w:type="dxa"/>
          </w:tcPr>
          <w:p w14:paraId="6D4F3FDC" w14:textId="39761906"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Rel-16 PDCCH monitoring capability</w:t>
            </w:r>
          </w:p>
        </w:tc>
        <w:tc>
          <w:tcPr>
            <w:tcW w:w="3592" w:type="dxa"/>
          </w:tcPr>
          <w:p w14:paraId="6DF49B69"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1.   Supported combination(s) of (X, Y, m). For</w:t>
            </w:r>
            <w:r w:rsidRPr="00EB5415">
              <w:rPr>
                <w:rFonts w:eastAsia="Times New Roman" w:cstheme="minorHAnsi"/>
                <w:b/>
                <w:bCs/>
                <w:lang w:val="en-GB"/>
              </w:rPr>
              <w:t xml:space="preserve"> each</w:t>
            </w:r>
            <w:r w:rsidRPr="000326F2">
              <w:rPr>
                <w:rFonts w:eastAsia="Times New Roman" w:cstheme="minorHAnsi"/>
                <w:b/>
                <w:bCs/>
                <w:lang w:val="en-GB"/>
              </w:rPr>
              <w:t xml:space="preserve"> reported combination, the UE supports the limit C on the maximum number of non-overlapped CCEs for channel estimation per PDCCH monitoring span and the limit M on the maximum number of monitored PDCCH candidates per PDCCH monitoring span</w:t>
            </w:r>
          </w:p>
          <w:p w14:paraId="5BFAF458" w14:textId="77777777" w:rsidR="00EB5415" w:rsidRPr="000326F2" w:rsidRDefault="00EB5415" w:rsidP="00EB5415">
            <w:pPr>
              <w:ind w:left="318" w:hanging="284"/>
              <w:rPr>
                <w:rFonts w:eastAsia="Times New Roman" w:cstheme="minorHAnsi"/>
                <w:b/>
                <w:bCs/>
              </w:rPr>
            </w:pPr>
            <w:r w:rsidRPr="000326F2">
              <w:rPr>
                <w:rFonts w:eastAsia="Times New Roman" w:cstheme="minorHAnsi"/>
                <w:b/>
                <w:bCs/>
                <w:lang w:val="en-GB"/>
              </w:rPr>
              <w:t>2.   Maximum number of DL and UL unicast DCI formats in a span</w:t>
            </w:r>
          </w:p>
          <w:p w14:paraId="457CC5C9" w14:textId="77777777" w:rsidR="00EB5415" w:rsidRPr="000326F2" w:rsidRDefault="00EB5415" w:rsidP="00EB5415">
            <w:pPr>
              <w:ind w:left="318"/>
              <w:rPr>
                <w:rFonts w:eastAsia="Times New Roman" w:cstheme="minorHAnsi"/>
                <w:b/>
                <w:bCs/>
              </w:rPr>
            </w:pPr>
            <w:r w:rsidRPr="000326F2">
              <w:rPr>
                <w:rFonts w:eastAsia="Times New Roman" w:cstheme="minorHAnsi"/>
                <w:b/>
                <w:bCs/>
                <w:lang w:val="en-GB"/>
              </w:rPr>
              <w:t>For the set of monitoring occasions which are within the same span:</w:t>
            </w:r>
          </w:p>
          <w:p w14:paraId="5EBC867C"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xml:space="preserve">-     Processing one unicast DCI scheduling DL and one unicast </w:t>
            </w:r>
            <w:r w:rsidRPr="000326F2">
              <w:rPr>
                <w:rFonts w:eastAsia="Times New Roman" w:cstheme="minorHAnsi"/>
                <w:b/>
                <w:bCs/>
                <w:lang w:val="en-GB"/>
              </w:rPr>
              <w:lastRenderedPageBreak/>
              <w:t>DCI scheduling UL per scheduled CC across this set of monitoring occasions for FDD</w:t>
            </w:r>
          </w:p>
          <w:p w14:paraId="0180346B" w14:textId="77777777" w:rsidR="00EB5415" w:rsidRPr="000326F2" w:rsidRDefault="00EB5415" w:rsidP="00EB5415">
            <w:pPr>
              <w:ind w:left="601" w:hanging="284"/>
              <w:rPr>
                <w:rFonts w:eastAsia="Times New Roman" w:cstheme="minorHAnsi"/>
                <w:b/>
                <w:bCs/>
              </w:rPr>
            </w:pPr>
            <w:r w:rsidRPr="000326F2">
              <w:rPr>
                <w:rFonts w:eastAsia="Times New Roman" w:cstheme="minorHAnsi"/>
                <w:b/>
                <w:bCs/>
                <w:lang w:val="en-GB"/>
              </w:rPr>
              <w:t>-     Processing one unicast DCI scheduling DL and two unicast DCI scheduling UL per scheduled CC across this set of monitoring occasions for TDD</w:t>
            </w:r>
          </w:p>
          <w:p w14:paraId="2D4EB4FA" w14:textId="2E679988"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     Processing two unicast DCI scheduling DL and one unicast DCI scheduling UL per scheduled CC across this set of monitoring occasions for TDD</w:t>
            </w:r>
          </w:p>
        </w:tc>
        <w:tc>
          <w:tcPr>
            <w:tcW w:w="861" w:type="dxa"/>
          </w:tcPr>
          <w:p w14:paraId="3F819D82" w14:textId="77777777" w:rsidR="00EB5415" w:rsidRPr="00EB5415" w:rsidRDefault="00EB5415" w:rsidP="00EB5415">
            <w:pPr>
              <w:jc w:val="both"/>
              <w:rPr>
                <w:rFonts w:eastAsia="MS Mincho" w:cstheme="minorHAnsi"/>
                <w:b/>
                <w:bCs/>
                <w:lang w:val="en-GB" w:eastAsia="ja-JP"/>
              </w:rPr>
            </w:pPr>
          </w:p>
        </w:tc>
        <w:tc>
          <w:tcPr>
            <w:tcW w:w="2294" w:type="dxa"/>
          </w:tcPr>
          <w:p w14:paraId="72F28F33"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pdcch-Monitoring-r16 {</w:t>
            </w:r>
          </w:p>
          <w:p w14:paraId="5E6C9EFF"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pdsch-ProcessingType1-r16{</w:t>
            </w:r>
          </w:p>
          <w:p w14:paraId="081C8611"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494FDD18"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7E1ADE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7DA062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122B1B0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w:t>
            </w:r>
          </w:p>
          <w:p w14:paraId="1AB9987E"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pdsch-ProcessingType2-r16 {</w:t>
            </w:r>
          </w:p>
          <w:p w14:paraId="5D1BDA4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scs-15kHz-r16</w:t>
            </w:r>
          </w:p>
          <w:p w14:paraId="10920B6C"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lastRenderedPageBreak/>
              <w:t>PDCCH-MonitoringOccasions-r16,</w:t>
            </w:r>
          </w:p>
          <w:p w14:paraId="4DCCED19"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scs-30kHz-r16</w:t>
            </w:r>
          </w:p>
          <w:p w14:paraId="49B0C122" w14:textId="77777777" w:rsidR="00EB5415" w:rsidRPr="000326F2" w:rsidRDefault="00EB5415" w:rsidP="00EB5415">
            <w:pPr>
              <w:rPr>
                <w:rFonts w:eastAsia="Times New Roman" w:cstheme="minorHAnsi"/>
                <w:b/>
                <w:bCs/>
              </w:rPr>
            </w:pPr>
            <w:r w:rsidRPr="000326F2">
              <w:rPr>
                <w:rFonts w:eastAsia="Times New Roman" w:cstheme="minorHAnsi"/>
                <w:b/>
                <w:bCs/>
                <w:i/>
                <w:iCs/>
                <w:lang w:val="en-GB"/>
              </w:rPr>
              <w:t>PDCCH-MonitoringOccasions-r16</w:t>
            </w:r>
          </w:p>
          <w:p w14:paraId="30579D7F" w14:textId="1CEE0228"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t>}</w:t>
            </w:r>
          </w:p>
        </w:tc>
        <w:tc>
          <w:tcPr>
            <w:tcW w:w="2288" w:type="dxa"/>
          </w:tcPr>
          <w:p w14:paraId="2C41EB21" w14:textId="24A8AE60" w:rsidR="00EB5415" w:rsidRPr="00EB5415" w:rsidRDefault="00EB5415" w:rsidP="00EB5415">
            <w:pPr>
              <w:jc w:val="both"/>
              <w:rPr>
                <w:rFonts w:eastAsia="MS Mincho" w:cstheme="minorHAnsi"/>
                <w:b/>
                <w:bCs/>
                <w:lang w:val="en-GB" w:eastAsia="ja-JP"/>
              </w:rPr>
            </w:pPr>
            <w:r w:rsidRPr="000326F2">
              <w:rPr>
                <w:rFonts w:eastAsia="Times New Roman" w:cstheme="minorHAnsi"/>
                <w:b/>
                <w:bCs/>
                <w:i/>
                <w:iCs/>
                <w:lang w:val="en-GB"/>
              </w:rPr>
              <w:lastRenderedPageBreak/>
              <w:t>FeatureSetDownlink-v1610</w:t>
            </w:r>
          </w:p>
        </w:tc>
        <w:tc>
          <w:tcPr>
            <w:tcW w:w="1380" w:type="dxa"/>
          </w:tcPr>
          <w:p w14:paraId="77E60A3B" w14:textId="1C1BEA5F"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1080" w:type="dxa"/>
          </w:tcPr>
          <w:p w14:paraId="4F2370F2" w14:textId="3716C91A"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n/a</w:t>
            </w:r>
          </w:p>
        </w:tc>
        <w:tc>
          <w:tcPr>
            <w:tcW w:w="3193" w:type="dxa"/>
          </w:tcPr>
          <w:p w14:paraId="002DAE1C"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This capability is signalled for SCS 15 kHz and 30 kHz.</w:t>
            </w:r>
          </w:p>
          <w:p w14:paraId="737D1C78"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21BA1F8F" w14:textId="14D6DCCB"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xml:space="preserve"> =0 and 1, candidate value set for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{(7,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(4,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(2, 1,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w:t>
            </w:r>
          </w:p>
          <w:p w14:paraId="7C596B77"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0D7CAF1E" w14:textId="00252AA5"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for processing capability #1;</w:t>
            </w:r>
          </w:p>
          <w:p w14:paraId="0356C12F" w14:textId="77777777"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 </w:t>
            </w:r>
          </w:p>
          <w:p w14:paraId="323DCCCA" w14:textId="672503C9" w:rsidR="00EB5415" w:rsidRPr="00EB5415" w:rsidRDefault="00EB5415" w:rsidP="00EB5415">
            <w:pPr>
              <w:pStyle w:val="tal0"/>
              <w:spacing w:before="0" w:beforeAutospacing="0" w:after="0" w:afterAutospacing="0"/>
              <w:rPr>
                <w:rFonts w:asciiTheme="minorHAnsi" w:hAnsiTheme="minorHAnsi" w:cstheme="minorHAnsi"/>
                <w:b/>
                <w:bCs/>
                <w:color w:val="000000"/>
                <w:sz w:val="22"/>
                <w:szCs w:val="22"/>
              </w:rPr>
            </w:pPr>
            <w:r w:rsidRPr="00EB5415">
              <w:rPr>
                <w:rFonts w:asciiTheme="minorHAnsi" w:hAnsiTheme="minorHAnsi" w:cstheme="minorHAnsi"/>
                <w:b/>
                <w:bCs/>
                <w:color w:val="000000"/>
                <w:sz w:val="22"/>
                <w:szCs w:val="22"/>
                <w:lang w:val="en-GB"/>
              </w:rPr>
              <w:t>For component 1, a list of separate UE capabilities (X, Y, </w:t>
            </w:r>
            <m:oMath>
              <m:r>
                <m:rPr>
                  <m:sty m:val="bi"/>
                </m:rPr>
                <w:rPr>
                  <w:rFonts w:ascii="Cambria Math" w:hAnsi="Cambria Math" w:cstheme="minorHAnsi"/>
                  <w:color w:val="000000"/>
                  <w:sz w:val="22"/>
                  <w:szCs w:val="22"/>
                  <w:lang w:val="en-GB"/>
                </w:rPr>
                <m:t>μ</m:t>
              </m:r>
            </m:oMath>
            <w:r w:rsidRPr="00EB5415">
              <w:rPr>
                <w:rFonts w:asciiTheme="minorHAnsi" w:hAnsiTheme="minorHAnsi" w:cstheme="minorHAnsi"/>
                <w:b/>
                <w:bCs/>
                <w:color w:val="000000"/>
                <w:sz w:val="22"/>
                <w:szCs w:val="22"/>
                <w:lang w:val="en-GB"/>
              </w:rPr>
              <w:t>) for processing capability #2;</w:t>
            </w:r>
          </w:p>
          <w:p w14:paraId="07E63B60" w14:textId="77777777" w:rsidR="00EB5415" w:rsidRPr="00EB5415" w:rsidRDefault="00EB5415" w:rsidP="00EB5415">
            <w:pPr>
              <w:rPr>
                <w:rFonts w:eastAsia="Times New Roman" w:cstheme="minorHAnsi"/>
                <w:b/>
                <w:bCs/>
                <w:sz w:val="28"/>
                <w:szCs w:val="28"/>
              </w:rPr>
            </w:pPr>
            <w:r w:rsidRPr="000326F2">
              <w:rPr>
                <w:rFonts w:eastAsia="Times New Roman" w:cstheme="minorHAnsi"/>
                <w:b/>
                <w:bCs/>
                <w:sz w:val="28"/>
                <w:szCs w:val="28"/>
                <w:lang w:val="en-GB"/>
              </w:rPr>
              <w:t> </w:t>
            </w:r>
          </w:p>
          <w:p w14:paraId="769BCB20" w14:textId="77777777" w:rsidR="00EB5415" w:rsidRPr="00EB5415" w:rsidRDefault="00EB5415" w:rsidP="00EB5415">
            <w:pPr>
              <w:jc w:val="both"/>
              <w:rPr>
                <w:rFonts w:eastAsia="MS Mincho" w:cstheme="minorHAnsi"/>
                <w:b/>
                <w:bCs/>
                <w:lang w:val="en-GB" w:eastAsia="ja-JP"/>
              </w:rPr>
            </w:pPr>
          </w:p>
        </w:tc>
        <w:tc>
          <w:tcPr>
            <w:tcW w:w="1104" w:type="dxa"/>
          </w:tcPr>
          <w:p w14:paraId="51CC8A27" w14:textId="2C65F569" w:rsidR="00EB5415" w:rsidRPr="00EB5415" w:rsidRDefault="00EB5415" w:rsidP="00EB5415">
            <w:pPr>
              <w:jc w:val="both"/>
              <w:rPr>
                <w:rFonts w:eastAsia="MS Mincho" w:cstheme="minorHAnsi"/>
                <w:b/>
                <w:bCs/>
                <w:lang w:val="en-GB" w:eastAsia="ja-JP"/>
              </w:rPr>
            </w:pPr>
            <w:r w:rsidRPr="000326F2">
              <w:rPr>
                <w:rFonts w:eastAsia="Times New Roman" w:cstheme="minorHAnsi"/>
                <w:b/>
                <w:bCs/>
                <w:lang w:val="en-GB"/>
              </w:rPr>
              <w:t>Optional with capability signalling</w:t>
            </w:r>
          </w:p>
        </w:tc>
      </w:tr>
    </w:tbl>
    <w:p w14:paraId="2131C10E" w14:textId="4044A66E" w:rsidR="00335125" w:rsidRDefault="00335125" w:rsidP="00F31FFA">
      <w:pPr>
        <w:jc w:val="both"/>
        <w:rPr>
          <w:rFonts w:eastAsia="MS Mincho"/>
          <w:b/>
          <w:bCs/>
          <w:lang w:val="en-GB" w:eastAsia="ja-JP"/>
        </w:rPr>
      </w:pPr>
      <w:r>
        <w:rPr>
          <w:rFonts w:eastAsia="MS Mincho"/>
          <w:b/>
          <w:bCs/>
          <w:lang w:val="en-GB" w:eastAsia="ja-JP"/>
        </w:rPr>
        <w:t xml:space="preserve"> Further, apply the following changes to TS38.213 (Rel. 16):</w:t>
      </w:r>
    </w:p>
    <w:p w14:paraId="4D4A8821" w14:textId="44D021F7" w:rsidR="00335125" w:rsidRDefault="00335125" w:rsidP="00335125">
      <w:pPr>
        <w:rPr>
          <w:rFonts w:ascii="Calibri" w:eastAsia="MS Mincho" w:hAnsi="Calibri" w:cs="Calibri"/>
          <w:b/>
          <w:bCs/>
          <w:lang w:eastAsia="ja-JP"/>
        </w:rPr>
      </w:pPr>
      <w:r w:rsidRPr="004602FC">
        <w:rPr>
          <w:rFonts w:ascii="Calibri" w:eastAsia="MS Mincho" w:hAnsi="Calibri" w:cs="Calibri"/>
          <w:b/>
          <w:bCs/>
          <w:lang w:eastAsia="ja-JP"/>
        </w:rPr>
        <w:t>TP to TS38.21</w:t>
      </w:r>
      <w:r>
        <w:rPr>
          <w:rFonts w:ascii="Calibri" w:eastAsia="MS Mincho" w:hAnsi="Calibri" w:cs="Calibri"/>
          <w:b/>
          <w:bCs/>
          <w:lang w:eastAsia="ja-JP"/>
        </w:rPr>
        <w:t>3</w:t>
      </w:r>
      <w:r w:rsidRPr="004602FC">
        <w:rPr>
          <w:rFonts w:ascii="Calibri" w:eastAsia="MS Mincho" w:hAnsi="Calibri" w:cs="Calibri"/>
          <w:b/>
          <w:bCs/>
          <w:lang w:eastAsia="ja-JP"/>
        </w:rPr>
        <w:t xml:space="preserve"> Section </w:t>
      </w:r>
      <w:r>
        <w:rPr>
          <w:rFonts w:ascii="Calibri" w:eastAsia="MS Mincho" w:hAnsi="Calibri" w:cs="Calibri"/>
          <w:b/>
          <w:bCs/>
          <w:lang w:eastAsia="ja-JP"/>
        </w:rPr>
        <w:t>10</w:t>
      </w:r>
      <w:r w:rsidRPr="004602FC">
        <w:rPr>
          <w:rFonts w:ascii="Calibri" w:eastAsia="MS Mincho" w:hAnsi="Calibri" w:cs="Calibri"/>
          <w:b/>
          <w:bCs/>
          <w:lang w:eastAsia="ja-JP"/>
        </w:rPr>
        <w:t xml:space="preserve"> (Rel-16)</w:t>
      </w:r>
      <w:r w:rsidR="004D3D3E">
        <w:rPr>
          <w:rFonts w:ascii="Calibri" w:eastAsia="MS Mincho" w:hAnsi="Calibri" w:cs="Calibri"/>
          <w:b/>
          <w:bCs/>
          <w:lang w:eastAsia="ja-JP"/>
        </w:rPr>
        <w:t>:</w:t>
      </w:r>
    </w:p>
    <w:p w14:paraId="7FB3D8B1" w14:textId="318D07F2" w:rsidR="004D3D3E" w:rsidRDefault="004D3D3E" w:rsidP="00335125">
      <w:pPr>
        <w:rPr>
          <w:rFonts w:ascii="Calibri" w:eastAsia="MS Mincho" w:hAnsi="Calibri" w:cs="Calibri"/>
          <w:b/>
          <w:bCs/>
          <w:lang w:eastAsia="ja-JP"/>
        </w:rPr>
      </w:pPr>
    </w:p>
    <w:p w14:paraId="0A769C52" w14:textId="5F769EF9" w:rsidR="004D3D3E" w:rsidRDefault="004D3D3E" w:rsidP="00335125">
      <w:pPr>
        <w:rPr>
          <w:rFonts w:ascii="Calibri" w:eastAsia="MS Mincho" w:hAnsi="Calibri" w:cs="Calibri"/>
          <w:b/>
          <w:bCs/>
          <w:lang w:eastAsia="ja-JP"/>
        </w:rPr>
      </w:pPr>
      <w:r>
        <w:rPr>
          <w:rFonts w:ascii="Calibri" w:eastAsia="MS Mincho" w:hAnsi="Calibri" w:cs="Calibri"/>
          <w:b/>
          <w:bCs/>
          <w:lang w:eastAsia="ja-JP"/>
        </w:rPr>
        <w:t>Reason</w:t>
      </w:r>
      <w:r w:rsidR="00C45FE3">
        <w:rPr>
          <w:rFonts w:ascii="Calibri" w:eastAsia="MS Mincho" w:hAnsi="Calibri" w:cs="Calibri"/>
          <w:b/>
          <w:bCs/>
          <w:lang w:eastAsia="ja-JP"/>
        </w:rPr>
        <w:t>s</w:t>
      </w:r>
      <w:r>
        <w:rPr>
          <w:rFonts w:ascii="Calibri" w:eastAsia="MS Mincho" w:hAnsi="Calibri" w:cs="Calibri"/>
          <w:b/>
          <w:bCs/>
          <w:lang w:eastAsia="ja-JP"/>
        </w:rPr>
        <w:t xml:space="preserve"> for change: </w:t>
      </w:r>
      <w:r w:rsidR="00C45FE3" w:rsidRPr="0093358E">
        <w:rPr>
          <w:rFonts w:ascii="Calibri" w:eastAsia="MS Mincho" w:hAnsi="Calibri" w:cs="Calibri"/>
          <w:lang w:eastAsia="ja-JP"/>
        </w:rPr>
        <w:t>I</w:t>
      </w:r>
      <w:r w:rsidRPr="0093358E">
        <w:rPr>
          <w:rFonts w:ascii="Calibri" w:eastAsia="MS Mincho" w:hAnsi="Calibri" w:cs="Calibri"/>
          <w:lang w:eastAsia="ja-JP"/>
        </w:rPr>
        <w:t>ntroduc</w:t>
      </w:r>
      <w:r w:rsidR="00C45FE3" w:rsidRPr="0093358E">
        <w:rPr>
          <w:rFonts w:ascii="Calibri" w:eastAsia="MS Mincho" w:hAnsi="Calibri" w:cs="Calibri"/>
          <w:lang w:eastAsia="ja-JP"/>
        </w:rPr>
        <w:t>ing</w:t>
      </w:r>
      <w:r w:rsidRPr="0093358E">
        <w:rPr>
          <w:rFonts w:ascii="Calibri" w:eastAsia="MS Mincho" w:hAnsi="Calibri" w:cs="Calibri"/>
          <w:lang w:eastAsia="ja-JP"/>
        </w:rPr>
        <w:t xml:space="preserve"> </w:t>
      </w:r>
      <w:r w:rsidR="000E3F59" w:rsidRPr="0093358E">
        <w:rPr>
          <w:rFonts w:ascii="Calibri" w:eastAsia="MS Mincho" w:hAnsi="Calibri" w:cs="Calibri"/>
          <w:lang w:eastAsia="ja-JP"/>
        </w:rPr>
        <w:t>(2,1), (4,1) and (7,1) as new PDCCH monitoring span</w:t>
      </w:r>
      <w:r w:rsidR="00C45FE3" w:rsidRPr="0093358E">
        <w:rPr>
          <w:rFonts w:ascii="Calibri" w:eastAsia="MS Mincho" w:hAnsi="Calibri" w:cs="Calibri"/>
          <w:lang w:eastAsia="ja-JP"/>
        </w:rPr>
        <w:t xml:space="preserve"> patterns for R-16 PDCCH monitoring capability</w:t>
      </w:r>
      <w:r w:rsidR="00246E9E" w:rsidRPr="0093358E">
        <w:rPr>
          <w:rFonts w:ascii="Calibri" w:eastAsia="MS Mincho" w:hAnsi="Calibri" w:cs="Calibri"/>
          <w:lang w:eastAsia="ja-JP"/>
        </w:rPr>
        <w:t xml:space="preserve"> to ease UE complexity.</w:t>
      </w:r>
      <w:r w:rsidR="00246E9E">
        <w:rPr>
          <w:rFonts w:ascii="Calibri" w:eastAsia="MS Mincho" w:hAnsi="Calibri" w:cs="Calibri"/>
          <w:b/>
          <w:bCs/>
          <w:lang w:eastAsia="ja-JP"/>
        </w:rPr>
        <w:t xml:space="preserve"> </w:t>
      </w:r>
    </w:p>
    <w:p w14:paraId="64BD9C22" w14:textId="3A820705" w:rsidR="00246E9E" w:rsidRDefault="00246E9E" w:rsidP="00335125">
      <w:pPr>
        <w:rPr>
          <w:rFonts w:ascii="Calibri" w:eastAsia="MS Mincho" w:hAnsi="Calibri" w:cs="Calibri"/>
          <w:b/>
          <w:bCs/>
          <w:lang w:eastAsia="ja-JP"/>
        </w:rPr>
      </w:pPr>
      <w:r>
        <w:rPr>
          <w:rFonts w:ascii="Calibri" w:eastAsia="MS Mincho" w:hAnsi="Calibri" w:cs="Calibri"/>
          <w:b/>
          <w:bCs/>
          <w:lang w:eastAsia="ja-JP"/>
        </w:rPr>
        <w:t xml:space="preserve">Summary of change: </w:t>
      </w:r>
      <w:r w:rsidRPr="0093358E">
        <w:rPr>
          <w:rFonts w:ascii="Calibri" w:eastAsia="MS Mincho" w:hAnsi="Calibri" w:cs="Calibri"/>
          <w:lang w:eastAsia="ja-JP"/>
        </w:rPr>
        <w:t>Addition of the new patterns</w:t>
      </w:r>
      <w:r w:rsidR="00696EFF" w:rsidRPr="0093358E">
        <w:rPr>
          <w:rFonts w:ascii="Calibri" w:eastAsia="MS Mincho" w:hAnsi="Calibri" w:cs="Calibri"/>
          <w:lang w:eastAsia="ja-JP"/>
        </w:rPr>
        <w:t xml:space="preserve"> as possible candidates and </w:t>
      </w:r>
      <w:r w:rsidR="002741D7" w:rsidRPr="0093358E">
        <w:rPr>
          <w:rFonts w:ascii="Calibri" w:eastAsia="MS Mincho" w:hAnsi="Calibri" w:cs="Calibri"/>
          <w:lang w:eastAsia="ja-JP"/>
        </w:rPr>
        <w:t>determining their per-span CCE/BD limits</w:t>
      </w:r>
      <w:r w:rsidR="0093358E">
        <w:rPr>
          <w:rFonts w:ascii="Calibri" w:eastAsia="MS Mincho" w:hAnsi="Calibri" w:cs="Calibri"/>
          <w:lang w:eastAsia="ja-JP"/>
        </w:rPr>
        <w:t>.</w:t>
      </w:r>
    </w:p>
    <w:p w14:paraId="20CAAB53" w14:textId="77777777" w:rsidR="0014144A" w:rsidRPr="000257D0" w:rsidRDefault="0014144A" w:rsidP="0014144A">
      <w:pPr>
        <w:rPr>
          <w:rFonts w:ascii="Calibri" w:eastAsia="MS Mincho" w:hAnsi="Calibri" w:cs="Calibri"/>
        </w:rPr>
      </w:pPr>
      <w:r w:rsidRPr="000257D0">
        <w:rPr>
          <w:rFonts w:ascii="Calibri" w:eastAsia="MS Mincho" w:hAnsi="Calibri" w:cs="Calibri"/>
          <w:b/>
          <w:bCs/>
        </w:rPr>
        <w:t xml:space="preserve">Consequence if not adopted: </w:t>
      </w:r>
      <w:r>
        <w:rPr>
          <w:rFonts w:ascii="Calibri" w:eastAsia="MS Mincho" w:hAnsi="Calibri" w:cs="Calibri"/>
        </w:rPr>
        <w:t>Additional UE complexity for supporting back-to-back PDCCH symbols</w:t>
      </w:r>
      <w:r w:rsidRPr="000257D0">
        <w:rPr>
          <w:rFonts w:ascii="Calibri" w:eastAsia="MS Mincho" w:hAnsi="Calibri" w:cs="Calibri"/>
        </w:rPr>
        <w:t xml:space="preserve"> </w:t>
      </w:r>
    </w:p>
    <w:p w14:paraId="160D1F32" w14:textId="77777777" w:rsidR="000E3F59" w:rsidRPr="004602FC" w:rsidRDefault="000E3F59" w:rsidP="00335125">
      <w:pPr>
        <w:rPr>
          <w:rFonts w:ascii="Calibri" w:eastAsia="MS Mincho" w:hAnsi="Calibri" w:cs="Calibri"/>
          <w:b/>
          <w:bCs/>
          <w:lang w:eastAsia="ja-JP"/>
        </w:rPr>
      </w:pPr>
    </w:p>
    <w:tbl>
      <w:tblPr>
        <w:tblStyle w:val="TableGrid"/>
        <w:tblW w:w="0" w:type="auto"/>
        <w:tblLook w:val="04A0" w:firstRow="1" w:lastRow="0" w:firstColumn="1" w:lastColumn="0" w:noHBand="0" w:noVBand="1"/>
      </w:tblPr>
      <w:tblGrid>
        <w:gridCol w:w="19574"/>
      </w:tblGrid>
      <w:tr w:rsidR="00335125" w14:paraId="7D10ADBA" w14:textId="77777777" w:rsidTr="00920F17">
        <w:tc>
          <w:tcPr>
            <w:tcW w:w="19574" w:type="dxa"/>
          </w:tcPr>
          <w:p w14:paraId="0B92848E" w14:textId="77777777" w:rsidR="00322E5C" w:rsidRDefault="00322E5C" w:rsidP="00322E5C">
            <w:pPr>
              <w:pStyle w:val="Heading1"/>
              <w:spacing w:before="240" w:after="180"/>
              <w:ind w:left="1134" w:hanging="1134"/>
              <w:outlineLvl w:val="0"/>
              <w:rPr>
                <w:rFonts w:ascii="Arial" w:hAnsi="Arial" w:cs="Arial"/>
                <w:color w:val="000000"/>
                <w:sz w:val="36"/>
                <w:szCs w:val="36"/>
              </w:rPr>
            </w:pPr>
            <w:r>
              <w:rPr>
                <w:rFonts w:ascii="Arial" w:hAnsi="Arial" w:cs="Arial"/>
                <w:b/>
                <w:bCs/>
                <w:color w:val="000000"/>
                <w:sz w:val="36"/>
                <w:szCs w:val="36"/>
                <w:lang w:val="en-GB"/>
              </w:rPr>
              <w:lastRenderedPageBreak/>
              <w:t>10       UE procedure for receiving control information</w:t>
            </w:r>
          </w:p>
          <w:p w14:paraId="0EF3EA1F" w14:textId="77777777" w:rsidR="00322E5C" w:rsidRDefault="00322E5C" w:rsidP="00322E5C">
            <w:pPr>
              <w:jc w:val="center"/>
              <w:rPr>
                <w:rFonts w:eastAsia="MS Mincho"/>
                <w:lang w:val="en-GB" w:eastAsia="ja-JP"/>
              </w:rPr>
            </w:pPr>
            <w:r>
              <w:rPr>
                <w:rFonts w:eastAsia="MS Mincho"/>
                <w:lang w:val="en-GB" w:eastAsia="ja-JP"/>
              </w:rPr>
              <w:t>…</w:t>
            </w:r>
          </w:p>
          <w:p w14:paraId="3E695305" w14:textId="77777777" w:rsidR="00322E5C" w:rsidRDefault="00322E5C" w:rsidP="00322E5C">
            <w:pPr>
              <w:jc w:val="both"/>
              <w:rPr>
                <w:rFonts w:eastAsia="MS Mincho"/>
                <w:lang w:val="en-GB" w:eastAsia="ja-JP"/>
              </w:rPr>
            </w:pPr>
          </w:p>
          <w:p w14:paraId="69A2C3A6" w14:textId="77777777" w:rsidR="00322E5C" w:rsidRDefault="00322E5C" w:rsidP="00322E5C">
            <w:pPr>
              <w:jc w:val="both"/>
              <w:rPr>
                <w:color w:val="000000"/>
                <w:sz w:val="20"/>
                <w:szCs w:val="20"/>
                <w:lang w:val="en-GB"/>
              </w:rPr>
            </w:pPr>
            <w:r>
              <w:rPr>
                <w:color w:val="000000"/>
                <w:sz w:val="20"/>
                <w:szCs w:val="20"/>
                <w:lang w:val="en-GB"/>
              </w:rPr>
              <w:t>A UE can indicate a capability to monitor PDCCH according to one or more of the combinations </w:t>
            </w:r>
            <w:r>
              <w:rPr>
                <w:noProof/>
                <w:color w:val="000000"/>
                <w:sz w:val="20"/>
                <w:szCs w:val="20"/>
                <w:lang w:val="en-GB"/>
              </w:rPr>
              <w:drawing>
                <wp:inline distT="0" distB="0" distL="0" distR="0" wp14:anchorId="64DE9736" wp14:editId="4A5BCC62">
                  <wp:extent cx="295275" cy="15240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xml:space="preserve"> = </w:t>
            </w:r>
            <w:r w:rsidRPr="004602FC">
              <w:rPr>
                <w:color w:val="C00000"/>
                <w:sz w:val="20"/>
                <w:szCs w:val="20"/>
                <w:lang w:val="en-GB"/>
              </w:rPr>
              <w:t>(2,1)</w:t>
            </w:r>
            <w:r>
              <w:rPr>
                <w:color w:val="000000"/>
                <w:sz w:val="20"/>
                <w:szCs w:val="20"/>
                <w:lang w:val="en-GB"/>
              </w:rPr>
              <w:t xml:space="preserve">, (2, 2), </w:t>
            </w:r>
            <w:r w:rsidRPr="00322E5C">
              <w:rPr>
                <w:color w:val="C00000"/>
                <w:sz w:val="20"/>
                <w:szCs w:val="20"/>
                <w:lang w:val="en-GB"/>
              </w:rPr>
              <w:t>(4,1)</w:t>
            </w:r>
            <w:r>
              <w:rPr>
                <w:color w:val="000000"/>
                <w:sz w:val="20"/>
                <w:szCs w:val="20"/>
                <w:lang w:val="en-GB"/>
              </w:rPr>
              <w:t xml:space="preserve">, (4, 3), </w:t>
            </w:r>
            <w:r w:rsidRPr="00322E5C">
              <w:rPr>
                <w:color w:val="C00000"/>
                <w:sz w:val="20"/>
                <w:szCs w:val="20"/>
                <w:lang w:val="en-GB"/>
              </w:rPr>
              <w:t xml:space="preserve">(7,1) </w:t>
            </w:r>
            <w:r>
              <w:rPr>
                <w:color w:val="000000"/>
                <w:sz w:val="20"/>
                <w:szCs w:val="20"/>
                <w:lang w:val="en-GB"/>
              </w:rPr>
              <w:t>and (7, 3) per SCS configuration of </w:t>
            </w:r>
            <w:r>
              <w:rPr>
                <w:noProof/>
                <w:color w:val="000000"/>
                <w:sz w:val="20"/>
                <w:szCs w:val="20"/>
                <w:lang w:val="en-GB"/>
              </w:rPr>
              <w:drawing>
                <wp:inline distT="0" distB="0" distL="0" distR="0" wp14:anchorId="3EBC964E" wp14:editId="63DF0BD8">
                  <wp:extent cx="304800" cy="15240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w:t>
            </w:r>
            <w:proofErr w:type="spellStart"/>
            <w:r>
              <w:rPr>
                <w:color w:val="000000"/>
                <w:sz w:val="20"/>
                <w:szCs w:val="20"/>
                <w:lang w:val="en-GB"/>
              </w:rPr>
              <w:t>and</w:t>
            </w:r>
            <w:proofErr w:type="spellEnd"/>
            <w:r>
              <w:rPr>
                <w:color w:val="000000"/>
                <w:sz w:val="20"/>
                <w:szCs w:val="20"/>
                <w:lang w:val="en-GB"/>
              </w:rPr>
              <w:t> </w:t>
            </w:r>
            <w:r>
              <w:rPr>
                <w:noProof/>
                <w:color w:val="000000"/>
                <w:sz w:val="20"/>
                <w:szCs w:val="20"/>
                <w:lang w:val="en-GB"/>
              </w:rPr>
              <w:drawing>
                <wp:inline distT="0" distB="0" distL="0" distR="0" wp14:anchorId="7ED651AE" wp14:editId="7F0875D8">
                  <wp:extent cx="304800" cy="15240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0"/>
                <w:szCs w:val="20"/>
                <w:lang w:val="en-GB"/>
              </w:rPr>
              <w:t>. A span is a number of consecutive symbols in a slot where the UE is configured to monitor PDCCH. Each PDCCH monitoring occasion is within one span. If a UE monitors PDCCH on a cell according to combination </w:t>
            </w:r>
            <w:r>
              <w:rPr>
                <w:noProof/>
                <w:color w:val="000000"/>
                <w:sz w:val="20"/>
                <w:szCs w:val="20"/>
                <w:lang w:val="en-GB"/>
              </w:rPr>
              <w:drawing>
                <wp:inline distT="0" distB="0" distL="0" distR="0" wp14:anchorId="029DE692" wp14:editId="7EA30F54">
                  <wp:extent cx="295275" cy="1524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color w:val="000000"/>
                <w:sz w:val="20"/>
                <w:szCs w:val="20"/>
                <w:lang w:val="en-GB"/>
              </w:rPr>
              <w:t>, the UE supports PDCCH monitoring occasions in any symbol of a slot with minimum time separation of </w:t>
            </w:r>
            <w:r>
              <w:rPr>
                <w:noProof/>
                <w:color w:val="000000"/>
                <w:sz w:val="20"/>
                <w:szCs w:val="20"/>
                <w:lang w:val="en-GB"/>
              </w:rPr>
              <w:drawing>
                <wp:inline distT="0" distB="0" distL="0" distR="0" wp14:anchorId="509014BC" wp14:editId="42784D95">
                  <wp:extent cx="85725" cy="152400"/>
                  <wp:effectExtent l="0" t="0" r="9525"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Pr>
                <w:color w:val="000000"/>
                <w:sz w:val="20"/>
                <w:szCs w:val="20"/>
                <w:lang w:val="en-GB"/>
              </w:rPr>
              <w:t> symbols between the first symbol of two consecutive spans, including across slots. A span starts at a first symbol where a PDCCH monitoring occasion starts and ends at a last symbol where a PDCCH monitoring occasion ends, where the number of symbols of the span is up to </w:t>
            </w:r>
            <w:r>
              <w:rPr>
                <w:noProof/>
                <w:color w:val="000000"/>
                <w:sz w:val="20"/>
                <w:szCs w:val="20"/>
                <w:lang w:val="en-GB"/>
              </w:rPr>
              <w:drawing>
                <wp:inline distT="0" distB="0" distL="0" distR="0" wp14:anchorId="1C452C71" wp14:editId="24C6A054">
                  <wp:extent cx="76200" cy="15240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Pr>
                <w:color w:val="000000"/>
                <w:sz w:val="20"/>
                <w:szCs w:val="20"/>
                <w:lang w:val="en-GB"/>
              </w:rPr>
              <w:t>.</w:t>
            </w:r>
          </w:p>
          <w:p w14:paraId="2438B988" w14:textId="77777777" w:rsidR="00322E5C" w:rsidRDefault="00322E5C" w:rsidP="00322E5C">
            <w:pPr>
              <w:jc w:val="both"/>
              <w:rPr>
                <w:color w:val="000000"/>
                <w:sz w:val="20"/>
                <w:szCs w:val="20"/>
                <w:lang w:val="en-GB"/>
              </w:rPr>
            </w:pPr>
          </w:p>
          <w:p w14:paraId="2F326468" w14:textId="77777777" w:rsidR="00322E5C" w:rsidRPr="004602FC" w:rsidRDefault="00322E5C" w:rsidP="00322E5C">
            <w:pPr>
              <w:jc w:val="center"/>
              <w:rPr>
                <w:color w:val="000000"/>
                <w:lang w:val="en-GB"/>
              </w:rPr>
            </w:pPr>
            <w:r w:rsidRPr="004602FC">
              <w:rPr>
                <w:color w:val="000000"/>
                <w:lang w:val="en-GB"/>
              </w:rPr>
              <w:t>…</w:t>
            </w:r>
          </w:p>
          <w:p w14:paraId="3B42C6FE" w14:textId="77777777" w:rsidR="00322E5C" w:rsidRDefault="00322E5C" w:rsidP="00322E5C">
            <w:pPr>
              <w:jc w:val="both"/>
              <w:rPr>
                <w:rFonts w:eastAsia="MS Mincho"/>
                <w:lang w:val="en-GB" w:eastAsia="ja-JP"/>
              </w:rPr>
            </w:pPr>
          </w:p>
          <w:p w14:paraId="0BD8D69E" w14:textId="77777777" w:rsidR="00322E5C" w:rsidRDefault="00322E5C" w:rsidP="00322E5C">
            <w:pPr>
              <w:pStyle w:val="Heading2"/>
              <w:spacing w:before="180" w:after="180"/>
              <w:ind w:left="850" w:hanging="850"/>
              <w:outlineLvl w:val="1"/>
              <w:rPr>
                <w:rFonts w:ascii="Arial" w:hAnsi="Arial" w:cs="Arial"/>
                <w:color w:val="000000"/>
                <w:sz w:val="32"/>
                <w:szCs w:val="32"/>
              </w:rPr>
            </w:pPr>
            <w:r>
              <w:rPr>
                <w:rFonts w:ascii="Arial" w:hAnsi="Arial" w:cs="Arial"/>
                <w:b/>
                <w:bCs/>
                <w:color w:val="000000"/>
                <w:sz w:val="32"/>
                <w:szCs w:val="32"/>
                <w:lang w:val="en-GB"/>
              </w:rPr>
              <w:t>10.1   UE procedure for determining physical downlink control channel assignment</w:t>
            </w:r>
          </w:p>
          <w:p w14:paraId="18AE24CC" w14:textId="77777777" w:rsidR="00322E5C" w:rsidRDefault="00322E5C" w:rsidP="00322E5C">
            <w:pPr>
              <w:jc w:val="both"/>
              <w:rPr>
                <w:rFonts w:eastAsia="MS Mincho"/>
                <w:lang w:val="en-GB" w:eastAsia="ja-JP"/>
              </w:rPr>
            </w:pPr>
          </w:p>
          <w:p w14:paraId="6BC65ED4" w14:textId="77777777" w:rsidR="00322E5C" w:rsidRDefault="00322E5C" w:rsidP="00322E5C">
            <w:pPr>
              <w:jc w:val="center"/>
              <w:rPr>
                <w:rFonts w:eastAsia="MS Mincho"/>
                <w:lang w:val="en-GB" w:eastAsia="ja-JP"/>
              </w:rPr>
            </w:pPr>
            <w:r>
              <w:rPr>
                <w:rFonts w:eastAsia="MS Mincho"/>
                <w:lang w:val="en-GB" w:eastAsia="ja-JP"/>
              </w:rPr>
              <w:t>…</w:t>
            </w:r>
          </w:p>
          <w:p w14:paraId="3430D81D"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73016F9C" wp14:editId="19239D40">
                  <wp:extent cx="361950"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0654512F" wp14:editId="6BBB1CA3">
                  <wp:extent cx="95250" cy="16192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set of CCEs in a CORESET </w:t>
            </w:r>
            <w:r w:rsidRPr="004602FC">
              <w:rPr>
                <w:rFonts w:ascii="Times New Roman" w:eastAsia="Times New Roman" w:hAnsi="Times New Roman" w:cs="Times New Roman"/>
                <w:noProof/>
                <w:color w:val="000000"/>
                <w:sz w:val="20"/>
                <w:szCs w:val="20"/>
                <w:lang w:val="en-GB"/>
              </w:rPr>
              <w:drawing>
                <wp:inline distT="0" distB="0" distL="0" distR="0" wp14:anchorId="04468BA2" wp14:editId="2167876A">
                  <wp:extent cx="762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1BC2C4E0" wp14:editId="1A079746">
                  <wp:extent cx="171450" cy="1524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not counted for monitoring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3043205D" wp14:editId="1A3D51A6">
                  <wp:extent cx="352425" cy="171450"/>
                  <wp:effectExtent l="0" t="0" r="952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search space set </w:t>
            </w:r>
            <w:r w:rsidRPr="004602FC">
              <w:rPr>
                <w:rFonts w:ascii="Times New Roman" w:eastAsia="Times New Roman" w:hAnsi="Times New Roman" w:cs="Times New Roman"/>
                <w:noProof/>
                <w:color w:val="000000"/>
                <w:sz w:val="20"/>
                <w:szCs w:val="20"/>
                <w:lang w:val="en-GB"/>
              </w:rPr>
              <w:drawing>
                <wp:inline distT="0" distB="0" distL="0" distR="0" wp14:anchorId="3D721A2E" wp14:editId="5D633E7C">
                  <wp:extent cx="352425" cy="1619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2425" cy="16192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or if there is a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43610AD7" wp14:editId="7CE9B43E">
                  <wp:extent cx="323850"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38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and </w:t>
            </w:r>
            <w:r w:rsidRPr="004602FC">
              <w:rPr>
                <w:rFonts w:ascii="Times New Roman" w:eastAsia="Times New Roman" w:hAnsi="Times New Roman" w:cs="Times New Roman"/>
                <w:noProof/>
                <w:color w:val="000000"/>
                <w:sz w:val="20"/>
                <w:szCs w:val="20"/>
                <w:lang w:val="en-GB"/>
              </w:rPr>
              <w:drawing>
                <wp:inline distT="0" distB="0" distL="0" distR="0" wp14:anchorId="2CB49C12" wp14:editId="27D42799">
                  <wp:extent cx="847725" cy="1809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47725"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in the CORESET </w:t>
            </w:r>
            <w:r w:rsidRPr="004602FC">
              <w:rPr>
                <w:rFonts w:ascii="Times New Roman" w:eastAsia="Times New Roman" w:hAnsi="Times New Roman" w:cs="Times New Roman"/>
                <w:noProof/>
                <w:color w:val="000000"/>
                <w:sz w:val="20"/>
                <w:szCs w:val="20"/>
                <w:lang w:val="en-GB"/>
              </w:rPr>
              <w:drawing>
                <wp:inline distT="0" distB="0" distL="0" distR="0" wp14:anchorId="10FFCFE2" wp14:editId="40D6C687">
                  <wp:extent cx="76200" cy="15240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on the active DL BWP for serving cell </w:t>
            </w:r>
            <w:r w:rsidRPr="004602FC">
              <w:rPr>
                <w:rFonts w:ascii="Times New Roman" w:eastAsia="Times New Roman" w:hAnsi="Times New Roman" w:cs="Times New Roman"/>
                <w:noProof/>
                <w:color w:val="000000"/>
                <w:sz w:val="20"/>
                <w:szCs w:val="20"/>
                <w:lang w:val="en-GB"/>
              </w:rPr>
              <w:drawing>
                <wp:inline distT="0" distB="0" distL="0" distR="0" wp14:anchorId="0A8AF014" wp14:editId="0F28EA3D">
                  <wp:extent cx="171450" cy="15240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145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using a same set of CCEs, the PDCCH candidates have identical scrambling, and the corresponding DCI formats for the PDCCH candidates have a same size; otherwise, the PDCCH candidate with index </w:t>
            </w:r>
            <w:r w:rsidRPr="004602FC">
              <w:rPr>
                <w:rFonts w:ascii="Times New Roman" w:eastAsia="Times New Roman" w:hAnsi="Times New Roman" w:cs="Times New Roman"/>
                <w:noProof/>
                <w:color w:val="000000"/>
                <w:sz w:val="20"/>
                <w:szCs w:val="20"/>
                <w:lang w:val="en-GB"/>
              </w:rPr>
              <w:drawing>
                <wp:inline distT="0" distB="0" distL="0" distR="0" wp14:anchorId="2FAED7C4" wp14:editId="6198371E">
                  <wp:extent cx="361950" cy="180975"/>
                  <wp:effectExtent l="0" t="0" r="0"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is counted for monitoring.</w:t>
            </w:r>
          </w:p>
          <w:p w14:paraId="50DF95FE"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7876D97" wp14:editId="1183FEB8">
                  <wp:extent cx="523875" cy="17145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8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slot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FCF898D" wp14:editId="27DC9C3F">
                  <wp:extent cx="76200" cy="152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2C8A19BA"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562F54D" wp14:editId="506971B3">
                  <wp:extent cx="571500" cy="2095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783BBAFD" wp14:editId="26816962">
                  <wp:extent cx="771525" cy="19050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800"/>
            </w:tblGrid>
            <w:tr w:rsidR="00322E5C" w:rsidRPr="004602FC" w14:paraId="159632B5"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909AFFD"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4DB4969D" wp14:editId="2402DFDA">
                        <wp:extent cx="76200" cy="13335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800" w:type="dxa"/>
                  <w:tcBorders>
                    <w:top w:val="single" w:sz="8" w:space="0" w:color="auto"/>
                    <w:left w:val="nil"/>
                    <w:bottom w:val="single" w:sz="8" w:space="0" w:color="auto"/>
                    <w:right w:val="single" w:sz="8" w:space="0" w:color="auto"/>
                  </w:tcBorders>
                  <w:shd w:val="clear" w:color="auto" w:fill="E0E0E0"/>
                  <w:vAlign w:val="center"/>
                  <w:hideMark/>
                </w:tcPr>
                <w:p w14:paraId="13B1585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monitored PDCCH candidates per slot and per serving cell </w:t>
                  </w:r>
                  <w:r w:rsidRPr="004602FC">
                    <w:rPr>
                      <w:rFonts w:ascii="Times New Roman" w:eastAsia="Times New Roman" w:hAnsi="Times New Roman" w:cs="Times New Roman"/>
                      <w:b/>
                      <w:bCs/>
                      <w:noProof/>
                      <w:sz w:val="20"/>
                      <w:szCs w:val="20"/>
                      <w:lang w:val="en-GB"/>
                    </w:rPr>
                    <w:drawing>
                      <wp:inline distT="0" distB="0" distL="0" distR="0" wp14:anchorId="1D52675E" wp14:editId="7D544B53">
                        <wp:extent cx="523875" cy="190500"/>
                        <wp:effectExtent l="0" t="0" r="952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p>
              </w:tc>
            </w:tr>
            <w:tr w:rsidR="00322E5C" w:rsidRPr="004602FC" w14:paraId="51350C32"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3E24195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800" w:type="dxa"/>
                  <w:tcBorders>
                    <w:top w:val="nil"/>
                    <w:left w:val="nil"/>
                    <w:bottom w:val="single" w:sz="8" w:space="0" w:color="auto"/>
                    <w:right w:val="single" w:sz="8" w:space="0" w:color="auto"/>
                  </w:tcBorders>
                  <w:vAlign w:val="center"/>
                  <w:hideMark/>
                </w:tcPr>
                <w:p w14:paraId="09EC819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798ABAB0"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7B21C1C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800" w:type="dxa"/>
                  <w:tcBorders>
                    <w:top w:val="nil"/>
                    <w:left w:val="nil"/>
                    <w:bottom w:val="single" w:sz="8" w:space="0" w:color="auto"/>
                    <w:right w:val="single" w:sz="8" w:space="0" w:color="auto"/>
                  </w:tcBorders>
                  <w:vAlign w:val="center"/>
                  <w:hideMark/>
                </w:tcPr>
                <w:p w14:paraId="5914443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r w:rsidR="00322E5C" w:rsidRPr="004602FC" w14:paraId="458CCCD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5A28ECA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800" w:type="dxa"/>
                  <w:tcBorders>
                    <w:top w:val="nil"/>
                    <w:left w:val="nil"/>
                    <w:bottom w:val="single" w:sz="8" w:space="0" w:color="auto"/>
                    <w:right w:val="single" w:sz="8" w:space="0" w:color="auto"/>
                  </w:tcBorders>
                  <w:vAlign w:val="center"/>
                  <w:hideMark/>
                </w:tcPr>
                <w:p w14:paraId="6F0C4A5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22</w:t>
                  </w:r>
                </w:p>
              </w:tc>
            </w:tr>
            <w:tr w:rsidR="00322E5C" w:rsidRPr="004602FC" w14:paraId="6433FEAE"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59C0B6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800" w:type="dxa"/>
                  <w:tcBorders>
                    <w:top w:val="nil"/>
                    <w:left w:val="nil"/>
                    <w:bottom w:val="single" w:sz="8" w:space="0" w:color="auto"/>
                    <w:right w:val="single" w:sz="8" w:space="0" w:color="auto"/>
                  </w:tcBorders>
                  <w:vAlign w:val="center"/>
                  <w:hideMark/>
                </w:tcPr>
                <w:p w14:paraId="0E6F704D"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20</w:t>
                  </w:r>
                </w:p>
              </w:tc>
            </w:tr>
          </w:tbl>
          <w:p w14:paraId="39BE48B4"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53F80605"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10.1-2A provides the maximum number of monitored PDCCH candidates, </w:t>
            </w:r>
            <w:r w:rsidRPr="004602FC">
              <w:rPr>
                <w:rFonts w:ascii="Times New Roman" w:eastAsia="Times New Roman" w:hAnsi="Times New Roman" w:cs="Times New Roman"/>
                <w:noProof/>
                <w:color w:val="000000"/>
                <w:sz w:val="20"/>
                <w:szCs w:val="20"/>
                <w:lang w:val="en-GB"/>
              </w:rPr>
              <w:drawing>
                <wp:inline distT="0" distB="0" distL="0" distR="0" wp14:anchorId="25DAA89D" wp14:editId="50835372">
                  <wp:extent cx="571500" cy="17145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per span for a UE in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59251008" wp14:editId="7DE4F804">
                  <wp:extent cx="76200" cy="1524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operation with a single serving cell.</w:t>
            </w:r>
          </w:p>
          <w:p w14:paraId="6D0BC57B"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10.1-2A: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540BADFC" wp14:editId="5F1E7230">
                  <wp:extent cx="609600" cy="2095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monitored PDCCH candidates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2E0F8CE1" wp14:editId="259C6DBB">
                  <wp:extent cx="5238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541"/>
              <w:gridCol w:w="1530"/>
              <w:gridCol w:w="1620"/>
            </w:tblGrid>
            <w:tr w:rsidR="00322E5C" w:rsidRPr="004602FC" w14:paraId="3B392BF3"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A3ED73"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691" w:type="dxa"/>
                  <w:gridSpan w:val="3"/>
                  <w:tcBorders>
                    <w:top w:val="single" w:sz="8" w:space="0" w:color="auto"/>
                    <w:left w:val="nil"/>
                    <w:bottom w:val="single" w:sz="8" w:space="0" w:color="auto"/>
                    <w:right w:val="single" w:sz="8" w:space="0" w:color="auto"/>
                  </w:tcBorders>
                  <w:shd w:val="clear" w:color="auto" w:fill="E0E0E0"/>
                  <w:hideMark/>
                </w:tcPr>
                <w:p w14:paraId="66D9590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D2A582D" wp14:editId="5C85ADDB">
                        <wp:extent cx="561975" cy="171450"/>
                        <wp:effectExtent l="0" t="0" r="952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1975"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monitored PDCCH candidates per span for combination </w:t>
                  </w:r>
                  <w:r w:rsidRPr="004602FC">
                    <w:rPr>
                      <w:rFonts w:ascii="Times New Roman" w:eastAsia="Times New Roman" w:hAnsi="Times New Roman" w:cs="Times New Roman"/>
                      <w:b/>
                      <w:bCs/>
                      <w:noProof/>
                      <w:sz w:val="20"/>
                      <w:szCs w:val="20"/>
                      <w:lang w:val="en-GB"/>
                    </w:rPr>
                    <w:drawing>
                      <wp:inline distT="0" distB="0" distL="0" distR="0" wp14:anchorId="0F6B9FF9" wp14:editId="2EE4DF23">
                        <wp:extent cx="285750" cy="13335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5461001"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1B57CAEB"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1D5106BA" wp14:editId="487BCC36">
                        <wp:extent cx="76200" cy="1333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1541" w:type="dxa"/>
                  <w:tcBorders>
                    <w:top w:val="nil"/>
                    <w:left w:val="nil"/>
                    <w:bottom w:val="single" w:sz="8" w:space="0" w:color="auto"/>
                    <w:right w:val="single" w:sz="8" w:space="0" w:color="auto"/>
                  </w:tcBorders>
                  <w:vAlign w:val="center"/>
                  <w:hideMark/>
                </w:tcPr>
                <w:p w14:paraId="1210515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170D6ABF"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(4, 3)</w:t>
                  </w:r>
                </w:p>
              </w:tc>
              <w:tc>
                <w:tcPr>
                  <w:tcW w:w="1620" w:type="dxa"/>
                  <w:tcBorders>
                    <w:top w:val="nil"/>
                    <w:left w:val="nil"/>
                    <w:bottom w:val="single" w:sz="8" w:space="0" w:color="auto"/>
                    <w:right w:val="single" w:sz="8" w:space="0" w:color="auto"/>
                  </w:tcBorders>
                  <w:hideMark/>
                </w:tcPr>
                <w:p w14:paraId="78C4E9B0"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F590CC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BE0D4F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541" w:type="dxa"/>
                  <w:tcBorders>
                    <w:top w:val="nil"/>
                    <w:left w:val="nil"/>
                    <w:bottom w:val="single" w:sz="8" w:space="0" w:color="auto"/>
                    <w:right w:val="single" w:sz="8" w:space="0" w:color="auto"/>
                  </w:tcBorders>
                  <w:vAlign w:val="center"/>
                  <w:hideMark/>
                </w:tcPr>
                <w:p w14:paraId="5B58244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14</w:t>
                  </w:r>
                </w:p>
              </w:tc>
              <w:tc>
                <w:tcPr>
                  <w:tcW w:w="1530" w:type="dxa"/>
                  <w:tcBorders>
                    <w:top w:val="nil"/>
                    <w:left w:val="nil"/>
                    <w:bottom w:val="single" w:sz="8" w:space="0" w:color="auto"/>
                    <w:right w:val="single" w:sz="8" w:space="0" w:color="auto"/>
                  </w:tcBorders>
                  <w:hideMark/>
                </w:tcPr>
                <w:p w14:paraId="5F74E2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28</w:t>
                  </w:r>
                </w:p>
              </w:tc>
              <w:tc>
                <w:tcPr>
                  <w:tcW w:w="1620" w:type="dxa"/>
                  <w:tcBorders>
                    <w:top w:val="nil"/>
                    <w:left w:val="nil"/>
                    <w:bottom w:val="single" w:sz="8" w:space="0" w:color="auto"/>
                    <w:right w:val="single" w:sz="8" w:space="0" w:color="auto"/>
                  </w:tcBorders>
                  <w:hideMark/>
                </w:tcPr>
                <w:p w14:paraId="2229F99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44</w:t>
                  </w:r>
                </w:p>
              </w:tc>
            </w:tr>
            <w:tr w:rsidR="00322E5C" w:rsidRPr="004602FC" w14:paraId="2AB1FC92"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564B9F2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541" w:type="dxa"/>
                  <w:tcBorders>
                    <w:top w:val="nil"/>
                    <w:left w:val="nil"/>
                    <w:bottom w:val="single" w:sz="8" w:space="0" w:color="auto"/>
                    <w:right w:val="single" w:sz="8" w:space="0" w:color="auto"/>
                  </w:tcBorders>
                  <w:vAlign w:val="center"/>
                  <w:hideMark/>
                </w:tcPr>
                <w:p w14:paraId="2E25A73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12</w:t>
                  </w:r>
                </w:p>
              </w:tc>
              <w:tc>
                <w:tcPr>
                  <w:tcW w:w="1530" w:type="dxa"/>
                  <w:tcBorders>
                    <w:top w:val="nil"/>
                    <w:left w:val="nil"/>
                    <w:bottom w:val="single" w:sz="8" w:space="0" w:color="auto"/>
                    <w:right w:val="single" w:sz="8" w:space="0" w:color="auto"/>
                  </w:tcBorders>
                  <w:hideMark/>
                </w:tcPr>
                <w:p w14:paraId="758C88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24</w:t>
                  </w:r>
                </w:p>
              </w:tc>
              <w:tc>
                <w:tcPr>
                  <w:tcW w:w="1620" w:type="dxa"/>
                  <w:tcBorders>
                    <w:top w:val="nil"/>
                    <w:left w:val="nil"/>
                    <w:bottom w:val="single" w:sz="8" w:space="0" w:color="auto"/>
                    <w:right w:val="single" w:sz="8" w:space="0" w:color="auto"/>
                  </w:tcBorders>
                  <w:hideMark/>
                </w:tcPr>
                <w:p w14:paraId="2B67083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r>
          </w:tbl>
          <w:p w14:paraId="09332C6F"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B3C4511"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505607C3" wp14:editId="0F749D02">
                  <wp:extent cx="485775" cy="171450"/>
                  <wp:effectExtent l="0" t="0" r="952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07B80F0D" wp14:editId="3B26177A">
                  <wp:extent cx="76200" cy="15240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slot for operation with a single serving cell.</w:t>
            </w:r>
          </w:p>
          <w:p w14:paraId="22324D22"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CCEs for PDCCH candidates are non-overlapped if they correspond to</w:t>
            </w:r>
          </w:p>
          <w:p w14:paraId="7EC5CE6A"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t>-     different CORESET indexes, or</w:t>
            </w:r>
          </w:p>
          <w:p w14:paraId="058CBA23" w14:textId="77777777" w:rsidR="00322E5C" w:rsidRPr="004602FC" w:rsidRDefault="00322E5C" w:rsidP="00322E5C">
            <w:pPr>
              <w:spacing w:after="180"/>
              <w:ind w:left="568" w:hanging="284"/>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x-none"/>
              </w:rPr>
              <w:lastRenderedPageBreak/>
              <w:t>-     different first symbols for the reception of the respective PDCCH candidates.</w:t>
            </w:r>
          </w:p>
          <w:p w14:paraId="02CD8D7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3F5F6E2D" wp14:editId="4B12796E">
                  <wp:extent cx="533400" cy="20955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400" cy="20955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per slot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EC95CEF" wp14:editId="2DFF0CD9">
                  <wp:extent cx="771525" cy="1905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1465"/>
              <w:gridCol w:w="7170"/>
            </w:tblGrid>
            <w:tr w:rsidR="00322E5C" w:rsidRPr="004602FC" w14:paraId="4CD108B4" w14:textId="77777777" w:rsidTr="00920F17">
              <w:trPr>
                <w:jc w:val="center"/>
              </w:trPr>
              <w:tc>
                <w:tcPr>
                  <w:tcW w:w="146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2B98D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noProof/>
                      <w:sz w:val="20"/>
                      <w:szCs w:val="20"/>
                      <w:lang w:val="en-GB"/>
                    </w:rPr>
                    <w:drawing>
                      <wp:inline distT="0" distB="0" distL="0" distR="0" wp14:anchorId="2C9CBA5F" wp14:editId="13A6AAAD">
                        <wp:extent cx="76200" cy="13335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6200" cy="133350"/>
                                </a:xfrm>
                                <a:prstGeom prst="rect">
                                  <a:avLst/>
                                </a:prstGeom>
                                <a:noFill/>
                                <a:ln>
                                  <a:noFill/>
                                </a:ln>
                              </pic:spPr>
                            </pic:pic>
                          </a:graphicData>
                        </a:graphic>
                      </wp:inline>
                    </w:drawing>
                  </w:r>
                </w:p>
              </w:tc>
              <w:tc>
                <w:tcPr>
                  <w:tcW w:w="7170" w:type="dxa"/>
                  <w:tcBorders>
                    <w:top w:val="single" w:sz="8" w:space="0" w:color="auto"/>
                    <w:left w:val="nil"/>
                    <w:bottom w:val="single" w:sz="8" w:space="0" w:color="auto"/>
                    <w:right w:val="single" w:sz="8" w:space="0" w:color="auto"/>
                  </w:tcBorders>
                  <w:shd w:val="clear" w:color="auto" w:fill="E0E0E0"/>
                  <w:vAlign w:val="center"/>
                  <w:hideMark/>
                </w:tcPr>
                <w:p w14:paraId="4373CECB"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of non-overlapped CCEs per slot and per serving cell </w:t>
                  </w:r>
                  <w:r w:rsidRPr="004602FC">
                    <w:rPr>
                      <w:rFonts w:ascii="Times New Roman" w:eastAsia="Times New Roman" w:hAnsi="Times New Roman" w:cs="Times New Roman"/>
                      <w:b/>
                      <w:bCs/>
                      <w:noProof/>
                      <w:sz w:val="20"/>
                      <w:szCs w:val="20"/>
                      <w:lang w:val="en-GB"/>
                    </w:rPr>
                    <w:drawing>
                      <wp:inline distT="0" distB="0" distL="0" distR="0" wp14:anchorId="7BEE725B" wp14:editId="05A60027">
                        <wp:extent cx="495300" cy="1905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c>
            </w:tr>
            <w:tr w:rsidR="00322E5C" w:rsidRPr="004602FC" w14:paraId="3953026F"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0A47BBC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7170" w:type="dxa"/>
                  <w:tcBorders>
                    <w:top w:val="nil"/>
                    <w:left w:val="nil"/>
                    <w:bottom w:val="single" w:sz="8" w:space="0" w:color="auto"/>
                    <w:right w:val="single" w:sz="8" w:space="0" w:color="auto"/>
                  </w:tcBorders>
                  <w:vAlign w:val="center"/>
                  <w:hideMark/>
                </w:tcPr>
                <w:p w14:paraId="7CFAB732"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472972F8"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40912D2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7170" w:type="dxa"/>
                  <w:tcBorders>
                    <w:top w:val="nil"/>
                    <w:left w:val="nil"/>
                    <w:bottom w:val="single" w:sz="8" w:space="0" w:color="auto"/>
                    <w:right w:val="single" w:sz="8" w:space="0" w:color="auto"/>
                  </w:tcBorders>
                  <w:vAlign w:val="center"/>
                  <w:hideMark/>
                </w:tcPr>
                <w:p w14:paraId="1C7ECA7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22E951D"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1C2C821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2</w:t>
                  </w:r>
                </w:p>
              </w:tc>
              <w:tc>
                <w:tcPr>
                  <w:tcW w:w="7170" w:type="dxa"/>
                  <w:tcBorders>
                    <w:top w:val="nil"/>
                    <w:left w:val="nil"/>
                    <w:bottom w:val="single" w:sz="8" w:space="0" w:color="auto"/>
                    <w:right w:val="single" w:sz="8" w:space="0" w:color="auto"/>
                  </w:tcBorders>
                  <w:vAlign w:val="center"/>
                  <w:hideMark/>
                </w:tcPr>
                <w:p w14:paraId="728778B4"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48</w:t>
                  </w:r>
                </w:p>
              </w:tc>
            </w:tr>
            <w:tr w:rsidR="00322E5C" w:rsidRPr="004602FC" w14:paraId="6AAC60E1" w14:textId="77777777" w:rsidTr="00920F17">
              <w:trPr>
                <w:jc w:val="center"/>
              </w:trPr>
              <w:tc>
                <w:tcPr>
                  <w:tcW w:w="1465" w:type="dxa"/>
                  <w:tcBorders>
                    <w:top w:val="nil"/>
                    <w:left w:val="single" w:sz="8" w:space="0" w:color="auto"/>
                    <w:bottom w:val="single" w:sz="8" w:space="0" w:color="auto"/>
                    <w:right w:val="single" w:sz="8" w:space="0" w:color="auto"/>
                  </w:tcBorders>
                  <w:vAlign w:val="center"/>
                  <w:hideMark/>
                </w:tcPr>
                <w:p w14:paraId="601B5FF6"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w:t>
                  </w:r>
                </w:p>
              </w:tc>
              <w:tc>
                <w:tcPr>
                  <w:tcW w:w="7170" w:type="dxa"/>
                  <w:tcBorders>
                    <w:top w:val="nil"/>
                    <w:left w:val="nil"/>
                    <w:bottom w:val="single" w:sz="8" w:space="0" w:color="auto"/>
                    <w:right w:val="single" w:sz="8" w:space="0" w:color="auto"/>
                  </w:tcBorders>
                  <w:vAlign w:val="center"/>
                  <w:hideMark/>
                </w:tcPr>
                <w:p w14:paraId="153D45D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32</w:t>
                  </w:r>
                </w:p>
              </w:tc>
            </w:tr>
          </w:tbl>
          <w:p w14:paraId="720D7E8A" w14:textId="77777777" w:rsidR="00322E5C" w:rsidRPr="004602FC" w:rsidRDefault="00322E5C" w:rsidP="00322E5C">
            <w:pPr>
              <w:spacing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 </w:t>
            </w:r>
          </w:p>
          <w:p w14:paraId="0ABC5611" w14:textId="77777777" w:rsidR="00322E5C" w:rsidRPr="004602FC" w:rsidRDefault="00322E5C" w:rsidP="00322E5C">
            <w:pPr>
              <w:spacing w:before="180" w:after="180"/>
              <w:rPr>
                <w:rFonts w:ascii="Times New Roman" w:eastAsia="Times New Roman" w:hAnsi="Times New Roman" w:cs="Times New Roman"/>
                <w:color w:val="000000"/>
                <w:sz w:val="20"/>
                <w:szCs w:val="20"/>
              </w:rPr>
            </w:pPr>
            <w:r w:rsidRPr="004602FC">
              <w:rPr>
                <w:rFonts w:ascii="Times New Roman" w:eastAsia="Times New Roman" w:hAnsi="Times New Roman" w:cs="Times New Roman"/>
                <w:color w:val="000000"/>
                <w:sz w:val="20"/>
                <w:szCs w:val="20"/>
                <w:lang w:val="en-GB"/>
              </w:rPr>
              <w:t>Table 10.1-3A provides the maximum number of non-overlapped CCEs, </w:t>
            </w:r>
            <w:r w:rsidRPr="004602FC">
              <w:rPr>
                <w:rFonts w:ascii="Times New Roman" w:eastAsia="Times New Roman" w:hAnsi="Times New Roman" w:cs="Times New Roman"/>
                <w:noProof/>
                <w:color w:val="000000"/>
                <w:sz w:val="20"/>
                <w:szCs w:val="20"/>
                <w:lang w:val="en-GB"/>
              </w:rPr>
              <w:drawing>
                <wp:inline distT="0" distB="0" distL="0" distR="0" wp14:anchorId="4C608BA5" wp14:editId="2EDA0A9D">
                  <wp:extent cx="533400" cy="17145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for a DL BWP with SCS configuration </w:t>
            </w:r>
            <w:r w:rsidRPr="004602FC">
              <w:rPr>
                <w:rFonts w:ascii="Times New Roman" w:eastAsia="Times New Roman" w:hAnsi="Times New Roman" w:cs="Times New Roman"/>
                <w:noProof/>
                <w:color w:val="000000"/>
                <w:sz w:val="20"/>
                <w:szCs w:val="20"/>
                <w:lang w:val="en-GB"/>
              </w:rPr>
              <w:drawing>
                <wp:inline distT="0" distB="0" distL="0" distR="0" wp14:anchorId="7DD6026C" wp14:editId="1627DDD3">
                  <wp:extent cx="76200"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 cy="152400"/>
                          </a:xfrm>
                          <a:prstGeom prst="rect">
                            <a:avLst/>
                          </a:prstGeom>
                          <a:noFill/>
                          <a:ln>
                            <a:noFill/>
                          </a:ln>
                        </pic:spPr>
                      </pic:pic>
                    </a:graphicData>
                  </a:graphic>
                </wp:inline>
              </w:drawing>
            </w:r>
            <w:r w:rsidRPr="004602FC">
              <w:rPr>
                <w:rFonts w:ascii="Times New Roman" w:eastAsia="Times New Roman" w:hAnsi="Times New Roman" w:cs="Times New Roman"/>
                <w:color w:val="000000"/>
                <w:sz w:val="20"/>
                <w:szCs w:val="20"/>
                <w:lang w:val="en-GB"/>
              </w:rPr>
              <w:t> that a UE is expected to monitor corresponding PDCCH candidates per span for operation with a single serving cell.</w:t>
            </w:r>
          </w:p>
          <w:p w14:paraId="763E8D3C" w14:textId="77777777" w:rsidR="00322E5C" w:rsidRPr="004602FC" w:rsidRDefault="00322E5C" w:rsidP="00322E5C">
            <w:pPr>
              <w:spacing w:before="60" w:after="180"/>
              <w:jc w:val="center"/>
              <w:rPr>
                <w:rFonts w:ascii="Arial" w:eastAsia="Times New Roman" w:hAnsi="Arial" w:cs="Arial"/>
                <w:b/>
                <w:bCs/>
                <w:color w:val="000000"/>
                <w:sz w:val="20"/>
                <w:szCs w:val="20"/>
              </w:rPr>
            </w:pPr>
            <w:r w:rsidRPr="004602FC">
              <w:rPr>
                <w:rFonts w:ascii="Arial" w:eastAsia="Times New Roman" w:hAnsi="Arial" w:cs="Arial"/>
                <w:b/>
                <w:bCs/>
                <w:color w:val="000000"/>
                <w:sz w:val="20"/>
                <w:szCs w:val="20"/>
                <w:lang w:val="en-GB"/>
              </w:rPr>
              <w:t>Table 10.1-3A: Maximum number </w:t>
            </w:r>
            <w:r w:rsidRPr="004602FC">
              <w:rPr>
                <w:rFonts w:ascii="Times New Roman" w:eastAsia="Times New Roman" w:hAnsi="Times New Roman" w:cs="Times New Roman"/>
                <w:b/>
                <w:bCs/>
                <w:noProof/>
                <w:color w:val="000000"/>
                <w:sz w:val="20"/>
                <w:szCs w:val="20"/>
                <w:lang w:val="en-GB"/>
              </w:rPr>
              <w:drawing>
                <wp:inline distT="0" distB="0" distL="0" distR="0" wp14:anchorId="1275B368" wp14:editId="487068C2">
                  <wp:extent cx="581025" cy="2286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of non-overlapped CCEs in a span for combination (X, Y) for a DL BWP with SCS configuration </w:t>
            </w:r>
            <w:r w:rsidRPr="004602FC">
              <w:rPr>
                <w:rFonts w:ascii="Times New Roman" w:eastAsia="Times New Roman" w:hAnsi="Times New Roman" w:cs="Times New Roman"/>
                <w:b/>
                <w:bCs/>
                <w:noProof/>
                <w:color w:val="000000"/>
                <w:sz w:val="20"/>
                <w:szCs w:val="20"/>
                <w:lang w:val="en-GB"/>
              </w:rPr>
              <w:drawing>
                <wp:inline distT="0" distB="0" distL="0" distR="0" wp14:anchorId="1B6FBB5D" wp14:editId="28738CF1">
                  <wp:extent cx="5238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4602FC">
              <w:rPr>
                <w:rFonts w:ascii="Arial" w:eastAsia="Times New Roman" w:hAnsi="Arial" w:cs="Arial"/>
                <w:b/>
                <w:bCs/>
                <w:color w:val="000000"/>
                <w:sz w:val="20"/>
                <w:szCs w:val="20"/>
                <w:lang w:val="en-GB"/>
              </w:rPr>
              <w:t> for a single serving cell</w:t>
            </w:r>
          </w:p>
          <w:tbl>
            <w:tblPr>
              <w:tblW w:w="0" w:type="auto"/>
              <w:jc w:val="center"/>
              <w:tblCellMar>
                <w:left w:w="0" w:type="dxa"/>
                <w:right w:w="0" w:type="dxa"/>
              </w:tblCellMar>
              <w:tblLook w:val="04A0" w:firstRow="1" w:lastRow="0" w:firstColumn="1" w:lastColumn="0" w:noHBand="0" w:noVBand="1"/>
            </w:tblPr>
            <w:tblGrid>
              <w:gridCol w:w="794"/>
              <w:gridCol w:w="1451"/>
              <w:gridCol w:w="1530"/>
              <w:gridCol w:w="1440"/>
            </w:tblGrid>
            <w:tr w:rsidR="00322E5C" w:rsidRPr="004602FC" w14:paraId="0A3C11C8" w14:textId="77777777" w:rsidTr="00920F17">
              <w:trPr>
                <w:jc w:val="center"/>
              </w:trPr>
              <w:tc>
                <w:tcPr>
                  <w:tcW w:w="79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58BD2670"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Times New Roman" w:eastAsia="Times New Roman" w:hAnsi="Times New Roman" w:cs="Times New Roman"/>
                      <w:b/>
                      <w:bCs/>
                      <w:sz w:val="20"/>
                      <w:szCs w:val="20"/>
                      <w:lang w:val="en-GB"/>
                    </w:rPr>
                    <w:t> </w:t>
                  </w:r>
                </w:p>
              </w:tc>
              <w:tc>
                <w:tcPr>
                  <w:tcW w:w="4421" w:type="dxa"/>
                  <w:gridSpan w:val="3"/>
                  <w:tcBorders>
                    <w:top w:val="single" w:sz="8" w:space="0" w:color="auto"/>
                    <w:left w:val="nil"/>
                    <w:bottom w:val="single" w:sz="8" w:space="0" w:color="auto"/>
                    <w:right w:val="single" w:sz="8" w:space="0" w:color="auto"/>
                  </w:tcBorders>
                  <w:shd w:val="clear" w:color="auto" w:fill="E0E0E0"/>
                  <w:hideMark/>
                </w:tcPr>
                <w:p w14:paraId="6B788966" w14:textId="77777777" w:rsidR="00322E5C" w:rsidRPr="004602FC" w:rsidRDefault="00322E5C" w:rsidP="00322E5C">
                  <w:pPr>
                    <w:spacing w:line="240" w:lineRule="auto"/>
                    <w:jc w:val="center"/>
                    <w:rPr>
                      <w:rFonts w:ascii="Arial" w:eastAsia="Times New Roman" w:hAnsi="Arial" w:cs="Arial"/>
                      <w:b/>
                      <w:bCs/>
                      <w:sz w:val="18"/>
                      <w:szCs w:val="18"/>
                    </w:rPr>
                  </w:pPr>
                  <w:r w:rsidRPr="004602FC">
                    <w:rPr>
                      <w:rFonts w:ascii="Arial" w:eastAsia="Times New Roman" w:hAnsi="Arial" w:cs="Arial"/>
                      <w:b/>
                      <w:bCs/>
                      <w:color w:val="000000"/>
                      <w:sz w:val="18"/>
                      <w:szCs w:val="18"/>
                      <w:lang w:val="en-GB"/>
                    </w:rPr>
                    <w:t>Maximum number </w:t>
                  </w:r>
                  <w:r w:rsidRPr="004602FC">
                    <w:rPr>
                      <w:rFonts w:ascii="Times New Roman" w:eastAsia="Times New Roman" w:hAnsi="Times New Roman" w:cs="Times New Roman"/>
                      <w:b/>
                      <w:bCs/>
                      <w:noProof/>
                      <w:sz w:val="20"/>
                      <w:szCs w:val="20"/>
                      <w:lang w:val="en-GB"/>
                    </w:rPr>
                    <w:drawing>
                      <wp:inline distT="0" distB="0" distL="0" distR="0" wp14:anchorId="73F2CF31" wp14:editId="45037C3E">
                        <wp:extent cx="533400" cy="17145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3400" cy="1714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of non-overlapped CCEs per span for combination </w:t>
                  </w:r>
                  <w:r w:rsidRPr="004602FC">
                    <w:rPr>
                      <w:rFonts w:ascii="Times New Roman" w:eastAsia="Times New Roman" w:hAnsi="Times New Roman" w:cs="Times New Roman"/>
                      <w:b/>
                      <w:bCs/>
                      <w:noProof/>
                      <w:sz w:val="20"/>
                      <w:szCs w:val="20"/>
                      <w:lang w:val="en-GB"/>
                    </w:rPr>
                    <w:drawing>
                      <wp:inline distT="0" distB="0" distL="0" distR="0" wp14:anchorId="31C230AA" wp14:editId="01D1B0F2">
                        <wp:extent cx="285750" cy="13335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5750" cy="133350"/>
                                </a:xfrm>
                                <a:prstGeom prst="rect">
                                  <a:avLst/>
                                </a:prstGeom>
                                <a:noFill/>
                                <a:ln>
                                  <a:noFill/>
                                </a:ln>
                              </pic:spPr>
                            </pic:pic>
                          </a:graphicData>
                        </a:graphic>
                      </wp:inline>
                    </w:drawing>
                  </w:r>
                  <w:r w:rsidRPr="004602FC">
                    <w:rPr>
                      <w:rFonts w:ascii="Arial" w:eastAsia="Times New Roman" w:hAnsi="Arial" w:cs="Arial"/>
                      <w:b/>
                      <w:bCs/>
                      <w:color w:val="000000"/>
                      <w:sz w:val="18"/>
                      <w:szCs w:val="18"/>
                      <w:lang w:val="en-GB"/>
                    </w:rPr>
                    <w:t> and per serving cell</w:t>
                  </w:r>
                </w:p>
              </w:tc>
            </w:tr>
            <w:tr w:rsidR="00322E5C" w:rsidRPr="004602FC" w14:paraId="3C519773" w14:textId="77777777" w:rsidTr="00920F17">
              <w:trPr>
                <w:jc w:val="center"/>
              </w:trPr>
              <w:tc>
                <w:tcPr>
                  <w:tcW w:w="794" w:type="dxa"/>
                  <w:tcBorders>
                    <w:top w:val="nil"/>
                    <w:left w:val="single" w:sz="8" w:space="0" w:color="auto"/>
                    <w:bottom w:val="single" w:sz="8" w:space="0" w:color="auto"/>
                    <w:right w:val="single" w:sz="8" w:space="0" w:color="auto"/>
                  </w:tcBorders>
                  <w:shd w:val="clear" w:color="auto" w:fill="E0E0E0"/>
                  <w:vAlign w:val="center"/>
                  <w:hideMark/>
                </w:tcPr>
                <w:p w14:paraId="3D82E5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Times New Roman" w:eastAsia="Times New Roman" w:hAnsi="Times New Roman" w:cs="Times New Roman"/>
                      <w:noProof/>
                      <w:sz w:val="20"/>
                      <w:szCs w:val="20"/>
                      <w:lang w:val="en-GB"/>
                    </w:rPr>
                    <w:drawing>
                      <wp:inline distT="0" distB="0" distL="0" distR="0" wp14:anchorId="647DD674" wp14:editId="4A99163B">
                        <wp:extent cx="66675" cy="13335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6675" cy="133350"/>
                                </a:xfrm>
                                <a:prstGeom prst="rect">
                                  <a:avLst/>
                                </a:prstGeom>
                                <a:noFill/>
                                <a:ln>
                                  <a:noFill/>
                                </a:ln>
                              </pic:spPr>
                            </pic:pic>
                          </a:graphicData>
                        </a:graphic>
                      </wp:inline>
                    </w:drawing>
                  </w:r>
                </w:p>
              </w:tc>
              <w:tc>
                <w:tcPr>
                  <w:tcW w:w="1451" w:type="dxa"/>
                  <w:tcBorders>
                    <w:top w:val="nil"/>
                    <w:left w:val="nil"/>
                    <w:bottom w:val="single" w:sz="8" w:space="0" w:color="auto"/>
                    <w:right w:val="single" w:sz="8" w:space="0" w:color="auto"/>
                  </w:tcBorders>
                  <w:vAlign w:val="center"/>
                  <w:hideMark/>
                </w:tcPr>
                <w:p w14:paraId="61B3A94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color w:val="C00000"/>
                      <w:sz w:val="18"/>
                      <w:szCs w:val="18"/>
                      <w:lang w:val="en-GB"/>
                    </w:rPr>
                    <w:t xml:space="preserve">(2,1), </w:t>
                  </w:r>
                  <w:r w:rsidRPr="004602FC">
                    <w:rPr>
                      <w:rFonts w:ascii="Arial" w:eastAsia="Times New Roman" w:hAnsi="Arial" w:cs="Arial"/>
                      <w:sz w:val="18"/>
                      <w:szCs w:val="18"/>
                      <w:lang w:val="en-GB"/>
                    </w:rPr>
                    <w:t>(2, 2)</w:t>
                  </w:r>
                </w:p>
              </w:tc>
              <w:tc>
                <w:tcPr>
                  <w:tcW w:w="1530" w:type="dxa"/>
                  <w:tcBorders>
                    <w:top w:val="nil"/>
                    <w:left w:val="nil"/>
                    <w:bottom w:val="single" w:sz="8" w:space="0" w:color="auto"/>
                    <w:right w:val="single" w:sz="8" w:space="0" w:color="auto"/>
                  </w:tcBorders>
                  <w:hideMark/>
                </w:tcPr>
                <w:p w14:paraId="4472A03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(4,1),</w:t>
                  </w:r>
                  <w:r w:rsidRPr="004602FC">
                    <w:rPr>
                      <w:rFonts w:ascii="Arial" w:eastAsia="Times New Roman" w:hAnsi="Arial" w:cs="Arial"/>
                      <w:sz w:val="18"/>
                      <w:szCs w:val="18"/>
                      <w:lang w:val="en-GB"/>
                    </w:rPr>
                    <w:t xml:space="preserve"> (4, 3)</w:t>
                  </w:r>
                </w:p>
              </w:tc>
              <w:tc>
                <w:tcPr>
                  <w:tcW w:w="1440" w:type="dxa"/>
                  <w:tcBorders>
                    <w:top w:val="nil"/>
                    <w:left w:val="nil"/>
                    <w:bottom w:val="single" w:sz="8" w:space="0" w:color="auto"/>
                    <w:right w:val="single" w:sz="8" w:space="0" w:color="auto"/>
                  </w:tcBorders>
                  <w:hideMark/>
                </w:tcPr>
                <w:p w14:paraId="7C78AB53" w14:textId="77777777" w:rsidR="00322E5C" w:rsidRPr="004602FC" w:rsidRDefault="00322E5C" w:rsidP="00322E5C">
                  <w:pPr>
                    <w:spacing w:line="240" w:lineRule="auto"/>
                    <w:jc w:val="center"/>
                    <w:rPr>
                      <w:rFonts w:ascii="Arial" w:eastAsia="Times New Roman" w:hAnsi="Arial" w:cs="Arial"/>
                      <w:sz w:val="18"/>
                      <w:szCs w:val="18"/>
                    </w:rPr>
                  </w:pPr>
                  <w:r w:rsidRPr="00322E5C">
                    <w:rPr>
                      <w:rFonts w:ascii="Arial" w:eastAsia="Times New Roman" w:hAnsi="Arial" w:cs="Arial"/>
                      <w:color w:val="C00000"/>
                      <w:sz w:val="18"/>
                      <w:szCs w:val="18"/>
                      <w:lang w:val="en-GB"/>
                    </w:rPr>
                    <w:t>(7,1),</w:t>
                  </w:r>
                  <w:r>
                    <w:rPr>
                      <w:rFonts w:ascii="Arial" w:eastAsia="Times New Roman" w:hAnsi="Arial" w:cs="Arial"/>
                      <w:sz w:val="18"/>
                      <w:szCs w:val="18"/>
                      <w:lang w:val="en-GB"/>
                    </w:rPr>
                    <w:t xml:space="preserve"> </w:t>
                  </w:r>
                  <w:r w:rsidRPr="004602FC">
                    <w:rPr>
                      <w:rFonts w:ascii="Arial" w:eastAsia="Times New Roman" w:hAnsi="Arial" w:cs="Arial"/>
                      <w:sz w:val="18"/>
                      <w:szCs w:val="18"/>
                      <w:lang w:val="en-GB"/>
                    </w:rPr>
                    <w:t>(7, 3)</w:t>
                  </w:r>
                </w:p>
              </w:tc>
            </w:tr>
            <w:tr w:rsidR="00322E5C" w:rsidRPr="004602FC" w14:paraId="36C39184"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212BD9D7"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0</w:t>
                  </w:r>
                </w:p>
              </w:tc>
              <w:tc>
                <w:tcPr>
                  <w:tcW w:w="1451" w:type="dxa"/>
                  <w:tcBorders>
                    <w:top w:val="nil"/>
                    <w:left w:val="nil"/>
                    <w:bottom w:val="single" w:sz="8" w:space="0" w:color="auto"/>
                    <w:right w:val="single" w:sz="8" w:space="0" w:color="auto"/>
                  </w:tcBorders>
                  <w:vAlign w:val="center"/>
                  <w:hideMark/>
                </w:tcPr>
                <w:p w14:paraId="2A50D663"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7A3D602A"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1F9F210C"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r w:rsidR="00322E5C" w:rsidRPr="004602FC" w14:paraId="5DB7D14C" w14:textId="77777777" w:rsidTr="00920F17">
              <w:trPr>
                <w:jc w:val="center"/>
              </w:trPr>
              <w:tc>
                <w:tcPr>
                  <w:tcW w:w="794" w:type="dxa"/>
                  <w:tcBorders>
                    <w:top w:val="nil"/>
                    <w:left w:val="single" w:sz="8" w:space="0" w:color="auto"/>
                    <w:bottom w:val="single" w:sz="8" w:space="0" w:color="auto"/>
                    <w:right w:val="single" w:sz="8" w:space="0" w:color="auto"/>
                  </w:tcBorders>
                  <w:vAlign w:val="center"/>
                  <w:hideMark/>
                </w:tcPr>
                <w:p w14:paraId="07B24BB9"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w:t>
                  </w:r>
                </w:p>
              </w:tc>
              <w:tc>
                <w:tcPr>
                  <w:tcW w:w="1451" w:type="dxa"/>
                  <w:tcBorders>
                    <w:top w:val="nil"/>
                    <w:left w:val="nil"/>
                    <w:bottom w:val="single" w:sz="8" w:space="0" w:color="auto"/>
                    <w:right w:val="single" w:sz="8" w:space="0" w:color="auto"/>
                  </w:tcBorders>
                  <w:vAlign w:val="center"/>
                  <w:hideMark/>
                </w:tcPr>
                <w:p w14:paraId="5E0FB8B8"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18</w:t>
                  </w:r>
                </w:p>
              </w:tc>
              <w:tc>
                <w:tcPr>
                  <w:tcW w:w="1530" w:type="dxa"/>
                  <w:tcBorders>
                    <w:top w:val="nil"/>
                    <w:left w:val="nil"/>
                    <w:bottom w:val="single" w:sz="8" w:space="0" w:color="auto"/>
                    <w:right w:val="single" w:sz="8" w:space="0" w:color="auto"/>
                  </w:tcBorders>
                  <w:hideMark/>
                </w:tcPr>
                <w:p w14:paraId="1C2E53BF"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36</w:t>
                  </w:r>
                </w:p>
              </w:tc>
              <w:tc>
                <w:tcPr>
                  <w:tcW w:w="1440" w:type="dxa"/>
                  <w:tcBorders>
                    <w:top w:val="nil"/>
                    <w:left w:val="nil"/>
                    <w:bottom w:val="single" w:sz="8" w:space="0" w:color="auto"/>
                    <w:right w:val="single" w:sz="8" w:space="0" w:color="auto"/>
                  </w:tcBorders>
                  <w:hideMark/>
                </w:tcPr>
                <w:p w14:paraId="384F8541" w14:textId="77777777" w:rsidR="00322E5C" w:rsidRPr="004602FC" w:rsidRDefault="00322E5C" w:rsidP="00322E5C">
                  <w:pPr>
                    <w:spacing w:line="240" w:lineRule="auto"/>
                    <w:jc w:val="center"/>
                    <w:rPr>
                      <w:rFonts w:ascii="Arial" w:eastAsia="Times New Roman" w:hAnsi="Arial" w:cs="Arial"/>
                      <w:sz w:val="18"/>
                      <w:szCs w:val="18"/>
                    </w:rPr>
                  </w:pPr>
                  <w:r w:rsidRPr="004602FC">
                    <w:rPr>
                      <w:rFonts w:ascii="Arial" w:eastAsia="Times New Roman" w:hAnsi="Arial" w:cs="Arial"/>
                      <w:sz w:val="18"/>
                      <w:szCs w:val="18"/>
                      <w:lang w:val="en-GB"/>
                    </w:rPr>
                    <w:t>56</w:t>
                  </w:r>
                </w:p>
              </w:tc>
            </w:tr>
          </w:tbl>
          <w:p w14:paraId="6FE543C6" w14:textId="77777777" w:rsidR="00322E5C" w:rsidRDefault="00322E5C" w:rsidP="00322E5C">
            <w:pPr>
              <w:jc w:val="both"/>
              <w:rPr>
                <w:rFonts w:eastAsia="MS Mincho"/>
                <w:lang w:val="en-GB" w:eastAsia="ja-JP"/>
              </w:rPr>
            </w:pPr>
          </w:p>
          <w:p w14:paraId="6FFDF799" w14:textId="4965E3BD" w:rsidR="00335125" w:rsidRDefault="00322E5C" w:rsidP="00322E5C">
            <w:pPr>
              <w:jc w:val="center"/>
              <w:rPr>
                <w:rFonts w:eastAsia="MS Mincho"/>
                <w:lang w:val="en-GB" w:eastAsia="ja-JP"/>
              </w:rPr>
            </w:pPr>
            <w:r>
              <w:rPr>
                <w:rFonts w:eastAsia="MS Mincho"/>
                <w:lang w:val="en-GB" w:eastAsia="ja-JP"/>
              </w:rPr>
              <w:t>…</w:t>
            </w:r>
          </w:p>
        </w:tc>
      </w:tr>
    </w:tbl>
    <w:p w14:paraId="24B19FC1" w14:textId="4A3E81E9" w:rsidR="00335125" w:rsidRPr="00FC21BB" w:rsidRDefault="00335125" w:rsidP="00F31FFA">
      <w:pPr>
        <w:jc w:val="both"/>
        <w:rPr>
          <w:rFonts w:eastAsia="MS Mincho"/>
          <w:b/>
          <w:bCs/>
          <w:lang w:val="en-GB" w:eastAsia="ja-JP"/>
        </w:rPr>
      </w:pPr>
    </w:p>
    <w:p w14:paraId="1A333046" w14:textId="77777777" w:rsidR="007809A3" w:rsidRPr="00F04CBD" w:rsidRDefault="007809A3" w:rsidP="00F31FFA">
      <w:pPr>
        <w:jc w:val="both"/>
        <w:rPr>
          <w:rFonts w:eastAsia="MS Mincho"/>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t>Conclusion</w:t>
      </w:r>
    </w:p>
    <w:p w14:paraId="46D3B4A9" w14:textId="6C214267" w:rsidR="00910762" w:rsidRPr="00335125" w:rsidRDefault="009C265A" w:rsidP="001650C1">
      <w:pPr>
        <w:jc w:val="both"/>
        <w:rPr>
          <w:rFonts w:cstheme="minorHAnsi"/>
          <w:lang w:val="en-GB" w:eastAsia="ja-JP"/>
        </w:rPr>
      </w:pPr>
      <w:r w:rsidRPr="00335125">
        <w:rPr>
          <w:rFonts w:cstheme="minorHAnsi"/>
          <w:lang w:val="en-GB" w:eastAsia="ja-JP"/>
        </w:rPr>
        <w:t>In this contribution, we propose the following:</w:t>
      </w:r>
    </w:p>
    <w:p w14:paraId="7DB943FD" w14:textId="77777777" w:rsidR="009C265A" w:rsidRPr="00335125" w:rsidRDefault="009C265A" w:rsidP="001650C1">
      <w:pPr>
        <w:jc w:val="both"/>
        <w:rPr>
          <w:rFonts w:cstheme="minorHAnsi"/>
          <w:lang w:val="en-GB" w:eastAsia="ja-JP"/>
        </w:rPr>
      </w:pPr>
    </w:p>
    <w:p w14:paraId="2937F665" w14:textId="33108C56" w:rsidR="009C265A" w:rsidRPr="00335125" w:rsidRDefault="009C265A" w:rsidP="009C265A">
      <w:pPr>
        <w:jc w:val="both"/>
        <w:rPr>
          <w:rFonts w:eastAsia="MS Mincho" w:cstheme="minorHAnsi"/>
          <w:lang w:val="en-GB" w:eastAsia="ja-JP"/>
        </w:rPr>
      </w:pPr>
      <w:r w:rsidRPr="00335125">
        <w:rPr>
          <w:rFonts w:eastAsia="MS Mincho" w:cstheme="minorHAnsi"/>
          <w:b/>
          <w:bCs/>
          <w:u w:val="single"/>
          <w:lang w:val="en-GB" w:eastAsia="ja-JP"/>
        </w:rPr>
        <w:t>Proposal</w:t>
      </w:r>
      <w:r w:rsidR="00F6631E" w:rsidRPr="00335125">
        <w:rPr>
          <w:rFonts w:eastAsia="MS Mincho" w:cstheme="minorHAnsi"/>
          <w:b/>
          <w:bCs/>
          <w:u w:val="single"/>
          <w:lang w:val="en-GB" w:eastAsia="ja-JP"/>
        </w:rPr>
        <w:t>s</w:t>
      </w:r>
      <w:r w:rsidRPr="00335125">
        <w:rPr>
          <w:rFonts w:eastAsia="MS Mincho" w:cstheme="minorHAnsi"/>
          <w:lang w:val="en-GB" w:eastAsia="ja-JP"/>
        </w:rPr>
        <w:t>:</w:t>
      </w:r>
    </w:p>
    <w:p w14:paraId="1770AB71" w14:textId="21CEEFEB" w:rsidR="00796233"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Introduce </w:t>
      </w:r>
      <w:r w:rsidR="00322E5C">
        <w:rPr>
          <w:rFonts w:eastAsia="MS Mincho" w:cstheme="minorHAnsi"/>
          <w:lang w:val="en-GB" w:eastAsia="ja-JP"/>
        </w:rPr>
        <w:t>the</w:t>
      </w:r>
      <w:r>
        <w:rPr>
          <w:rFonts w:eastAsia="MS Mincho" w:cstheme="minorHAnsi"/>
          <w:lang w:val="en-GB" w:eastAsia="ja-JP"/>
        </w:rPr>
        <w:t xml:space="preserve"> new (X,Y) = (2,1)</w:t>
      </w:r>
      <w:r w:rsidR="00322E5C">
        <w:rPr>
          <w:rFonts w:eastAsia="MS Mincho" w:cstheme="minorHAnsi"/>
          <w:lang w:val="en-GB" w:eastAsia="ja-JP"/>
        </w:rPr>
        <w:t>, (4,1) and (7,1)</w:t>
      </w:r>
      <w:r>
        <w:rPr>
          <w:rFonts w:eastAsia="MS Mincho" w:cstheme="minorHAnsi"/>
          <w:lang w:val="en-GB" w:eastAsia="ja-JP"/>
        </w:rPr>
        <w:t xml:space="preserve"> span pattern</w:t>
      </w:r>
      <w:r w:rsidR="00322E5C">
        <w:rPr>
          <w:rFonts w:eastAsia="MS Mincho" w:cstheme="minorHAnsi"/>
          <w:lang w:val="en-GB" w:eastAsia="ja-JP"/>
        </w:rPr>
        <w:t>s</w:t>
      </w:r>
      <w:r>
        <w:rPr>
          <w:rFonts w:eastAsia="MS Mincho" w:cstheme="minorHAnsi"/>
          <w:lang w:val="en-GB" w:eastAsia="ja-JP"/>
        </w:rPr>
        <w:t xml:space="preserve"> for Rel. 16 PDCCH monitoring capability. </w:t>
      </w:r>
    </w:p>
    <w:p w14:paraId="3EE671BB" w14:textId="1AD6CE8F" w:rsid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Add the new pattern</w:t>
      </w:r>
      <w:r w:rsidR="00322E5C">
        <w:rPr>
          <w:rFonts w:eastAsia="MS Mincho" w:cstheme="minorHAnsi"/>
          <w:lang w:val="en-GB" w:eastAsia="ja-JP"/>
        </w:rPr>
        <w:t>s</w:t>
      </w:r>
      <w:r>
        <w:rPr>
          <w:rFonts w:eastAsia="MS Mincho" w:cstheme="minorHAnsi"/>
          <w:lang w:val="en-GB" w:eastAsia="ja-JP"/>
        </w:rPr>
        <w:t xml:space="preserve"> to TS 38.213</w:t>
      </w:r>
    </w:p>
    <w:p w14:paraId="0A95C0DB" w14:textId="785F0072" w:rsidR="00335125" w:rsidRPr="00335125" w:rsidRDefault="00335125" w:rsidP="00796233">
      <w:pPr>
        <w:pStyle w:val="ListParagraph"/>
        <w:numPr>
          <w:ilvl w:val="0"/>
          <w:numId w:val="40"/>
        </w:numPr>
        <w:ind w:leftChars="0"/>
        <w:jc w:val="both"/>
        <w:rPr>
          <w:rFonts w:eastAsia="MS Mincho" w:cstheme="minorHAnsi"/>
          <w:lang w:val="en-GB" w:eastAsia="ja-JP"/>
        </w:rPr>
      </w:pPr>
      <w:r>
        <w:rPr>
          <w:rFonts w:eastAsia="MS Mincho" w:cstheme="minorHAnsi"/>
          <w:lang w:val="en-GB" w:eastAsia="ja-JP"/>
        </w:rPr>
        <w:t xml:space="preserve">Discuss and decide which alternatives to choose to reflect the dependency between the new FG and </w:t>
      </w:r>
      <w:r>
        <w:rPr>
          <w:rFonts w:eastAsia="MS Mincho"/>
          <w:lang w:val="en-GB" w:eastAsia="ja-JP"/>
        </w:rPr>
        <w:t>FG 11-2a, 11-2b, 11-2c, 11-2d, 11-2e, 11-2f and 11-2g.</w:t>
      </w:r>
    </w:p>
    <w:p w14:paraId="50312862" w14:textId="58870E5D" w:rsidR="00335125" w:rsidRPr="00335125" w:rsidRDefault="009C265A" w:rsidP="00335125">
      <w:pPr>
        <w:pStyle w:val="ListParagraph"/>
        <w:numPr>
          <w:ilvl w:val="0"/>
          <w:numId w:val="40"/>
        </w:numPr>
        <w:ind w:leftChars="0"/>
        <w:jc w:val="both"/>
        <w:rPr>
          <w:rFonts w:cstheme="minorHAnsi"/>
        </w:rPr>
      </w:pPr>
      <w:r w:rsidRPr="00335125">
        <w:rPr>
          <w:rFonts w:eastAsia="MS Mincho" w:cstheme="minorHAnsi"/>
          <w:lang w:val="en-GB" w:eastAsia="ja-JP"/>
        </w:rPr>
        <w:t>Send a LS to RAN2 to capture</w:t>
      </w:r>
      <w:r w:rsidR="00335125">
        <w:rPr>
          <w:rFonts w:eastAsia="MS Mincho" w:cstheme="minorHAnsi"/>
          <w:lang w:val="en-GB" w:eastAsia="ja-JP"/>
        </w:rPr>
        <w:t xml:space="preserve"> the new FG(s). </w:t>
      </w:r>
    </w:p>
    <w:p w14:paraId="08E71D82" w14:textId="503EE578" w:rsidR="009C265A" w:rsidRPr="00335125" w:rsidRDefault="009C265A" w:rsidP="00335125">
      <w:pPr>
        <w:jc w:val="both"/>
        <w:rPr>
          <w:rFonts w:eastAsia="MS Mincho" w:cstheme="minorHAnsi"/>
          <w:lang w:val="en-GB" w:eastAsia="ja-JP"/>
        </w:rPr>
      </w:pPr>
    </w:p>
    <w:p w14:paraId="583C9E4A" w14:textId="05A12FAE" w:rsidR="00335125" w:rsidRDefault="00335125" w:rsidP="00335125">
      <w:pPr>
        <w:pStyle w:val="Heading1"/>
        <w:numPr>
          <w:ilvl w:val="0"/>
          <w:numId w:val="5"/>
        </w:numPr>
        <w:rPr>
          <w:b/>
          <w:lang w:eastAsia="ja-JP"/>
        </w:rPr>
      </w:pPr>
      <w:r>
        <w:rPr>
          <w:b/>
          <w:lang w:eastAsia="ja-JP"/>
        </w:rPr>
        <w:t>Reference</w:t>
      </w:r>
    </w:p>
    <w:p w14:paraId="13AEC90E" w14:textId="589AE820" w:rsidR="00335125" w:rsidRPr="00335125" w:rsidRDefault="00335125" w:rsidP="00335125">
      <w:pPr>
        <w:rPr>
          <w:b/>
          <w:bCs/>
          <w:lang w:eastAsia="ja-JP"/>
        </w:rPr>
      </w:pPr>
      <w:r w:rsidRPr="00335125">
        <w:rPr>
          <w:b/>
          <w:bCs/>
          <w:lang w:eastAsia="ja-JP"/>
        </w:rPr>
        <w:t>[1] 3GPP TS 38.213</w:t>
      </w:r>
    </w:p>
    <w:p w14:paraId="4C09052B" w14:textId="77777777" w:rsidR="006268D7" w:rsidRPr="00407069" w:rsidRDefault="006268D7" w:rsidP="006268D7">
      <w:pPr>
        <w:jc w:val="both"/>
        <w:rPr>
          <w:lang w:eastAsia="ja-JP"/>
        </w:rPr>
      </w:pPr>
    </w:p>
    <w:sectPr w:rsidR="006268D7" w:rsidRPr="00407069" w:rsidSect="0048770C">
      <w:pgSz w:w="22464"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F5EBF" w14:textId="77777777" w:rsidR="00ED2F92" w:rsidRDefault="00ED2F92" w:rsidP="00C36A51">
      <w:pPr>
        <w:spacing w:line="240" w:lineRule="auto"/>
      </w:pPr>
      <w:r>
        <w:separator/>
      </w:r>
    </w:p>
  </w:endnote>
  <w:endnote w:type="continuationSeparator" w:id="0">
    <w:p w14:paraId="05A5A316" w14:textId="77777777" w:rsidR="00ED2F92" w:rsidRDefault="00ED2F92" w:rsidP="00C36A51">
      <w:pPr>
        <w:spacing w:line="240" w:lineRule="auto"/>
      </w:pPr>
      <w:r>
        <w:continuationSeparator/>
      </w:r>
    </w:p>
  </w:endnote>
  <w:endnote w:type="continuationNotice" w:id="1">
    <w:p w14:paraId="26519E14" w14:textId="77777777" w:rsidR="00ED2F92" w:rsidRDefault="00ED2F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3000509000000000000"/>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0ED4D" w14:textId="77777777" w:rsidR="00ED2F92" w:rsidRDefault="00ED2F92" w:rsidP="00C36A51">
      <w:pPr>
        <w:spacing w:line="240" w:lineRule="auto"/>
      </w:pPr>
      <w:r>
        <w:separator/>
      </w:r>
    </w:p>
  </w:footnote>
  <w:footnote w:type="continuationSeparator" w:id="0">
    <w:p w14:paraId="13FB4DA2" w14:textId="77777777" w:rsidR="00ED2F92" w:rsidRDefault="00ED2F92" w:rsidP="00C36A51">
      <w:pPr>
        <w:spacing w:line="240" w:lineRule="auto"/>
      </w:pPr>
      <w:r>
        <w:continuationSeparator/>
      </w:r>
    </w:p>
  </w:footnote>
  <w:footnote w:type="continuationNotice" w:id="1">
    <w:p w14:paraId="237B84C5" w14:textId="77777777" w:rsidR="00ED2F92" w:rsidRDefault="00ED2F9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63712C"/>
    <w:multiLevelType w:val="hybridMultilevel"/>
    <w:tmpl w:val="B098435C"/>
    <w:lvl w:ilvl="0" w:tplc="46440860">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540E57"/>
    <w:multiLevelType w:val="hybridMultilevel"/>
    <w:tmpl w:val="AEF8DFB8"/>
    <w:lvl w:ilvl="0" w:tplc="9DE62FC2">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277011"/>
    <w:multiLevelType w:val="hybridMultilevel"/>
    <w:tmpl w:val="230AB068"/>
    <w:lvl w:ilvl="0" w:tplc="FA38FD5C">
      <w:start w:val="1"/>
      <w:numFmt w:val="bullet"/>
      <w:lvlText w:val="•"/>
      <w:lvlJc w:val="left"/>
      <w:pPr>
        <w:tabs>
          <w:tab w:val="num" w:pos="360"/>
        </w:tabs>
        <w:ind w:left="360" w:hanging="360"/>
      </w:pPr>
      <w:rPr>
        <w:rFonts w:ascii="Arial" w:hAnsi="Arial" w:cs="Times New Roman" w:hint="default"/>
      </w:rPr>
    </w:lvl>
    <w:lvl w:ilvl="1" w:tplc="5C7678B2">
      <w:numFmt w:val="bullet"/>
      <w:lvlText w:val="•"/>
      <w:lvlJc w:val="left"/>
      <w:pPr>
        <w:tabs>
          <w:tab w:val="num" w:pos="1080"/>
        </w:tabs>
        <w:ind w:left="1080" w:hanging="360"/>
      </w:pPr>
      <w:rPr>
        <w:rFonts w:ascii="Arial" w:hAnsi="Arial" w:cs="Times New Roman" w:hint="default"/>
      </w:rPr>
    </w:lvl>
    <w:lvl w:ilvl="2" w:tplc="E9EA5986">
      <w:numFmt w:val="bullet"/>
      <w:lvlText w:val="•"/>
      <w:lvlJc w:val="left"/>
      <w:pPr>
        <w:tabs>
          <w:tab w:val="num" w:pos="1800"/>
        </w:tabs>
        <w:ind w:left="1800" w:hanging="360"/>
      </w:pPr>
      <w:rPr>
        <w:rFonts w:ascii="Arial" w:hAnsi="Arial" w:cs="Times New Roman" w:hint="default"/>
      </w:rPr>
    </w:lvl>
    <w:lvl w:ilvl="3" w:tplc="EFA63648">
      <w:numFmt w:val="bullet"/>
      <w:lvlText w:val="•"/>
      <w:lvlJc w:val="left"/>
      <w:pPr>
        <w:tabs>
          <w:tab w:val="num" w:pos="2520"/>
        </w:tabs>
        <w:ind w:left="2520" w:hanging="360"/>
      </w:pPr>
      <w:rPr>
        <w:rFonts w:ascii="Arial" w:hAnsi="Arial" w:cs="Times New Roman" w:hint="default"/>
      </w:rPr>
    </w:lvl>
    <w:lvl w:ilvl="4" w:tplc="B3FEA9D0">
      <w:start w:val="1"/>
      <w:numFmt w:val="bullet"/>
      <w:lvlText w:val="•"/>
      <w:lvlJc w:val="left"/>
      <w:pPr>
        <w:tabs>
          <w:tab w:val="num" w:pos="3240"/>
        </w:tabs>
        <w:ind w:left="3240" w:hanging="360"/>
      </w:pPr>
      <w:rPr>
        <w:rFonts w:ascii="Arial" w:hAnsi="Arial" w:cs="Times New Roman" w:hint="default"/>
      </w:rPr>
    </w:lvl>
    <w:lvl w:ilvl="5" w:tplc="0524ADD4">
      <w:start w:val="1"/>
      <w:numFmt w:val="bullet"/>
      <w:lvlText w:val="•"/>
      <w:lvlJc w:val="left"/>
      <w:pPr>
        <w:tabs>
          <w:tab w:val="num" w:pos="3960"/>
        </w:tabs>
        <w:ind w:left="3960" w:hanging="360"/>
      </w:pPr>
      <w:rPr>
        <w:rFonts w:ascii="Arial" w:hAnsi="Arial" w:cs="Times New Roman" w:hint="default"/>
      </w:rPr>
    </w:lvl>
    <w:lvl w:ilvl="6" w:tplc="289E9590">
      <w:start w:val="1"/>
      <w:numFmt w:val="bullet"/>
      <w:lvlText w:val="•"/>
      <w:lvlJc w:val="left"/>
      <w:pPr>
        <w:tabs>
          <w:tab w:val="num" w:pos="4680"/>
        </w:tabs>
        <w:ind w:left="4680" w:hanging="360"/>
      </w:pPr>
      <w:rPr>
        <w:rFonts w:ascii="Arial" w:hAnsi="Arial" w:cs="Times New Roman" w:hint="default"/>
      </w:rPr>
    </w:lvl>
    <w:lvl w:ilvl="7" w:tplc="2FC646D4">
      <w:start w:val="1"/>
      <w:numFmt w:val="bullet"/>
      <w:lvlText w:val="•"/>
      <w:lvlJc w:val="left"/>
      <w:pPr>
        <w:tabs>
          <w:tab w:val="num" w:pos="5400"/>
        </w:tabs>
        <w:ind w:left="5400" w:hanging="360"/>
      </w:pPr>
      <w:rPr>
        <w:rFonts w:ascii="Arial" w:hAnsi="Arial" w:cs="Times New Roman" w:hint="default"/>
      </w:rPr>
    </w:lvl>
    <w:lvl w:ilvl="8" w:tplc="9DF40988">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9546516">
    <w:abstractNumId w:val="17"/>
  </w:num>
  <w:num w:numId="2" w16cid:durableId="1060131729">
    <w:abstractNumId w:val="21"/>
  </w:num>
  <w:num w:numId="3" w16cid:durableId="1259096279">
    <w:abstractNumId w:val="18"/>
  </w:num>
  <w:num w:numId="4" w16cid:durableId="1062558090">
    <w:abstractNumId w:val="31"/>
  </w:num>
  <w:num w:numId="5" w16cid:durableId="2048291682">
    <w:abstractNumId w:val="32"/>
  </w:num>
  <w:num w:numId="6" w16cid:durableId="1929190326">
    <w:abstractNumId w:val="24"/>
  </w:num>
  <w:num w:numId="7" w16cid:durableId="595939559">
    <w:abstractNumId w:val="20"/>
  </w:num>
  <w:num w:numId="8" w16cid:durableId="1730306588">
    <w:abstractNumId w:val="7"/>
  </w:num>
  <w:num w:numId="9" w16cid:durableId="1922714504">
    <w:abstractNumId w:val="27"/>
  </w:num>
  <w:num w:numId="10" w16cid:durableId="2070685475">
    <w:abstractNumId w:val="28"/>
  </w:num>
  <w:num w:numId="11" w16cid:durableId="1179926839">
    <w:abstractNumId w:val="10"/>
  </w:num>
  <w:num w:numId="12" w16cid:durableId="1981182306">
    <w:abstractNumId w:val="6"/>
  </w:num>
  <w:num w:numId="13" w16cid:durableId="288902369">
    <w:abstractNumId w:val="16"/>
  </w:num>
  <w:num w:numId="14" w16cid:durableId="546845155">
    <w:abstractNumId w:val="5"/>
  </w:num>
  <w:num w:numId="15" w16cid:durableId="669525378">
    <w:abstractNumId w:val="38"/>
  </w:num>
  <w:num w:numId="16" w16cid:durableId="345331792">
    <w:abstractNumId w:val="26"/>
  </w:num>
  <w:num w:numId="17" w16cid:durableId="1751807346">
    <w:abstractNumId w:val="36"/>
  </w:num>
  <w:num w:numId="18" w16cid:durableId="1821649215">
    <w:abstractNumId w:val="3"/>
  </w:num>
  <w:num w:numId="19" w16cid:durableId="1200700029">
    <w:abstractNumId w:val="1"/>
  </w:num>
  <w:num w:numId="20" w16cid:durableId="937979693">
    <w:abstractNumId w:val="34"/>
  </w:num>
  <w:num w:numId="21" w16cid:durableId="49349098">
    <w:abstractNumId w:val="22"/>
  </w:num>
  <w:num w:numId="22" w16cid:durableId="45836619">
    <w:abstractNumId w:val="19"/>
  </w:num>
  <w:num w:numId="23" w16cid:durableId="1711765786">
    <w:abstractNumId w:val="13"/>
  </w:num>
  <w:num w:numId="24" w16cid:durableId="1388527383">
    <w:abstractNumId w:val="2"/>
  </w:num>
  <w:num w:numId="25" w16cid:durableId="455368062">
    <w:abstractNumId w:val="35"/>
  </w:num>
  <w:num w:numId="26" w16cid:durableId="2090737224">
    <w:abstractNumId w:val="40"/>
  </w:num>
  <w:num w:numId="27" w16cid:durableId="1190336747">
    <w:abstractNumId w:val="0"/>
  </w:num>
  <w:num w:numId="28" w16cid:durableId="2026515171">
    <w:abstractNumId w:val="4"/>
  </w:num>
  <w:num w:numId="29" w16cid:durableId="1486433892">
    <w:abstractNumId w:val="25"/>
  </w:num>
  <w:num w:numId="30" w16cid:durableId="1009604671">
    <w:abstractNumId w:val="12"/>
  </w:num>
  <w:num w:numId="31" w16cid:durableId="1784153529">
    <w:abstractNumId w:val="37"/>
  </w:num>
  <w:num w:numId="32" w16cid:durableId="1066760519">
    <w:abstractNumId w:val="11"/>
  </w:num>
  <w:num w:numId="33" w16cid:durableId="348411436">
    <w:abstractNumId w:val="15"/>
  </w:num>
  <w:num w:numId="34" w16cid:durableId="1794863024">
    <w:abstractNumId w:val="14"/>
  </w:num>
  <w:num w:numId="35" w16cid:durableId="733621316">
    <w:abstractNumId w:val="33"/>
  </w:num>
  <w:num w:numId="36" w16cid:durableId="438448761">
    <w:abstractNumId w:val="39"/>
  </w:num>
  <w:num w:numId="37" w16cid:durableId="1637373194">
    <w:abstractNumId w:val="23"/>
  </w:num>
  <w:num w:numId="38" w16cid:durableId="185296333">
    <w:abstractNumId w:val="29"/>
  </w:num>
  <w:num w:numId="39" w16cid:durableId="2078890933">
    <w:abstractNumId w:val="30"/>
  </w:num>
  <w:num w:numId="40" w16cid:durableId="2139296414">
    <w:abstractNumId w:val="9"/>
  </w:num>
  <w:num w:numId="41" w16cid:durableId="164908983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149"/>
    <w:rsid w:val="00002D3D"/>
    <w:rsid w:val="00002D7A"/>
    <w:rsid w:val="00003E9E"/>
    <w:rsid w:val="00004662"/>
    <w:rsid w:val="00004A08"/>
    <w:rsid w:val="00004DF5"/>
    <w:rsid w:val="000060C5"/>
    <w:rsid w:val="00006201"/>
    <w:rsid w:val="0000638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CC"/>
    <w:rsid w:val="000217EA"/>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6F2"/>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69"/>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96C"/>
    <w:rsid w:val="000E2E73"/>
    <w:rsid w:val="000E341C"/>
    <w:rsid w:val="000E34F2"/>
    <w:rsid w:val="000E3F59"/>
    <w:rsid w:val="000E4564"/>
    <w:rsid w:val="000E4AD2"/>
    <w:rsid w:val="000E5480"/>
    <w:rsid w:val="000E57D1"/>
    <w:rsid w:val="000E699F"/>
    <w:rsid w:val="000E6EA3"/>
    <w:rsid w:val="000F0334"/>
    <w:rsid w:val="000F1204"/>
    <w:rsid w:val="000F120F"/>
    <w:rsid w:val="000F14CB"/>
    <w:rsid w:val="000F1841"/>
    <w:rsid w:val="000F243A"/>
    <w:rsid w:val="000F24D8"/>
    <w:rsid w:val="000F25AD"/>
    <w:rsid w:val="000F25B6"/>
    <w:rsid w:val="000F398F"/>
    <w:rsid w:val="000F3A47"/>
    <w:rsid w:val="000F46F1"/>
    <w:rsid w:val="000F490C"/>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44A"/>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EFB"/>
    <w:rsid w:val="00191109"/>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1BC"/>
    <w:rsid w:val="001A0317"/>
    <w:rsid w:val="001A086B"/>
    <w:rsid w:val="001A097B"/>
    <w:rsid w:val="001A10CE"/>
    <w:rsid w:val="001A1322"/>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284"/>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4AB1"/>
    <w:rsid w:val="001B54F2"/>
    <w:rsid w:val="001B5F26"/>
    <w:rsid w:val="001B661C"/>
    <w:rsid w:val="001B6E1D"/>
    <w:rsid w:val="001B6F6F"/>
    <w:rsid w:val="001B74EB"/>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77F5"/>
    <w:rsid w:val="001E7D71"/>
    <w:rsid w:val="001F036D"/>
    <w:rsid w:val="001F055F"/>
    <w:rsid w:val="001F0C09"/>
    <w:rsid w:val="001F0DD7"/>
    <w:rsid w:val="001F1609"/>
    <w:rsid w:val="001F2207"/>
    <w:rsid w:val="001F2CE4"/>
    <w:rsid w:val="001F2E3C"/>
    <w:rsid w:val="001F3DF1"/>
    <w:rsid w:val="001F4202"/>
    <w:rsid w:val="001F5080"/>
    <w:rsid w:val="001F5164"/>
    <w:rsid w:val="001F5759"/>
    <w:rsid w:val="001F57BF"/>
    <w:rsid w:val="001F654C"/>
    <w:rsid w:val="001F6568"/>
    <w:rsid w:val="001F696E"/>
    <w:rsid w:val="001F6C6A"/>
    <w:rsid w:val="001F7AAF"/>
    <w:rsid w:val="002004FA"/>
    <w:rsid w:val="00200AFF"/>
    <w:rsid w:val="00201207"/>
    <w:rsid w:val="00201F3B"/>
    <w:rsid w:val="002022A8"/>
    <w:rsid w:val="0020239F"/>
    <w:rsid w:val="00203BE1"/>
    <w:rsid w:val="00204062"/>
    <w:rsid w:val="00204A49"/>
    <w:rsid w:val="0020502E"/>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13DF"/>
    <w:rsid w:val="00221837"/>
    <w:rsid w:val="002218D2"/>
    <w:rsid w:val="002222D8"/>
    <w:rsid w:val="002224A0"/>
    <w:rsid w:val="0022297C"/>
    <w:rsid w:val="00222D72"/>
    <w:rsid w:val="00222F62"/>
    <w:rsid w:val="002231C1"/>
    <w:rsid w:val="0022363C"/>
    <w:rsid w:val="00223F7C"/>
    <w:rsid w:val="00224A4A"/>
    <w:rsid w:val="00224FD7"/>
    <w:rsid w:val="002267B1"/>
    <w:rsid w:val="002269CF"/>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6E9E"/>
    <w:rsid w:val="00247159"/>
    <w:rsid w:val="0024726F"/>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E87"/>
    <w:rsid w:val="00264F9B"/>
    <w:rsid w:val="0026506A"/>
    <w:rsid w:val="00265573"/>
    <w:rsid w:val="002665DD"/>
    <w:rsid w:val="00266C26"/>
    <w:rsid w:val="0026717C"/>
    <w:rsid w:val="00270112"/>
    <w:rsid w:val="002713BE"/>
    <w:rsid w:val="00271D7D"/>
    <w:rsid w:val="002723B3"/>
    <w:rsid w:val="002735CE"/>
    <w:rsid w:val="00273E3A"/>
    <w:rsid w:val="002741D7"/>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341"/>
    <w:rsid w:val="00291B58"/>
    <w:rsid w:val="002925E2"/>
    <w:rsid w:val="00292D2C"/>
    <w:rsid w:val="0029448F"/>
    <w:rsid w:val="00295B7F"/>
    <w:rsid w:val="00295B89"/>
    <w:rsid w:val="00296208"/>
    <w:rsid w:val="0029683C"/>
    <w:rsid w:val="002969F1"/>
    <w:rsid w:val="00297DD3"/>
    <w:rsid w:val="002A026B"/>
    <w:rsid w:val="002A053E"/>
    <w:rsid w:val="002A1206"/>
    <w:rsid w:val="002A1348"/>
    <w:rsid w:val="002A1959"/>
    <w:rsid w:val="002A1965"/>
    <w:rsid w:val="002A1F0F"/>
    <w:rsid w:val="002A3EE2"/>
    <w:rsid w:val="002A4598"/>
    <w:rsid w:val="002A5F31"/>
    <w:rsid w:val="002A5FDB"/>
    <w:rsid w:val="002A648D"/>
    <w:rsid w:val="002B00D4"/>
    <w:rsid w:val="002B0672"/>
    <w:rsid w:val="002B0948"/>
    <w:rsid w:val="002B094B"/>
    <w:rsid w:val="002B0B7C"/>
    <w:rsid w:val="002B0BFF"/>
    <w:rsid w:val="002B0ED9"/>
    <w:rsid w:val="002B0FDF"/>
    <w:rsid w:val="002B10A8"/>
    <w:rsid w:val="002B1B12"/>
    <w:rsid w:val="002B1F05"/>
    <w:rsid w:val="002B210F"/>
    <w:rsid w:val="002B3C81"/>
    <w:rsid w:val="002B4621"/>
    <w:rsid w:val="002B4748"/>
    <w:rsid w:val="002B4D25"/>
    <w:rsid w:val="002B4DF8"/>
    <w:rsid w:val="002B6011"/>
    <w:rsid w:val="002B601A"/>
    <w:rsid w:val="002B7001"/>
    <w:rsid w:val="002B75D0"/>
    <w:rsid w:val="002B78C9"/>
    <w:rsid w:val="002B7BE1"/>
    <w:rsid w:val="002C1009"/>
    <w:rsid w:val="002C155D"/>
    <w:rsid w:val="002C17F7"/>
    <w:rsid w:val="002C3164"/>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D53"/>
    <w:rsid w:val="002D4E55"/>
    <w:rsid w:val="002D5264"/>
    <w:rsid w:val="002D5C1E"/>
    <w:rsid w:val="002D6266"/>
    <w:rsid w:val="002D6513"/>
    <w:rsid w:val="002D7AB0"/>
    <w:rsid w:val="002D7E05"/>
    <w:rsid w:val="002E0993"/>
    <w:rsid w:val="002E109A"/>
    <w:rsid w:val="002E1B38"/>
    <w:rsid w:val="002E1EE5"/>
    <w:rsid w:val="002E1F7A"/>
    <w:rsid w:val="002E2775"/>
    <w:rsid w:val="002E37E3"/>
    <w:rsid w:val="002E3914"/>
    <w:rsid w:val="002E5824"/>
    <w:rsid w:val="002E61BD"/>
    <w:rsid w:val="002E65D8"/>
    <w:rsid w:val="002E6747"/>
    <w:rsid w:val="002E6BE2"/>
    <w:rsid w:val="002F00EE"/>
    <w:rsid w:val="002F0803"/>
    <w:rsid w:val="002F10CA"/>
    <w:rsid w:val="002F1137"/>
    <w:rsid w:val="002F1178"/>
    <w:rsid w:val="002F1205"/>
    <w:rsid w:val="002F156A"/>
    <w:rsid w:val="002F1687"/>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6C9"/>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2E5C"/>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125"/>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3903"/>
    <w:rsid w:val="00343EF9"/>
    <w:rsid w:val="0034469D"/>
    <w:rsid w:val="0034492C"/>
    <w:rsid w:val="00344CEE"/>
    <w:rsid w:val="00344F84"/>
    <w:rsid w:val="00346306"/>
    <w:rsid w:val="00346A0E"/>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778C0"/>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5F6E"/>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D78"/>
    <w:rsid w:val="003B0E2B"/>
    <w:rsid w:val="003B1244"/>
    <w:rsid w:val="003B1BD7"/>
    <w:rsid w:val="003B243F"/>
    <w:rsid w:val="003B29A7"/>
    <w:rsid w:val="003B3619"/>
    <w:rsid w:val="003B4090"/>
    <w:rsid w:val="003B4802"/>
    <w:rsid w:val="003B49BB"/>
    <w:rsid w:val="003B4EF0"/>
    <w:rsid w:val="003B579F"/>
    <w:rsid w:val="003B5C48"/>
    <w:rsid w:val="003B5EA1"/>
    <w:rsid w:val="003B5EBB"/>
    <w:rsid w:val="003B666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2EA1"/>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D7C16"/>
    <w:rsid w:val="003E068C"/>
    <w:rsid w:val="003E0D59"/>
    <w:rsid w:val="003E12E9"/>
    <w:rsid w:val="003E1643"/>
    <w:rsid w:val="003E16D5"/>
    <w:rsid w:val="003E2148"/>
    <w:rsid w:val="003E2A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680"/>
    <w:rsid w:val="003F0854"/>
    <w:rsid w:val="003F096C"/>
    <w:rsid w:val="003F0A9E"/>
    <w:rsid w:val="003F16B9"/>
    <w:rsid w:val="003F1D1B"/>
    <w:rsid w:val="003F2107"/>
    <w:rsid w:val="003F23B0"/>
    <w:rsid w:val="003F2962"/>
    <w:rsid w:val="003F521D"/>
    <w:rsid w:val="003F62FF"/>
    <w:rsid w:val="003F6533"/>
    <w:rsid w:val="003F677C"/>
    <w:rsid w:val="003F6844"/>
    <w:rsid w:val="003F6CBE"/>
    <w:rsid w:val="003F6DD7"/>
    <w:rsid w:val="003F74D8"/>
    <w:rsid w:val="003F7564"/>
    <w:rsid w:val="003F7666"/>
    <w:rsid w:val="003F786B"/>
    <w:rsid w:val="003F795E"/>
    <w:rsid w:val="003F7EED"/>
    <w:rsid w:val="00400482"/>
    <w:rsid w:val="00400C33"/>
    <w:rsid w:val="004011D1"/>
    <w:rsid w:val="004016DC"/>
    <w:rsid w:val="00401B30"/>
    <w:rsid w:val="00401BDD"/>
    <w:rsid w:val="00401E23"/>
    <w:rsid w:val="00402D9F"/>
    <w:rsid w:val="00402DD1"/>
    <w:rsid w:val="004030AB"/>
    <w:rsid w:val="0040335F"/>
    <w:rsid w:val="004047C6"/>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66EB"/>
    <w:rsid w:val="00427211"/>
    <w:rsid w:val="00427397"/>
    <w:rsid w:val="004279A8"/>
    <w:rsid w:val="0043092C"/>
    <w:rsid w:val="0043093C"/>
    <w:rsid w:val="00431244"/>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B76"/>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74E"/>
    <w:rsid w:val="00453AE0"/>
    <w:rsid w:val="00453B31"/>
    <w:rsid w:val="00454843"/>
    <w:rsid w:val="00454BE9"/>
    <w:rsid w:val="00454FEC"/>
    <w:rsid w:val="004558E1"/>
    <w:rsid w:val="00455AAA"/>
    <w:rsid w:val="00455D4C"/>
    <w:rsid w:val="0045642B"/>
    <w:rsid w:val="00456650"/>
    <w:rsid w:val="00456C29"/>
    <w:rsid w:val="00457022"/>
    <w:rsid w:val="00457C2E"/>
    <w:rsid w:val="00457D84"/>
    <w:rsid w:val="00457E56"/>
    <w:rsid w:val="004602FC"/>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7234"/>
    <w:rsid w:val="00487267"/>
    <w:rsid w:val="0048750C"/>
    <w:rsid w:val="0048770C"/>
    <w:rsid w:val="00487732"/>
    <w:rsid w:val="00487CA9"/>
    <w:rsid w:val="004902D9"/>
    <w:rsid w:val="0049095E"/>
    <w:rsid w:val="00490F77"/>
    <w:rsid w:val="004920C5"/>
    <w:rsid w:val="0049361C"/>
    <w:rsid w:val="00493AA3"/>
    <w:rsid w:val="00494039"/>
    <w:rsid w:val="004948EE"/>
    <w:rsid w:val="004963FD"/>
    <w:rsid w:val="00496707"/>
    <w:rsid w:val="004974B4"/>
    <w:rsid w:val="00497624"/>
    <w:rsid w:val="00497D03"/>
    <w:rsid w:val="004A056C"/>
    <w:rsid w:val="004A0D13"/>
    <w:rsid w:val="004A1367"/>
    <w:rsid w:val="004A1921"/>
    <w:rsid w:val="004A33A9"/>
    <w:rsid w:val="004A34C5"/>
    <w:rsid w:val="004A3DA1"/>
    <w:rsid w:val="004A46BD"/>
    <w:rsid w:val="004A4D9F"/>
    <w:rsid w:val="004A5066"/>
    <w:rsid w:val="004A5B89"/>
    <w:rsid w:val="004A664F"/>
    <w:rsid w:val="004A688F"/>
    <w:rsid w:val="004A6C19"/>
    <w:rsid w:val="004A72A6"/>
    <w:rsid w:val="004A7ED1"/>
    <w:rsid w:val="004B1792"/>
    <w:rsid w:val="004B204D"/>
    <w:rsid w:val="004B25CE"/>
    <w:rsid w:val="004B280D"/>
    <w:rsid w:val="004B3773"/>
    <w:rsid w:val="004B3AF0"/>
    <w:rsid w:val="004B4150"/>
    <w:rsid w:val="004B42E5"/>
    <w:rsid w:val="004B4308"/>
    <w:rsid w:val="004B472A"/>
    <w:rsid w:val="004B4774"/>
    <w:rsid w:val="004B47C4"/>
    <w:rsid w:val="004B4E31"/>
    <w:rsid w:val="004B526D"/>
    <w:rsid w:val="004B59CB"/>
    <w:rsid w:val="004B6C2B"/>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3D3E"/>
    <w:rsid w:val="004D4649"/>
    <w:rsid w:val="004D475B"/>
    <w:rsid w:val="004D48EA"/>
    <w:rsid w:val="004D5747"/>
    <w:rsid w:val="004D5749"/>
    <w:rsid w:val="004D67BC"/>
    <w:rsid w:val="004D6FCA"/>
    <w:rsid w:val="004D7458"/>
    <w:rsid w:val="004D749C"/>
    <w:rsid w:val="004D7633"/>
    <w:rsid w:val="004D7BC1"/>
    <w:rsid w:val="004D7BFE"/>
    <w:rsid w:val="004E074E"/>
    <w:rsid w:val="004E170D"/>
    <w:rsid w:val="004E26D3"/>
    <w:rsid w:val="004E2834"/>
    <w:rsid w:val="004E2A7D"/>
    <w:rsid w:val="004E37C4"/>
    <w:rsid w:val="004E3D41"/>
    <w:rsid w:val="004E3DA1"/>
    <w:rsid w:val="004E5D8E"/>
    <w:rsid w:val="004E75F6"/>
    <w:rsid w:val="004E7B3E"/>
    <w:rsid w:val="004F0033"/>
    <w:rsid w:val="004F0169"/>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73"/>
    <w:rsid w:val="005005F4"/>
    <w:rsid w:val="00501323"/>
    <w:rsid w:val="0050201E"/>
    <w:rsid w:val="0050250E"/>
    <w:rsid w:val="00502F2C"/>
    <w:rsid w:val="0050329A"/>
    <w:rsid w:val="00503781"/>
    <w:rsid w:val="00503D9A"/>
    <w:rsid w:val="005041B1"/>
    <w:rsid w:val="00504D44"/>
    <w:rsid w:val="00505292"/>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29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AE4"/>
    <w:rsid w:val="00520BA7"/>
    <w:rsid w:val="00520C18"/>
    <w:rsid w:val="00520FE5"/>
    <w:rsid w:val="00521397"/>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7586"/>
    <w:rsid w:val="00527AE2"/>
    <w:rsid w:val="00527FCD"/>
    <w:rsid w:val="005303EE"/>
    <w:rsid w:val="00530CD2"/>
    <w:rsid w:val="00531179"/>
    <w:rsid w:val="005315A5"/>
    <w:rsid w:val="005315E8"/>
    <w:rsid w:val="00532378"/>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E95"/>
    <w:rsid w:val="00537F6B"/>
    <w:rsid w:val="005401C5"/>
    <w:rsid w:val="005406BA"/>
    <w:rsid w:val="005406D1"/>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6686"/>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EA"/>
    <w:rsid w:val="00570F25"/>
    <w:rsid w:val="005711BE"/>
    <w:rsid w:val="00571259"/>
    <w:rsid w:val="00571586"/>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3DA"/>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9B5"/>
    <w:rsid w:val="00592E39"/>
    <w:rsid w:val="00593E7B"/>
    <w:rsid w:val="00593EA9"/>
    <w:rsid w:val="0059439B"/>
    <w:rsid w:val="005944C6"/>
    <w:rsid w:val="0059582E"/>
    <w:rsid w:val="00596547"/>
    <w:rsid w:val="00596BF3"/>
    <w:rsid w:val="005977BD"/>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22B4"/>
    <w:rsid w:val="005B23FF"/>
    <w:rsid w:val="005B315D"/>
    <w:rsid w:val="005B35B5"/>
    <w:rsid w:val="005B4112"/>
    <w:rsid w:val="005B41FB"/>
    <w:rsid w:val="005B478F"/>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7DA"/>
    <w:rsid w:val="005C3E4C"/>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A7"/>
    <w:rsid w:val="005E5631"/>
    <w:rsid w:val="005E5DF2"/>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7C3"/>
    <w:rsid w:val="0060005C"/>
    <w:rsid w:val="00600471"/>
    <w:rsid w:val="00600480"/>
    <w:rsid w:val="0060069F"/>
    <w:rsid w:val="00600A1E"/>
    <w:rsid w:val="00600C08"/>
    <w:rsid w:val="006014B0"/>
    <w:rsid w:val="006014B8"/>
    <w:rsid w:val="00601E26"/>
    <w:rsid w:val="006023D8"/>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18F9"/>
    <w:rsid w:val="00622D02"/>
    <w:rsid w:val="00623ADC"/>
    <w:rsid w:val="00624095"/>
    <w:rsid w:val="006243E1"/>
    <w:rsid w:val="00624D2B"/>
    <w:rsid w:val="006250BB"/>
    <w:rsid w:val="006257AB"/>
    <w:rsid w:val="00626712"/>
    <w:rsid w:val="00626876"/>
    <w:rsid w:val="006268D7"/>
    <w:rsid w:val="00627BAE"/>
    <w:rsid w:val="006301E0"/>
    <w:rsid w:val="00630479"/>
    <w:rsid w:val="00630490"/>
    <w:rsid w:val="00630F80"/>
    <w:rsid w:val="006314DD"/>
    <w:rsid w:val="006318DD"/>
    <w:rsid w:val="00632045"/>
    <w:rsid w:val="00632343"/>
    <w:rsid w:val="006323A7"/>
    <w:rsid w:val="00632466"/>
    <w:rsid w:val="0063327A"/>
    <w:rsid w:val="00633399"/>
    <w:rsid w:val="00633E3B"/>
    <w:rsid w:val="00634668"/>
    <w:rsid w:val="00634B9E"/>
    <w:rsid w:val="00634FB4"/>
    <w:rsid w:val="0063532D"/>
    <w:rsid w:val="006363E6"/>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52B4"/>
    <w:rsid w:val="006457F3"/>
    <w:rsid w:val="00645FE0"/>
    <w:rsid w:val="00646420"/>
    <w:rsid w:val="00646804"/>
    <w:rsid w:val="006479DD"/>
    <w:rsid w:val="00650890"/>
    <w:rsid w:val="00650E14"/>
    <w:rsid w:val="00651665"/>
    <w:rsid w:val="006528F7"/>
    <w:rsid w:val="00652BCD"/>
    <w:rsid w:val="00653219"/>
    <w:rsid w:val="006537FF"/>
    <w:rsid w:val="006538FB"/>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5F24"/>
    <w:rsid w:val="0066629F"/>
    <w:rsid w:val="0066644B"/>
    <w:rsid w:val="0066656D"/>
    <w:rsid w:val="006665A3"/>
    <w:rsid w:val="00666BA9"/>
    <w:rsid w:val="00666BEC"/>
    <w:rsid w:val="006676F1"/>
    <w:rsid w:val="00667C00"/>
    <w:rsid w:val="00667EA7"/>
    <w:rsid w:val="006703E0"/>
    <w:rsid w:val="00670472"/>
    <w:rsid w:val="00672175"/>
    <w:rsid w:val="006723DC"/>
    <w:rsid w:val="00672533"/>
    <w:rsid w:val="00672BB7"/>
    <w:rsid w:val="00673369"/>
    <w:rsid w:val="00673710"/>
    <w:rsid w:val="00673773"/>
    <w:rsid w:val="00673FC7"/>
    <w:rsid w:val="006754A7"/>
    <w:rsid w:val="006766B5"/>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5C48"/>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EA8"/>
    <w:rsid w:val="00696EFF"/>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46D"/>
    <w:rsid w:val="006A466F"/>
    <w:rsid w:val="006A47AE"/>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783"/>
    <w:rsid w:val="006C287C"/>
    <w:rsid w:val="006C28E0"/>
    <w:rsid w:val="006C2A6A"/>
    <w:rsid w:val="006C3002"/>
    <w:rsid w:val="006C4342"/>
    <w:rsid w:val="006C4556"/>
    <w:rsid w:val="006C4A59"/>
    <w:rsid w:val="006C4E96"/>
    <w:rsid w:val="006C5767"/>
    <w:rsid w:val="006C5A6A"/>
    <w:rsid w:val="006C62D2"/>
    <w:rsid w:val="006C6635"/>
    <w:rsid w:val="006C71A8"/>
    <w:rsid w:val="006C7AF1"/>
    <w:rsid w:val="006C7E05"/>
    <w:rsid w:val="006D029C"/>
    <w:rsid w:val="006D035A"/>
    <w:rsid w:val="006D0540"/>
    <w:rsid w:val="006D0E8F"/>
    <w:rsid w:val="006D11BB"/>
    <w:rsid w:val="006D14E5"/>
    <w:rsid w:val="006D1F55"/>
    <w:rsid w:val="006D27A9"/>
    <w:rsid w:val="006D3062"/>
    <w:rsid w:val="006D30B7"/>
    <w:rsid w:val="006D3943"/>
    <w:rsid w:val="006D4366"/>
    <w:rsid w:val="006D46FA"/>
    <w:rsid w:val="006D4DE2"/>
    <w:rsid w:val="006D55FC"/>
    <w:rsid w:val="006D5696"/>
    <w:rsid w:val="006D605C"/>
    <w:rsid w:val="006D6701"/>
    <w:rsid w:val="006D7A4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3D3"/>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1EC"/>
    <w:rsid w:val="00706624"/>
    <w:rsid w:val="00707232"/>
    <w:rsid w:val="007072AA"/>
    <w:rsid w:val="00707563"/>
    <w:rsid w:val="0071025C"/>
    <w:rsid w:val="00710D94"/>
    <w:rsid w:val="00711561"/>
    <w:rsid w:val="007116BA"/>
    <w:rsid w:val="00711F65"/>
    <w:rsid w:val="00712096"/>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6EA"/>
    <w:rsid w:val="00730E81"/>
    <w:rsid w:val="00731526"/>
    <w:rsid w:val="007352ED"/>
    <w:rsid w:val="0073576A"/>
    <w:rsid w:val="00735814"/>
    <w:rsid w:val="0073588B"/>
    <w:rsid w:val="00735A13"/>
    <w:rsid w:val="00735E46"/>
    <w:rsid w:val="00735FD4"/>
    <w:rsid w:val="007365AB"/>
    <w:rsid w:val="00737371"/>
    <w:rsid w:val="007374AB"/>
    <w:rsid w:val="00737BF4"/>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8B3"/>
    <w:rsid w:val="00775B65"/>
    <w:rsid w:val="00775DB0"/>
    <w:rsid w:val="00776F29"/>
    <w:rsid w:val="007774F2"/>
    <w:rsid w:val="00777B5C"/>
    <w:rsid w:val="00780400"/>
    <w:rsid w:val="007805DA"/>
    <w:rsid w:val="00780738"/>
    <w:rsid w:val="007809A3"/>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7F8"/>
    <w:rsid w:val="00787839"/>
    <w:rsid w:val="00791FA6"/>
    <w:rsid w:val="00792DF6"/>
    <w:rsid w:val="00793957"/>
    <w:rsid w:val="00793C49"/>
    <w:rsid w:val="007942D4"/>
    <w:rsid w:val="00794398"/>
    <w:rsid w:val="00794B8E"/>
    <w:rsid w:val="00795892"/>
    <w:rsid w:val="00795BA4"/>
    <w:rsid w:val="00795E63"/>
    <w:rsid w:val="00796233"/>
    <w:rsid w:val="007962BA"/>
    <w:rsid w:val="007968BE"/>
    <w:rsid w:val="00796917"/>
    <w:rsid w:val="0079701B"/>
    <w:rsid w:val="00797AAB"/>
    <w:rsid w:val="00797F97"/>
    <w:rsid w:val="007A0590"/>
    <w:rsid w:val="007A0CF4"/>
    <w:rsid w:val="007A0D55"/>
    <w:rsid w:val="007A22A4"/>
    <w:rsid w:val="007A30CE"/>
    <w:rsid w:val="007A32B4"/>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FDF"/>
    <w:rsid w:val="007C02CC"/>
    <w:rsid w:val="007C121D"/>
    <w:rsid w:val="007C1DE0"/>
    <w:rsid w:val="007C244B"/>
    <w:rsid w:val="007C2F14"/>
    <w:rsid w:val="007C31AE"/>
    <w:rsid w:val="007C44C4"/>
    <w:rsid w:val="007C4706"/>
    <w:rsid w:val="007C4814"/>
    <w:rsid w:val="007C5908"/>
    <w:rsid w:val="007C5A52"/>
    <w:rsid w:val="007C5AD7"/>
    <w:rsid w:val="007C5B24"/>
    <w:rsid w:val="007C6956"/>
    <w:rsid w:val="007D0B18"/>
    <w:rsid w:val="007D0C20"/>
    <w:rsid w:val="007D1163"/>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D7A8A"/>
    <w:rsid w:val="007E0B5A"/>
    <w:rsid w:val="007E0BFF"/>
    <w:rsid w:val="007E0EBA"/>
    <w:rsid w:val="007E1C51"/>
    <w:rsid w:val="007E278C"/>
    <w:rsid w:val="007E2C07"/>
    <w:rsid w:val="007E2C32"/>
    <w:rsid w:val="007E312C"/>
    <w:rsid w:val="007E3259"/>
    <w:rsid w:val="007E4456"/>
    <w:rsid w:val="007E4B05"/>
    <w:rsid w:val="007E56CD"/>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AD"/>
    <w:rsid w:val="0080215C"/>
    <w:rsid w:val="00802416"/>
    <w:rsid w:val="00802974"/>
    <w:rsid w:val="00802A79"/>
    <w:rsid w:val="00802BE2"/>
    <w:rsid w:val="00802D60"/>
    <w:rsid w:val="00802D95"/>
    <w:rsid w:val="00803325"/>
    <w:rsid w:val="00804060"/>
    <w:rsid w:val="008049BF"/>
    <w:rsid w:val="00804D94"/>
    <w:rsid w:val="00804EF6"/>
    <w:rsid w:val="00805753"/>
    <w:rsid w:val="00805AEA"/>
    <w:rsid w:val="00805D74"/>
    <w:rsid w:val="008102DD"/>
    <w:rsid w:val="00810DCB"/>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53B"/>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58C"/>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457C"/>
    <w:rsid w:val="00865450"/>
    <w:rsid w:val="00866FE1"/>
    <w:rsid w:val="00867705"/>
    <w:rsid w:val="0086788C"/>
    <w:rsid w:val="0087038C"/>
    <w:rsid w:val="008710CE"/>
    <w:rsid w:val="008713B4"/>
    <w:rsid w:val="00871CD0"/>
    <w:rsid w:val="00873377"/>
    <w:rsid w:val="008736B8"/>
    <w:rsid w:val="00873AFB"/>
    <w:rsid w:val="0087409F"/>
    <w:rsid w:val="008742C7"/>
    <w:rsid w:val="00874678"/>
    <w:rsid w:val="008749DD"/>
    <w:rsid w:val="00874EE0"/>
    <w:rsid w:val="0087569F"/>
    <w:rsid w:val="00876B78"/>
    <w:rsid w:val="00876D5E"/>
    <w:rsid w:val="00876E6F"/>
    <w:rsid w:val="00877462"/>
    <w:rsid w:val="0088028A"/>
    <w:rsid w:val="0088075F"/>
    <w:rsid w:val="00880D77"/>
    <w:rsid w:val="00880F5A"/>
    <w:rsid w:val="0088121A"/>
    <w:rsid w:val="0088122E"/>
    <w:rsid w:val="008819AA"/>
    <w:rsid w:val="00881E82"/>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7EE"/>
    <w:rsid w:val="00892AE1"/>
    <w:rsid w:val="00892EE8"/>
    <w:rsid w:val="00893528"/>
    <w:rsid w:val="0089382D"/>
    <w:rsid w:val="00893D78"/>
    <w:rsid w:val="00894A7A"/>
    <w:rsid w:val="00894DAA"/>
    <w:rsid w:val="00894F37"/>
    <w:rsid w:val="00895236"/>
    <w:rsid w:val="00896476"/>
    <w:rsid w:val="00896A4E"/>
    <w:rsid w:val="008971FF"/>
    <w:rsid w:val="008975F1"/>
    <w:rsid w:val="00897678"/>
    <w:rsid w:val="00897940"/>
    <w:rsid w:val="008A068B"/>
    <w:rsid w:val="008A06FA"/>
    <w:rsid w:val="008A1434"/>
    <w:rsid w:val="008A1E34"/>
    <w:rsid w:val="008A261B"/>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BE2"/>
    <w:rsid w:val="008C2D07"/>
    <w:rsid w:val="008C331C"/>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0FDD"/>
    <w:rsid w:val="008F145C"/>
    <w:rsid w:val="008F24FF"/>
    <w:rsid w:val="008F26E8"/>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5F0"/>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27E92"/>
    <w:rsid w:val="00930563"/>
    <w:rsid w:val="00932624"/>
    <w:rsid w:val="00932635"/>
    <w:rsid w:val="009329DE"/>
    <w:rsid w:val="009334C2"/>
    <w:rsid w:val="0093358E"/>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9FB"/>
    <w:rsid w:val="00945C80"/>
    <w:rsid w:val="009460A8"/>
    <w:rsid w:val="00946679"/>
    <w:rsid w:val="00946889"/>
    <w:rsid w:val="00950D63"/>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87D"/>
    <w:rsid w:val="0096125D"/>
    <w:rsid w:val="009612EE"/>
    <w:rsid w:val="009617F6"/>
    <w:rsid w:val="0096231E"/>
    <w:rsid w:val="00962A76"/>
    <w:rsid w:val="00962B7E"/>
    <w:rsid w:val="00962D08"/>
    <w:rsid w:val="0096322A"/>
    <w:rsid w:val="00963301"/>
    <w:rsid w:val="0096358B"/>
    <w:rsid w:val="0096419C"/>
    <w:rsid w:val="009671E0"/>
    <w:rsid w:val="0097051C"/>
    <w:rsid w:val="00971B3E"/>
    <w:rsid w:val="00971EA4"/>
    <w:rsid w:val="00972164"/>
    <w:rsid w:val="00973B1F"/>
    <w:rsid w:val="00973C56"/>
    <w:rsid w:val="00974D52"/>
    <w:rsid w:val="0097558B"/>
    <w:rsid w:val="009755FC"/>
    <w:rsid w:val="00976314"/>
    <w:rsid w:val="00976993"/>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727"/>
    <w:rsid w:val="00986E03"/>
    <w:rsid w:val="0098702E"/>
    <w:rsid w:val="00987661"/>
    <w:rsid w:val="00987804"/>
    <w:rsid w:val="00987C1A"/>
    <w:rsid w:val="00987F84"/>
    <w:rsid w:val="00990279"/>
    <w:rsid w:val="00990446"/>
    <w:rsid w:val="0099131A"/>
    <w:rsid w:val="0099136F"/>
    <w:rsid w:val="0099152B"/>
    <w:rsid w:val="0099155C"/>
    <w:rsid w:val="009920B0"/>
    <w:rsid w:val="00992188"/>
    <w:rsid w:val="00992F54"/>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2E"/>
    <w:rsid w:val="009A1042"/>
    <w:rsid w:val="009A1BC8"/>
    <w:rsid w:val="009A26D3"/>
    <w:rsid w:val="009A26E1"/>
    <w:rsid w:val="009A2B47"/>
    <w:rsid w:val="009A31CC"/>
    <w:rsid w:val="009A3B54"/>
    <w:rsid w:val="009A4169"/>
    <w:rsid w:val="009A4D80"/>
    <w:rsid w:val="009A5557"/>
    <w:rsid w:val="009A571A"/>
    <w:rsid w:val="009A5753"/>
    <w:rsid w:val="009A5B05"/>
    <w:rsid w:val="009A5E13"/>
    <w:rsid w:val="009A6281"/>
    <w:rsid w:val="009A6A15"/>
    <w:rsid w:val="009A7DF0"/>
    <w:rsid w:val="009B064C"/>
    <w:rsid w:val="009B192F"/>
    <w:rsid w:val="009B2086"/>
    <w:rsid w:val="009B2416"/>
    <w:rsid w:val="009B2C80"/>
    <w:rsid w:val="009B44C9"/>
    <w:rsid w:val="009B5095"/>
    <w:rsid w:val="009B540C"/>
    <w:rsid w:val="009B560E"/>
    <w:rsid w:val="009B5B5C"/>
    <w:rsid w:val="009B63EE"/>
    <w:rsid w:val="009B7172"/>
    <w:rsid w:val="009C0562"/>
    <w:rsid w:val="009C116E"/>
    <w:rsid w:val="009C1BBC"/>
    <w:rsid w:val="009C233C"/>
    <w:rsid w:val="009C2386"/>
    <w:rsid w:val="009C265A"/>
    <w:rsid w:val="009C2BEB"/>
    <w:rsid w:val="009C2E28"/>
    <w:rsid w:val="009C32B3"/>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3EC"/>
    <w:rsid w:val="009D284C"/>
    <w:rsid w:val="009D2850"/>
    <w:rsid w:val="009D2EC5"/>
    <w:rsid w:val="009D3AB0"/>
    <w:rsid w:val="009D3CC0"/>
    <w:rsid w:val="009D3FC3"/>
    <w:rsid w:val="009D4305"/>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5197"/>
    <w:rsid w:val="009E51EB"/>
    <w:rsid w:val="009E55A3"/>
    <w:rsid w:val="009E569C"/>
    <w:rsid w:val="009E65C9"/>
    <w:rsid w:val="009E68E0"/>
    <w:rsid w:val="009E69CF"/>
    <w:rsid w:val="009F071A"/>
    <w:rsid w:val="009F18B6"/>
    <w:rsid w:val="009F2805"/>
    <w:rsid w:val="009F3865"/>
    <w:rsid w:val="009F3BB8"/>
    <w:rsid w:val="009F6AEF"/>
    <w:rsid w:val="00A00427"/>
    <w:rsid w:val="00A01D1D"/>
    <w:rsid w:val="00A0251A"/>
    <w:rsid w:val="00A02EDF"/>
    <w:rsid w:val="00A0339E"/>
    <w:rsid w:val="00A039F1"/>
    <w:rsid w:val="00A03A0C"/>
    <w:rsid w:val="00A04988"/>
    <w:rsid w:val="00A06B63"/>
    <w:rsid w:val="00A06F32"/>
    <w:rsid w:val="00A07934"/>
    <w:rsid w:val="00A07E00"/>
    <w:rsid w:val="00A103B7"/>
    <w:rsid w:val="00A10EB8"/>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0B0"/>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40F4"/>
    <w:rsid w:val="00A349A1"/>
    <w:rsid w:val="00A34A76"/>
    <w:rsid w:val="00A35198"/>
    <w:rsid w:val="00A35C58"/>
    <w:rsid w:val="00A378CE"/>
    <w:rsid w:val="00A401BC"/>
    <w:rsid w:val="00A40CE8"/>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4FC6"/>
    <w:rsid w:val="00A96260"/>
    <w:rsid w:val="00A96709"/>
    <w:rsid w:val="00A972CD"/>
    <w:rsid w:val="00A97F48"/>
    <w:rsid w:val="00AA05EC"/>
    <w:rsid w:val="00AA0EBC"/>
    <w:rsid w:val="00AA20A7"/>
    <w:rsid w:val="00AA2B72"/>
    <w:rsid w:val="00AA2FB2"/>
    <w:rsid w:val="00AA2FE9"/>
    <w:rsid w:val="00AA308B"/>
    <w:rsid w:val="00AA44E0"/>
    <w:rsid w:val="00AA45E5"/>
    <w:rsid w:val="00AA4F23"/>
    <w:rsid w:val="00AA62F6"/>
    <w:rsid w:val="00AA651F"/>
    <w:rsid w:val="00AA705D"/>
    <w:rsid w:val="00AA716E"/>
    <w:rsid w:val="00AA79AA"/>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AF5"/>
    <w:rsid w:val="00AD5D16"/>
    <w:rsid w:val="00AD5E64"/>
    <w:rsid w:val="00AD68E3"/>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A2A"/>
    <w:rsid w:val="00AE2C6C"/>
    <w:rsid w:val="00AE2C79"/>
    <w:rsid w:val="00AE3370"/>
    <w:rsid w:val="00AE3676"/>
    <w:rsid w:val="00AE38E9"/>
    <w:rsid w:val="00AE4A55"/>
    <w:rsid w:val="00AE4BDA"/>
    <w:rsid w:val="00AE50AA"/>
    <w:rsid w:val="00AE50E8"/>
    <w:rsid w:val="00AE5157"/>
    <w:rsid w:val="00AE551E"/>
    <w:rsid w:val="00AE5C68"/>
    <w:rsid w:val="00AE6834"/>
    <w:rsid w:val="00AF01A4"/>
    <w:rsid w:val="00AF06C1"/>
    <w:rsid w:val="00AF0CF9"/>
    <w:rsid w:val="00AF1179"/>
    <w:rsid w:val="00AF1BD4"/>
    <w:rsid w:val="00AF203E"/>
    <w:rsid w:val="00AF2227"/>
    <w:rsid w:val="00AF2385"/>
    <w:rsid w:val="00AF2FF1"/>
    <w:rsid w:val="00AF33B1"/>
    <w:rsid w:val="00AF4615"/>
    <w:rsid w:val="00AF4C23"/>
    <w:rsid w:val="00AF55C3"/>
    <w:rsid w:val="00AF5701"/>
    <w:rsid w:val="00AF5ABB"/>
    <w:rsid w:val="00AF5E91"/>
    <w:rsid w:val="00AF6888"/>
    <w:rsid w:val="00AF7812"/>
    <w:rsid w:val="00B009F5"/>
    <w:rsid w:val="00B00A62"/>
    <w:rsid w:val="00B012F6"/>
    <w:rsid w:val="00B023F1"/>
    <w:rsid w:val="00B02CAB"/>
    <w:rsid w:val="00B02D2E"/>
    <w:rsid w:val="00B03702"/>
    <w:rsid w:val="00B03A3A"/>
    <w:rsid w:val="00B03D7F"/>
    <w:rsid w:val="00B03EE0"/>
    <w:rsid w:val="00B046E9"/>
    <w:rsid w:val="00B053F6"/>
    <w:rsid w:val="00B05C1C"/>
    <w:rsid w:val="00B05D89"/>
    <w:rsid w:val="00B0718A"/>
    <w:rsid w:val="00B07A55"/>
    <w:rsid w:val="00B07C39"/>
    <w:rsid w:val="00B07C6E"/>
    <w:rsid w:val="00B07D66"/>
    <w:rsid w:val="00B1013A"/>
    <w:rsid w:val="00B10AA7"/>
    <w:rsid w:val="00B1116A"/>
    <w:rsid w:val="00B116F2"/>
    <w:rsid w:val="00B11A1D"/>
    <w:rsid w:val="00B11CB1"/>
    <w:rsid w:val="00B11DAA"/>
    <w:rsid w:val="00B11F14"/>
    <w:rsid w:val="00B128DC"/>
    <w:rsid w:val="00B12B3B"/>
    <w:rsid w:val="00B131C0"/>
    <w:rsid w:val="00B159BD"/>
    <w:rsid w:val="00B15AF9"/>
    <w:rsid w:val="00B163A1"/>
    <w:rsid w:val="00B164AE"/>
    <w:rsid w:val="00B16849"/>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65"/>
    <w:rsid w:val="00B363C0"/>
    <w:rsid w:val="00B364A1"/>
    <w:rsid w:val="00B36FBC"/>
    <w:rsid w:val="00B37938"/>
    <w:rsid w:val="00B37A28"/>
    <w:rsid w:val="00B37A7C"/>
    <w:rsid w:val="00B37DA3"/>
    <w:rsid w:val="00B406B4"/>
    <w:rsid w:val="00B40A80"/>
    <w:rsid w:val="00B416BF"/>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AEE"/>
    <w:rsid w:val="00B55EF4"/>
    <w:rsid w:val="00B56BB1"/>
    <w:rsid w:val="00B5756C"/>
    <w:rsid w:val="00B57613"/>
    <w:rsid w:val="00B5798B"/>
    <w:rsid w:val="00B57B37"/>
    <w:rsid w:val="00B57E7F"/>
    <w:rsid w:val="00B57EE1"/>
    <w:rsid w:val="00B6046C"/>
    <w:rsid w:val="00B60B0F"/>
    <w:rsid w:val="00B611F7"/>
    <w:rsid w:val="00B6168E"/>
    <w:rsid w:val="00B61B29"/>
    <w:rsid w:val="00B61BE5"/>
    <w:rsid w:val="00B62630"/>
    <w:rsid w:val="00B62B7E"/>
    <w:rsid w:val="00B637EB"/>
    <w:rsid w:val="00B63A58"/>
    <w:rsid w:val="00B6420A"/>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A00"/>
    <w:rsid w:val="00B71CFF"/>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BB"/>
    <w:rsid w:val="00BA011E"/>
    <w:rsid w:val="00BA02F9"/>
    <w:rsid w:val="00BA0762"/>
    <w:rsid w:val="00BA086C"/>
    <w:rsid w:val="00BA0B28"/>
    <w:rsid w:val="00BA0E47"/>
    <w:rsid w:val="00BA18D3"/>
    <w:rsid w:val="00BA2412"/>
    <w:rsid w:val="00BA31C2"/>
    <w:rsid w:val="00BA340E"/>
    <w:rsid w:val="00BA39A8"/>
    <w:rsid w:val="00BA4259"/>
    <w:rsid w:val="00BA5B36"/>
    <w:rsid w:val="00BA5CCB"/>
    <w:rsid w:val="00BA64B3"/>
    <w:rsid w:val="00BA69D9"/>
    <w:rsid w:val="00BA6B58"/>
    <w:rsid w:val="00BA77AB"/>
    <w:rsid w:val="00BB09CE"/>
    <w:rsid w:val="00BB0BE2"/>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69E"/>
    <w:rsid w:val="00BB5751"/>
    <w:rsid w:val="00BB630A"/>
    <w:rsid w:val="00BB7582"/>
    <w:rsid w:val="00BB7938"/>
    <w:rsid w:val="00BB7A56"/>
    <w:rsid w:val="00BB7FCD"/>
    <w:rsid w:val="00BC0081"/>
    <w:rsid w:val="00BC0B60"/>
    <w:rsid w:val="00BC0CA0"/>
    <w:rsid w:val="00BC12E5"/>
    <w:rsid w:val="00BC14AD"/>
    <w:rsid w:val="00BC1A65"/>
    <w:rsid w:val="00BC1D7C"/>
    <w:rsid w:val="00BC2238"/>
    <w:rsid w:val="00BC29E8"/>
    <w:rsid w:val="00BC303E"/>
    <w:rsid w:val="00BC43B8"/>
    <w:rsid w:val="00BC5745"/>
    <w:rsid w:val="00BC5E5A"/>
    <w:rsid w:val="00BC5FFD"/>
    <w:rsid w:val="00BC692B"/>
    <w:rsid w:val="00BC6BFF"/>
    <w:rsid w:val="00BC6C1B"/>
    <w:rsid w:val="00BD0850"/>
    <w:rsid w:val="00BD10CB"/>
    <w:rsid w:val="00BD1616"/>
    <w:rsid w:val="00BD1B06"/>
    <w:rsid w:val="00BD2416"/>
    <w:rsid w:val="00BD2E98"/>
    <w:rsid w:val="00BD2F40"/>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67AB"/>
    <w:rsid w:val="00BF737C"/>
    <w:rsid w:val="00BF7870"/>
    <w:rsid w:val="00BF7993"/>
    <w:rsid w:val="00BF7CE7"/>
    <w:rsid w:val="00BF7E27"/>
    <w:rsid w:val="00C00612"/>
    <w:rsid w:val="00C0065F"/>
    <w:rsid w:val="00C00D54"/>
    <w:rsid w:val="00C010DD"/>
    <w:rsid w:val="00C01428"/>
    <w:rsid w:val="00C018DF"/>
    <w:rsid w:val="00C0271B"/>
    <w:rsid w:val="00C02C63"/>
    <w:rsid w:val="00C03923"/>
    <w:rsid w:val="00C03EE1"/>
    <w:rsid w:val="00C042EF"/>
    <w:rsid w:val="00C04A1A"/>
    <w:rsid w:val="00C059D9"/>
    <w:rsid w:val="00C069A7"/>
    <w:rsid w:val="00C07375"/>
    <w:rsid w:val="00C07EBD"/>
    <w:rsid w:val="00C10063"/>
    <w:rsid w:val="00C103F7"/>
    <w:rsid w:val="00C10803"/>
    <w:rsid w:val="00C10912"/>
    <w:rsid w:val="00C10AF7"/>
    <w:rsid w:val="00C1184F"/>
    <w:rsid w:val="00C12399"/>
    <w:rsid w:val="00C1257E"/>
    <w:rsid w:val="00C12BD4"/>
    <w:rsid w:val="00C13084"/>
    <w:rsid w:val="00C1322D"/>
    <w:rsid w:val="00C134AC"/>
    <w:rsid w:val="00C135A1"/>
    <w:rsid w:val="00C13C36"/>
    <w:rsid w:val="00C13DDF"/>
    <w:rsid w:val="00C1404E"/>
    <w:rsid w:val="00C14DE4"/>
    <w:rsid w:val="00C15809"/>
    <w:rsid w:val="00C15A62"/>
    <w:rsid w:val="00C1751F"/>
    <w:rsid w:val="00C20236"/>
    <w:rsid w:val="00C21227"/>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5E3"/>
    <w:rsid w:val="00C34C06"/>
    <w:rsid w:val="00C35009"/>
    <w:rsid w:val="00C35432"/>
    <w:rsid w:val="00C356C7"/>
    <w:rsid w:val="00C36952"/>
    <w:rsid w:val="00C36A51"/>
    <w:rsid w:val="00C377FE"/>
    <w:rsid w:val="00C37A89"/>
    <w:rsid w:val="00C402BC"/>
    <w:rsid w:val="00C40C65"/>
    <w:rsid w:val="00C40E18"/>
    <w:rsid w:val="00C40F2D"/>
    <w:rsid w:val="00C41819"/>
    <w:rsid w:val="00C422B0"/>
    <w:rsid w:val="00C42808"/>
    <w:rsid w:val="00C42996"/>
    <w:rsid w:val="00C431FE"/>
    <w:rsid w:val="00C43D80"/>
    <w:rsid w:val="00C43D84"/>
    <w:rsid w:val="00C4427A"/>
    <w:rsid w:val="00C4476D"/>
    <w:rsid w:val="00C4519A"/>
    <w:rsid w:val="00C455C4"/>
    <w:rsid w:val="00C45CB8"/>
    <w:rsid w:val="00C45F30"/>
    <w:rsid w:val="00C45FE3"/>
    <w:rsid w:val="00C4610E"/>
    <w:rsid w:val="00C4745E"/>
    <w:rsid w:val="00C476FC"/>
    <w:rsid w:val="00C478BF"/>
    <w:rsid w:val="00C50120"/>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121"/>
    <w:rsid w:val="00C60E14"/>
    <w:rsid w:val="00C611C2"/>
    <w:rsid w:val="00C62571"/>
    <w:rsid w:val="00C63A7B"/>
    <w:rsid w:val="00C643A9"/>
    <w:rsid w:val="00C65387"/>
    <w:rsid w:val="00C65C73"/>
    <w:rsid w:val="00C66479"/>
    <w:rsid w:val="00C6747F"/>
    <w:rsid w:val="00C6776A"/>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FE"/>
    <w:rsid w:val="00CA5EA8"/>
    <w:rsid w:val="00CA6157"/>
    <w:rsid w:val="00CA659B"/>
    <w:rsid w:val="00CA69DC"/>
    <w:rsid w:val="00CA7940"/>
    <w:rsid w:val="00CA7B88"/>
    <w:rsid w:val="00CA7C34"/>
    <w:rsid w:val="00CA7E51"/>
    <w:rsid w:val="00CB0846"/>
    <w:rsid w:val="00CB0A50"/>
    <w:rsid w:val="00CB1B53"/>
    <w:rsid w:val="00CB375E"/>
    <w:rsid w:val="00CB3E47"/>
    <w:rsid w:val="00CB3F5B"/>
    <w:rsid w:val="00CB43B3"/>
    <w:rsid w:val="00CB4705"/>
    <w:rsid w:val="00CB473C"/>
    <w:rsid w:val="00CB5381"/>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2175"/>
    <w:rsid w:val="00CF3769"/>
    <w:rsid w:val="00CF3E44"/>
    <w:rsid w:val="00CF3E66"/>
    <w:rsid w:val="00CF4007"/>
    <w:rsid w:val="00CF4102"/>
    <w:rsid w:val="00CF5617"/>
    <w:rsid w:val="00CF5A24"/>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536"/>
    <w:rsid w:val="00D165A8"/>
    <w:rsid w:val="00D165BD"/>
    <w:rsid w:val="00D1676A"/>
    <w:rsid w:val="00D17083"/>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2C22"/>
    <w:rsid w:val="00D33B9C"/>
    <w:rsid w:val="00D33C7E"/>
    <w:rsid w:val="00D34956"/>
    <w:rsid w:val="00D34A71"/>
    <w:rsid w:val="00D34AC7"/>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F98"/>
    <w:rsid w:val="00D47136"/>
    <w:rsid w:val="00D47231"/>
    <w:rsid w:val="00D475E2"/>
    <w:rsid w:val="00D477C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4"/>
    <w:rsid w:val="00D576D9"/>
    <w:rsid w:val="00D57723"/>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1181"/>
    <w:rsid w:val="00D92209"/>
    <w:rsid w:val="00D922FD"/>
    <w:rsid w:val="00D92491"/>
    <w:rsid w:val="00D93285"/>
    <w:rsid w:val="00D93819"/>
    <w:rsid w:val="00D95877"/>
    <w:rsid w:val="00D95A13"/>
    <w:rsid w:val="00D9610F"/>
    <w:rsid w:val="00D96B33"/>
    <w:rsid w:val="00D9761B"/>
    <w:rsid w:val="00D97FAC"/>
    <w:rsid w:val="00DA0111"/>
    <w:rsid w:val="00DA021F"/>
    <w:rsid w:val="00DA1327"/>
    <w:rsid w:val="00DA15F4"/>
    <w:rsid w:val="00DA1978"/>
    <w:rsid w:val="00DA1B86"/>
    <w:rsid w:val="00DA28D4"/>
    <w:rsid w:val="00DA2C39"/>
    <w:rsid w:val="00DA396B"/>
    <w:rsid w:val="00DA3BB3"/>
    <w:rsid w:val="00DA3E79"/>
    <w:rsid w:val="00DA4093"/>
    <w:rsid w:val="00DA471A"/>
    <w:rsid w:val="00DA5029"/>
    <w:rsid w:val="00DA5300"/>
    <w:rsid w:val="00DA5325"/>
    <w:rsid w:val="00DA5676"/>
    <w:rsid w:val="00DA6DD9"/>
    <w:rsid w:val="00DA6E1A"/>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6A69"/>
    <w:rsid w:val="00DC73A1"/>
    <w:rsid w:val="00DC7564"/>
    <w:rsid w:val="00DC7EBE"/>
    <w:rsid w:val="00DD00EA"/>
    <w:rsid w:val="00DD03B5"/>
    <w:rsid w:val="00DD0B0E"/>
    <w:rsid w:val="00DD100B"/>
    <w:rsid w:val="00DD1055"/>
    <w:rsid w:val="00DD122B"/>
    <w:rsid w:val="00DD1328"/>
    <w:rsid w:val="00DD132C"/>
    <w:rsid w:val="00DD173A"/>
    <w:rsid w:val="00DD194B"/>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27"/>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2E8E"/>
    <w:rsid w:val="00E034D8"/>
    <w:rsid w:val="00E03B96"/>
    <w:rsid w:val="00E048A0"/>
    <w:rsid w:val="00E04B17"/>
    <w:rsid w:val="00E04B3F"/>
    <w:rsid w:val="00E0563D"/>
    <w:rsid w:val="00E058FE"/>
    <w:rsid w:val="00E065A1"/>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601"/>
    <w:rsid w:val="00E31E62"/>
    <w:rsid w:val="00E32A35"/>
    <w:rsid w:val="00E3333F"/>
    <w:rsid w:val="00E336C7"/>
    <w:rsid w:val="00E33B4C"/>
    <w:rsid w:val="00E33D3F"/>
    <w:rsid w:val="00E33DAD"/>
    <w:rsid w:val="00E3525D"/>
    <w:rsid w:val="00E35B0E"/>
    <w:rsid w:val="00E35C20"/>
    <w:rsid w:val="00E36207"/>
    <w:rsid w:val="00E362CB"/>
    <w:rsid w:val="00E365B3"/>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48B9"/>
    <w:rsid w:val="00E557F7"/>
    <w:rsid w:val="00E55AA2"/>
    <w:rsid w:val="00E5625D"/>
    <w:rsid w:val="00E56594"/>
    <w:rsid w:val="00E57E35"/>
    <w:rsid w:val="00E57EBB"/>
    <w:rsid w:val="00E600F1"/>
    <w:rsid w:val="00E6027B"/>
    <w:rsid w:val="00E604FA"/>
    <w:rsid w:val="00E6103A"/>
    <w:rsid w:val="00E61331"/>
    <w:rsid w:val="00E615F1"/>
    <w:rsid w:val="00E61B4F"/>
    <w:rsid w:val="00E6269B"/>
    <w:rsid w:val="00E62966"/>
    <w:rsid w:val="00E62E5D"/>
    <w:rsid w:val="00E62FE3"/>
    <w:rsid w:val="00E630A3"/>
    <w:rsid w:val="00E63538"/>
    <w:rsid w:val="00E63B72"/>
    <w:rsid w:val="00E6435C"/>
    <w:rsid w:val="00E64C17"/>
    <w:rsid w:val="00E6590A"/>
    <w:rsid w:val="00E65DC1"/>
    <w:rsid w:val="00E65F7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7164"/>
    <w:rsid w:val="00E808BA"/>
    <w:rsid w:val="00E80BEE"/>
    <w:rsid w:val="00E8193C"/>
    <w:rsid w:val="00E81BBF"/>
    <w:rsid w:val="00E82927"/>
    <w:rsid w:val="00E82BD9"/>
    <w:rsid w:val="00E82D79"/>
    <w:rsid w:val="00E83A25"/>
    <w:rsid w:val="00E83B8E"/>
    <w:rsid w:val="00E83C66"/>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6E8"/>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415"/>
    <w:rsid w:val="00EB58EC"/>
    <w:rsid w:val="00EB62CB"/>
    <w:rsid w:val="00EB64C4"/>
    <w:rsid w:val="00EB6BF3"/>
    <w:rsid w:val="00EB7DBB"/>
    <w:rsid w:val="00EC012E"/>
    <w:rsid w:val="00EC052C"/>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C74D6"/>
    <w:rsid w:val="00ED0509"/>
    <w:rsid w:val="00ED0ED5"/>
    <w:rsid w:val="00ED1497"/>
    <w:rsid w:val="00ED2F92"/>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6541"/>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4B"/>
    <w:rsid w:val="00F0765D"/>
    <w:rsid w:val="00F10072"/>
    <w:rsid w:val="00F1013F"/>
    <w:rsid w:val="00F10FFA"/>
    <w:rsid w:val="00F11086"/>
    <w:rsid w:val="00F116A2"/>
    <w:rsid w:val="00F116DC"/>
    <w:rsid w:val="00F1193A"/>
    <w:rsid w:val="00F12F50"/>
    <w:rsid w:val="00F131BC"/>
    <w:rsid w:val="00F1349F"/>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A8A"/>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5F4E"/>
    <w:rsid w:val="00F36176"/>
    <w:rsid w:val="00F36233"/>
    <w:rsid w:val="00F362B7"/>
    <w:rsid w:val="00F36774"/>
    <w:rsid w:val="00F36896"/>
    <w:rsid w:val="00F36957"/>
    <w:rsid w:val="00F37050"/>
    <w:rsid w:val="00F37260"/>
    <w:rsid w:val="00F3792B"/>
    <w:rsid w:val="00F37C5F"/>
    <w:rsid w:val="00F37DA0"/>
    <w:rsid w:val="00F40BBC"/>
    <w:rsid w:val="00F40ECC"/>
    <w:rsid w:val="00F4132B"/>
    <w:rsid w:val="00F41945"/>
    <w:rsid w:val="00F41C28"/>
    <w:rsid w:val="00F42A2C"/>
    <w:rsid w:val="00F44119"/>
    <w:rsid w:val="00F44831"/>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31E"/>
    <w:rsid w:val="00F666EB"/>
    <w:rsid w:val="00F66B06"/>
    <w:rsid w:val="00F66F6A"/>
    <w:rsid w:val="00F679E9"/>
    <w:rsid w:val="00F67A7F"/>
    <w:rsid w:val="00F716D7"/>
    <w:rsid w:val="00F716F2"/>
    <w:rsid w:val="00F7181F"/>
    <w:rsid w:val="00F71A3A"/>
    <w:rsid w:val="00F71ED6"/>
    <w:rsid w:val="00F71FB8"/>
    <w:rsid w:val="00F72477"/>
    <w:rsid w:val="00F72C70"/>
    <w:rsid w:val="00F72E43"/>
    <w:rsid w:val="00F73143"/>
    <w:rsid w:val="00F73F6E"/>
    <w:rsid w:val="00F744E7"/>
    <w:rsid w:val="00F75687"/>
    <w:rsid w:val="00F756A1"/>
    <w:rsid w:val="00F75A5B"/>
    <w:rsid w:val="00F75CA7"/>
    <w:rsid w:val="00F75D13"/>
    <w:rsid w:val="00F76ECB"/>
    <w:rsid w:val="00F77149"/>
    <w:rsid w:val="00F77250"/>
    <w:rsid w:val="00F7747E"/>
    <w:rsid w:val="00F774CD"/>
    <w:rsid w:val="00F80C16"/>
    <w:rsid w:val="00F80DA4"/>
    <w:rsid w:val="00F8123E"/>
    <w:rsid w:val="00F81800"/>
    <w:rsid w:val="00F82715"/>
    <w:rsid w:val="00F82B90"/>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4F"/>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1E78"/>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513"/>
    <w:rsid w:val="00FB0351"/>
    <w:rsid w:val="00FB03F2"/>
    <w:rsid w:val="00FB0872"/>
    <w:rsid w:val="00FB2FFB"/>
    <w:rsid w:val="00FB3239"/>
    <w:rsid w:val="00FB413D"/>
    <w:rsid w:val="00FB46AA"/>
    <w:rsid w:val="00FB529A"/>
    <w:rsid w:val="00FB5351"/>
    <w:rsid w:val="00FB5838"/>
    <w:rsid w:val="00FB5A50"/>
    <w:rsid w:val="00FB5B1B"/>
    <w:rsid w:val="00FB7A63"/>
    <w:rsid w:val="00FB7E1D"/>
    <w:rsid w:val="00FC05ED"/>
    <w:rsid w:val="00FC0CF2"/>
    <w:rsid w:val="00FC0D88"/>
    <w:rsid w:val="00FC0ED6"/>
    <w:rsid w:val="00FC0F99"/>
    <w:rsid w:val="00FC14BA"/>
    <w:rsid w:val="00FC188B"/>
    <w:rsid w:val="00FC1D12"/>
    <w:rsid w:val="00FC21BB"/>
    <w:rsid w:val="00FC2689"/>
    <w:rsid w:val="00FC2AA9"/>
    <w:rsid w:val="00FC3CA5"/>
    <w:rsid w:val="00FC3CD1"/>
    <w:rsid w:val="00FC3E1B"/>
    <w:rsid w:val="00FC42FA"/>
    <w:rsid w:val="00FC53E8"/>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D3B"/>
    <w:rsid w:val="00FE3A7A"/>
    <w:rsid w:val="00FE3C5B"/>
    <w:rsid w:val="00FE43EE"/>
    <w:rsid w:val="00FE54C8"/>
    <w:rsid w:val="00FE5662"/>
    <w:rsid w:val="00FE58BB"/>
    <w:rsid w:val="00FE5EA7"/>
    <w:rsid w:val="00FE6FBB"/>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customStyle="1" w:styleId="TAL">
    <w:name w:val="TAL"/>
    <w:basedOn w:val="Normal"/>
    <w:link w:val="TALCar"/>
    <w:qFormat/>
    <w:rsid w:val="00A210B0"/>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A210B0"/>
    <w:rPr>
      <w:rFonts w:ascii="Arial" w:eastAsia="Times New Roman" w:hAnsi="Arial" w:cs="Times New Roman"/>
      <w:sz w:val="18"/>
      <w:szCs w:val="20"/>
      <w:lang w:val="en-GB" w:eastAsia="ja-JP"/>
    </w:rPr>
  </w:style>
  <w:style w:type="paragraph" w:customStyle="1" w:styleId="tal0">
    <w:name w:val="tal"/>
    <w:basedOn w:val="Normal"/>
    <w:rsid w:val="000326F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0">
    <w:name w:val="t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c0">
    <w:name w:val="tac"/>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1">
    <w:name w:val="b1"/>
    <w:basedOn w:val="Normal"/>
    <w:rsid w:val="004602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67890418">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5568007">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04561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2546075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5401989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78484367">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93909167">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1718384">
      <w:bodyDiv w:val="1"/>
      <w:marLeft w:val="0"/>
      <w:marRight w:val="0"/>
      <w:marTop w:val="0"/>
      <w:marBottom w:val="0"/>
      <w:divBdr>
        <w:top w:val="none" w:sz="0" w:space="0" w:color="auto"/>
        <w:left w:val="none" w:sz="0" w:space="0" w:color="auto"/>
        <w:bottom w:val="none" w:sz="0" w:space="0" w:color="auto"/>
        <w:right w:val="none" w:sz="0" w:space="0" w:color="auto"/>
      </w:divBdr>
    </w:div>
    <w:div w:id="1534346072">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EnNormal</Template>
  <TotalTime>20</TotalTime>
  <Pages>7</Pages>
  <Words>2100</Words>
  <Characters>11976</Characters>
  <Application>Microsoft Office Word</Application>
  <DocSecurity>0</DocSecurity>
  <Lines>99</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Kianoush Hosseini</cp:lastModifiedBy>
  <cp:revision>26</cp:revision>
  <dcterms:created xsi:type="dcterms:W3CDTF">2022-04-21T18:52:00Z</dcterms:created>
  <dcterms:modified xsi:type="dcterms:W3CDTF">2022-08-12T06:06:00Z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