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735"/>
          <w:tab w:val="right" w:pos="9216" w:leader="none"/>
        </w:tabs>
        <w:spacing w:before="0" w:after="0"/>
        <w:jc w:val="left"/>
        <w:rPr/>
      </w:pPr>
      <w:r>
        <w:rPr>
          <w:b/>
        </w:rPr>
        <w:t>3GPP TSG RAN WG1 Meeting #110</w:t>
        <w:tab/>
        <w:t>R1-2207074</w:t>
      </w:r>
    </w:p>
    <w:p>
      <w:pPr>
        <w:pStyle w:val="Normal"/>
        <w:jc w:val="left"/>
        <w:rPr/>
      </w:pPr>
      <w:r>
        <w:rPr>
          <w:b/>
        </w:rPr>
        <w:t>Toulouse, August 22</w:t>
      </w:r>
      <w:r>
        <w:rPr>
          <w:b/>
          <w:vertAlign w:val="superscript"/>
        </w:rPr>
        <w:t>nd</w:t>
      </w:r>
      <w:r>
        <w:rPr>
          <w:b/>
        </w:rPr>
        <w:t xml:space="preserve"> – 26</w:t>
      </w:r>
      <w:r>
        <w:rPr>
          <w:b/>
          <w:vertAlign w:val="superscript"/>
        </w:rPr>
        <w:t>th</w:t>
      </w:r>
      <w:r>
        <w:rPr>
          <w:b/>
        </w:rPr>
        <w:t>, 2022</w:t>
      </w:r>
    </w:p>
    <w:p>
      <w:pPr>
        <w:pStyle w:val="Normal"/>
        <w:pBdr>
          <w:top w:val="single" w:sz="4" w:space="1" w:color="000001"/>
        </w:pBdr>
        <w:spacing w:before="0" w:after="0"/>
        <w:jc w:val="left"/>
        <w:rPr>
          <w:b/>
          <w:b/>
        </w:rPr>
      </w:pPr>
      <w:r>
        <w:rPr>
          <w:b/>
        </w:rPr>
      </w:r>
    </w:p>
    <w:p>
      <w:pPr>
        <w:pStyle w:val="Normal"/>
        <w:spacing w:before="0" w:after="60"/>
        <w:ind w:left="1555" w:hanging="1555"/>
        <w:jc w:val="left"/>
        <w:rPr/>
      </w:pPr>
      <w:r>
        <w:rPr>
          <w:b/>
        </w:rPr>
        <w:t>Agenda Item:</w:t>
        <w:tab/>
        <w:t>9.7.2</w:t>
      </w:r>
    </w:p>
    <w:p>
      <w:pPr>
        <w:pStyle w:val="Normal"/>
        <w:spacing w:before="0" w:after="60"/>
        <w:ind w:left="1555" w:hanging="1555"/>
        <w:jc w:val="left"/>
        <w:rPr/>
      </w:pPr>
      <w:r>
        <w:rPr>
          <w:b/>
        </w:rPr>
        <w:t>Source:</w:t>
        <w:tab/>
        <w:t>CEWiT</w:t>
      </w:r>
    </w:p>
    <w:p>
      <w:pPr>
        <w:pStyle w:val="Normal"/>
        <w:spacing w:before="0" w:after="60"/>
        <w:ind w:left="1555" w:hanging="1555"/>
        <w:jc w:val="left"/>
        <w:rPr/>
      </w:pPr>
      <w:r>
        <w:rPr>
          <w:b/>
        </w:rPr>
        <w:t>Title:</w:t>
        <w:tab/>
        <w:t xml:space="preserve">Discussion on </w:t>
      </w:r>
      <w:r>
        <w:rPr>
          <w:b/>
          <w:lang w:val="en-GB"/>
        </w:rPr>
        <w:t>Network energy saving techniques</w:t>
      </w:r>
      <w:r>
        <w:rPr>
          <w:b/>
        </w:rPr>
        <w:t xml:space="preserve"> </w:t>
      </w:r>
    </w:p>
    <w:p>
      <w:pPr>
        <w:pStyle w:val="Normal"/>
        <w:spacing w:before="0" w:after="60"/>
        <w:ind w:left="1555" w:hanging="1555"/>
        <w:jc w:val="left"/>
        <w:rPr/>
      </w:pPr>
      <w:r>
        <w:rPr>
          <w:b/>
        </w:rPr>
        <w:t>Document for:</w:t>
        <w:tab/>
        <w:t xml:space="preserve">Discussion </w:t>
      </w:r>
    </w:p>
    <w:p>
      <w:pPr>
        <w:pStyle w:val="Normal"/>
        <w:pBdr>
          <w:bottom w:val="single" w:sz="4" w:space="1" w:color="000001"/>
        </w:pBdr>
        <w:spacing w:before="0" w:after="0"/>
        <w:jc w:val="left"/>
        <w:rPr>
          <w:b/>
          <w:b/>
        </w:rPr>
      </w:pPr>
      <w:r>
        <w:rPr>
          <w:b/>
        </w:rPr>
      </w:r>
    </w:p>
    <w:p>
      <w:pPr>
        <w:pStyle w:val="Heading1"/>
        <w:numPr>
          <w:ilvl w:val="0"/>
          <w:numId w:val="2"/>
        </w:numPr>
        <w:rPr/>
      </w:pPr>
      <w:bookmarkStart w:id="0" w:name="_Ref124589705"/>
      <w:bookmarkStart w:id="1" w:name="_Ref129681862"/>
      <w:bookmarkEnd w:id="0"/>
      <w:bookmarkEnd w:id="1"/>
      <w:r>
        <w:rPr/>
        <w:t>Introduction</w:t>
      </w:r>
    </w:p>
    <w:p>
      <w:pPr>
        <w:pStyle w:val="Normal"/>
        <w:rPr/>
      </w:pPr>
      <w:r>
        <w:rPr/>
        <w:t xml:space="preserve">A new study item on “Study on network energy savings for NR” was approved in </w:t>
      </w:r>
      <w:r>
        <w:rPr>
          <w:bCs/>
          <w:lang w:val="en-GB"/>
        </w:rPr>
        <w:t>RAN#94-e</w:t>
      </w:r>
      <w:r>
        <w:rPr/>
        <w:t xml:space="preserve"> [1]. The discussions started in RAN1#109-e [2] and several agreements were made. </w:t>
      </w:r>
      <w:r>
        <w:rPr>
          <w:rFonts w:eastAsia="Times New Roman"/>
          <w:lang w:eastAsia="en-US"/>
        </w:rPr>
        <w:t xml:space="preserve">This contribution discusses </w:t>
      </w:r>
      <w:r>
        <w:rPr/>
        <w:t xml:space="preserve">various </w:t>
      </w:r>
      <w:bookmarkStart w:id="2" w:name="_Ref129681832"/>
      <w:r>
        <w:rPr/>
        <w:t xml:space="preserve">techniques </w:t>
      </w:r>
      <w:r>
        <w:rPr>
          <w:bCs/>
          <w:lang w:val="en-GB"/>
        </w:rPr>
        <w:t>to improve network energy savings (NES).</w:t>
      </w:r>
    </w:p>
    <w:p>
      <w:pPr>
        <w:pStyle w:val="Normal"/>
        <w:rPr>
          <w:rFonts w:eastAsia="Times New Roman"/>
          <w:bCs/>
          <w:lang w:val="en-GB" w:eastAsia="en-US"/>
        </w:rPr>
      </w:pPr>
      <w:r>
        <w:rPr>
          <w:rFonts w:eastAsia="Times New Roman"/>
          <w:bCs/>
          <w:lang w:val="en-GB" w:eastAsia="en-US"/>
        </w:rPr>
      </w:r>
    </w:p>
    <w:p>
      <w:pPr>
        <w:pStyle w:val="Heading1"/>
        <w:numPr>
          <w:ilvl w:val="0"/>
          <w:numId w:val="2"/>
        </w:numPr>
        <w:rPr/>
      </w:pPr>
      <w:r>
        <w:rPr/>
        <w:t>Techniques for network energy saving</w:t>
      </w:r>
    </w:p>
    <w:p>
      <w:pPr>
        <w:pStyle w:val="Heading2"/>
        <w:numPr>
          <w:ilvl w:val="0"/>
          <w:numId w:val="0"/>
        </w:numPr>
        <w:ind w:left="576" w:hanging="576"/>
        <w:rPr/>
      </w:pPr>
      <w:r>
        <w:rPr/>
        <w:t>2.1 Time domain techniques</w:t>
      </w:r>
    </w:p>
    <w:p>
      <w:pPr>
        <w:pStyle w:val="Normal"/>
        <w:rPr/>
      </w:pPr>
      <w:r>
        <w:rPr>
          <w:rFonts w:eastAsia="Malgun Gothic"/>
          <w:bCs/>
        </w:rPr>
        <w:t>Following agreement was made in RAN1#109-e [2] on time domain techniques for network energy saving</w:t>
      </w:r>
    </w:p>
    <w:tbl>
      <w:tblPr>
        <w:tblStyle w:val="TableGrid"/>
        <w:tblW w:w="8342" w:type="dxa"/>
        <w:jc w:val="left"/>
        <w:tblInd w:w="576" w:type="dxa"/>
        <w:tblCellMar>
          <w:top w:w="0" w:type="dxa"/>
          <w:left w:w="108" w:type="dxa"/>
          <w:bottom w:w="0" w:type="dxa"/>
          <w:right w:w="108" w:type="dxa"/>
        </w:tblCellMar>
        <w:tblLook w:val="04a0" w:noHBand="0" w:noVBand="1" w:firstColumn="1" w:lastRow="0" w:lastColumn="0" w:firstRow="1"/>
      </w:tblPr>
      <w:tblGrid>
        <w:gridCol w:w="8342"/>
      </w:tblGrid>
      <w:tr>
        <w:trPr/>
        <w:tc>
          <w:tcPr>
            <w:tcW w:w="8342" w:type="dxa"/>
            <w:tcBorders/>
          </w:tcPr>
          <w:p>
            <w:pPr>
              <w:pStyle w:val="TextBody"/>
              <w:spacing w:before="0" w:after="0"/>
              <w:rPr>
                <w:highlight w:val="darkYellow"/>
              </w:rPr>
            </w:pPr>
            <w:r>
              <w:rPr>
                <w:b/>
                <w:bCs/>
                <w:sz w:val="22"/>
                <w:szCs w:val="22"/>
                <w:highlight w:val="darkYellow"/>
              </w:rPr>
              <w:t>Agreement</w:t>
            </w:r>
          </w:p>
          <w:p>
            <w:pPr>
              <w:pStyle w:val="TextBody"/>
              <w:spacing w:before="0" w:after="0"/>
              <w:rPr/>
            </w:pPr>
            <w:r>
              <w:rPr>
                <w:sz w:val="22"/>
                <w:szCs w:val="22"/>
              </w:rPr>
              <w:t>“</w:t>
            </w:r>
            <w:r>
              <w:rPr>
                <w:sz w:val="22"/>
                <w:szCs w:val="22"/>
              </w:rPr>
              <w:t>Further study techniques and enhancements for increasing time domain energy saving opportunities by the gNB, including (but not limited to) the following aspects:</w:t>
            </w:r>
          </w:p>
          <w:p>
            <w:pPr>
              <w:pStyle w:val="TextBody"/>
              <w:numPr>
                <w:ilvl w:val="0"/>
                <w:numId w:val="11"/>
              </w:numPr>
              <w:spacing w:before="0" w:after="0"/>
              <w:rPr/>
            </w:pPr>
            <w:r>
              <w:rPr>
                <w:sz w:val="22"/>
                <w:szCs w:val="22"/>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pPr>
              <w:pStyle w:val="TextBody"/>
              <w:numPr>
                <w:ilvl w:val="1"/>
                <w:numId w:val="3"/>
              </w:numPr>
              <w:spacing w:before="0" w:after="0"/>
              <w:rPr/>
            </w:pPr>
            <w:r>
              <w:rPr>
                <w:sz w:val="22"/>
                <w:szCs w:val="22"/>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pPr>
              <w:pStyle w:val="TextBody"/>
              <w:numPr>
                <w:ilvl w:val="0"/>
                <w:numId w:val="11"/>
              </w:numPr>
              <w:spacing w:before="0" w:after="0"/>
              <w:rPr/>
            </w:pPr>
            <w:r>
              <w:rPr>
                <w:sz w:val="22"/>
                <w:szCs w:val="22"/>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pPr>
              <w:pStyle w:val="TextBody"/>
              <w:numPr>
                <w:ilvl w:val="0"/>
                <w:numId w:val="11"/>
              </w:numPr>
              <w:spacing w:before="0" w:after="0"/>
              <w:rPr/>
            </w:pPr>
            <w:r>
              <w:rPr>
                <w:sz w:val="22"/>
                <w:szCs w:val="22"/>
              </w:rPr>
              <w:t>semi-static and/or dynamic cell on/off in one or more granularity, e.g. /subframe/slot/symbol; some examples are:</w:t>
            </w:r>
          </w:p>
          <w:p>
            <w:pPr>
              <w:pStyle w:val="TextBody"/>
              <w:numPr>
                <w:ilvl w:val="1"/>
                <w:numId w:val="3"/>
              </w:numPr>
              <w:spacing w:before="0" w:after="0"/>
              <w:rPr/>
            </w:pPr>
            <w:r>
              <w:rPr>
                <w:sz w:val="22"/>
                <w:szCs w:val="22"/>
              </w:rPr>
              <w:t>Cell/network node activation request by the UE, for example using signal/channel from UE for gNB’s wake-up request</w:t>
            </w:r>
          </w:p>
          <w:p>
            <w:pPr>
              <w:pStyle w:val="TextBody"/>
              <w:numPr>
                <w:ilvl w:val="1"/>
                <w:numId w:val="3"/>
              </w:numPr>
              <w:spacing w:before="0" w:after="0"/>
              <w:rPr/>
            </w:pPr>
            <w:r>
              <w:rPr>
                <w:sz w:val="22"/>
                <w:szCs w:val="22"/>
              </w:rPr>
              <w:t>enhancements to L1/L2 based mobility to efficiently enable a network node (e.g. TRP, repeater) on/off operation within a cell (within network energy saving SI scope)</w:t>
            </w:r>
          </w:p>
          <w:p>
            <w:pPr>
              <w:pStyle w:val="TextBody"/>
              <w:numPr>
                <w:ilvl w:val="1"/>
                <w:numId w:val="3"/>
              </w:numPr>
              <w:spacing w:before="0" w:after="0"/>
              <w:rPr/>
            </w:pPr>
            <w:r>
              <w:rPr>
                <w:sz w:val="22"/>
                <w:szCs w:val="22"/>
              </w:rPr>
              <w:t>signaling enhancements for indication of semi-static and/or dynamic cell/subframe/slot/symbol on/off duration</w:t>
            </w:r>
          </w:p>
          <w:p>
            <w:pPr>
              <w:pStyle w:val="TextBody"/>
              <w:numPr>
                <w:ilvl w:val="0"/>
                <w:numId w:val="11"/>
              </w:numPr>
              <w:spacing w:before="0" w:after="0"/>
              <w:rPr/>
            </w:pPr>
            <w:r>
              <w:rPr>
                <w:sz w:val="22"/>
                <w:szCs w:val="22"/>
              </w:rPr>
              <w:t>support of periodic and/or on-demand reference signal(s) from the gNB to aid discovery of a cell;</w:t>
            </w:r>
          </w:p>
          <w:p>
            <w:pPr>
              <w:pStyle w:val="TextBody"/>
              <w:numPr>
                <w:ilvl w:val="0"/>
                <w:numId w:val="11"/>
              </w:numPr>
              <w:spacing w:before="0" w:after="0"/>
              <w:rPr/>
            </w:pPr>
            <w:r>
              <w:rPr>
                <w:sz w:val="22"/>
                <w:szCs w:val="22"/>
              </w:rPr>
              <w:t>dynamic adaptation of UE C-DRX configurations in a UE-group or cell-specific manner</w:t>
            </w:r>
          </w:p>
          <w:p>
            <w:pPr>
              <w:pStyle w:val="TextBody"/>
              <w:numPr>
                <w:ilvl w:val="0"/>
                <w:numId w:val="11"/>
              </w:numPr>
              <w:spacing w:before="0" w:after="0"/>
              <w:rPr/>
            </w:pPr>
            <w:r>
              <w:rPr>
                <w:sz w:val="22"/>
                <w:szCs w:val="22"/>
              </w:rPr>
              <w:t>Mechanism to utilize potential energy saving states or sleep modes and the transition between states from leveraging cell on/off opportunities</w:t>
            </w:r>
          </w:p>
          <w:p>
            <w:pPr>
              <w:pStyle w:val="TextBody"/>
              <w:numPr>
                <w:ilvl w:val="1"/>
                <w:numId w:val="3"/>
              </w:numPr>
              <w:spacing w:before="0" w:after="0"/>
              <w:rPr/>
            </w:pPr>
            <w:r>
              <w:rPr>
                <w:sz w:val="22"/>
                <w:szCs w:val="22"/>
              </w:rPr>
              <w:t>including studies of waking up gNB due to user traffic, or user density, or gNB receiving wake up signal</w:t>
            </w:r>
          </w:p>
          <w:p>
            <w:pPr>
              <w:pStyle w:val="TextBody"/>
              <w:numPr>
                <w:ilvl w:val="1"/>
                <w:numId w:val="3"/>
              </w:numPr>
              <w:spacing w:before="0" w:after="0"/>
              <w:rPr/>
            </w:pPr>
            <w:r>
              <w:rPr>
                <w:sz w:val="22"/>
                <w:szCs w:val="22"/>
              </w:rPr>
              <w:t>including technique to allow discovery and measurement of cells in sleep or dormant states</w:t>
            </w:r>
          </w:p>
          <w:p>
            <w:pPr>
              <w:pStyle w:val="TextBody"/>
              <w:spacing w:before="0" w:after="0"/>
              <w:rPr/>
            </w:pPr>
            <w:r>
              <w:rPr>
                <w:sz w:val="22"/>
                <w:szCs w:val="22"/>
              </w:rPr>
              <w:t>UE assistant information facilitating BS time domain adaptation</w:t>
            </w:r>
          </w:p>
        </w:tc>
      </w:tr>
    </w:tbl>
    <w:p>
      <w:pPr>
        <w:pStyle w:val="TextBody"/>
        <w:spacing w:before="0" w:after="0"/>
        <w:ind w:left="720" w:hanging="0"/>
        <w:rPr>
          <w:sz w:val="22"/>
          <w:szCs w:val="22"/>
        </w:rPr>
      </w:pPr>
      <w:r>
        <w:rPr>
          <w:sz w:val="22"/>
          <w:szCs w:val="22"/>
        </w:rPr>
      </w:r>
    </w:p>
    <w:p>
      <w:pPr>
        <w:pStyle w:val="Normal"/>
        <w:rPr/>
      </w:pPr>
      <w:r>
        <w:rPr/>
        <w:t>In NR, irrespective of the load, number of connected UEs, the gNB has to perform set of mandatory operations (e.g., transmission of SSB) to ensure the availability of the cell to the UEs and for maintenance of the link. These mandatory operations consume energy at the gNB even when gNB is not serving any active UE. The gNB cannot avoid or skip these operations as it will adversely affect the initial access, synchronization procedures, and user performance. Simplifying the signals associated with the mandatory set of operations and optimizing the operations in terms of energy consumption and performance helps in power saving at the gNB without creating much effect in performance. A lighter version of SSB, that has lower size than the conventional SSB, is supported for energy saving. The gNB has to operate on lesser number of time and frequency resources for transmitting the lighter version of SSB thereby providing significant energy saving at the gNB. The lighter version of SSB causes delay at UE side for accessing the network. However the impact can be minimized with the help of assistance information from neighboring gNBs or default</w:t>
      </w:r>
      <w:r>
        <w:rPr>
          <w:rFonts w:eastAsia="SimSun;宋体" w:cs="Times New Roman"/>
          <w:color w:val="00000A"/>
          <w:sz w:val="22"/>
          <w:szCs w:val="22"/>
          <w:lang w:val="en-US" w:bidi="ar-SA"/>
        </w:rPr>
        <w:t xml:space="preserve"> configurations defined</w:t>
      </w:r>
      <w:r>
        <w:rPr/>
        <w:t xml:space="preserve">. To analyze the performance a 21-cell scenario with lesser number of UEs (i.e., 10 UEs distributed randomly and moving randomly in the region) is considered for evaluation and number of active gNBs (i.e., gNBs having at least one connected UE) is evaluated. The parameters used for evaluation are given in Table 1. It is found that on an average only 7 gNBs out of 21 are active in urban macro scenario. In current NR, all 21 gNBs transmits SSB, even though only 7 are active at a time, leading to significant loss of energy. By introducing light version of SSB, carrying minimal information, </w:t>
      </w:r>
      <w:r>
        <w:rPr>
          <w:color w:val="000000"/>
        </w:rPr>
        <w:t>46.9</w:t>
      </w:r>
      <w:r>
        <w:rPr/>
        <w:t xml:space="preserve">% savings in time time-frequency resources can be achieved. Further, by mandating inactive gNBs to transmit the light version of SSB a total of </w:t>
      </w:r>
      <w:r>
        <w:rPr>
          <w:color w:val="000000"/>
        </w:rPr>
        <w:t>31.32</w:t>
      </w:r>
      <w:r>
        <w:rPr/>
        <w:t>% saving can be achieved. Similarly for rural macro scenario, it is found that on an average only 8 gNBs out of 21 were active leading to a total saving of 29.08%.</w:t>
      </w:r>
    </w:p>
    <w:p>
      <w:pPr>
        <w:pStyle w:val="Normal"/>
        <w:rPr/>
      </w:pPr>
      <w:r>
        <w:rPr/>
        <w:t xml:space="preserve"> </w:t>
      </w:r>
    </w:p>
    <w:tbl>
      <w:tblPr>
        <w:tblW w:w="8194" w:type="dxa"/>
        <w:jc w:val="left"/>
        <w:tblInd w:w="404" w:type="dxa"/>
        <w:tblCellMar>
          <w:top w:w="55" w:type="dxa"/>
          <w:left w:w="55" w:type="dxa"/>
          <w:bottom w:w="55" w:type="dxa"/>
          <w:right w:w="55" w:type="dxa"/>
        </w:tblCellMar>
        <w:tblLook w:val="0000" w:noHBand="0" w:noVBand="0" w:firstColumn="0" w:lastRow="0" w:lastColumn="0" w:firstRow="0"/>
      </w:tblPr>
      <w:tblGrid>
        <w:gridCol w:w="2698"/>
        <w:gridCol w:w="2605"/>
        <w:gridCol w:w="2891"/>
      </w:tblGrid>
      <w:tr>
        <w:trPr/>
        <w:tc>
          <w:tcPr>
            <w:tcW w:w="2698" w:type="dxa"/>
            <w:tcBorders>
              <w:top w:val="single" w:sz="4" w:space="0" w:color="000000"/>
              <w:left w:val="single" w:sz="4" w:space="0" w:color="000000"/>
              <w:bottom w:val="single" w:sz="4" w:space="0" w:color="000000"/>
            </w:tcBorders>
          </w:tcPr>
          <w:p>
            <w:pPr>
              <w:pStyle w:val="TableContents"/>
              <w:spacing w:before="0" w:after="120"/>
              <w:ind w:left="89" w:hanging="0"/>
              <w:jc w:val="center"/>
              <w:rPr/>
            </w:pPr>
            <w:r>
              <w:rPr>
                <w:b/>
                <w:bCs/>
                <w:color w:val="000000"/>
              </w:rPr>
              <w:t>Parameters</w:t>
            </w:r>
          </w:p>
        </w:tc>
        <w:tc>
          <w:tcPr>
            <w:tcW w:w="5496" w:type="dxa"/>
            <w:gridSpan w:val="2"/>
            <w:tcBorders>
              <w:top w:val="single" w:sz="4" w:space="0" w:color="000000"/>
              <w:left w:val="single" w:sz="4" w:space="0" w:color="000000"/>
              <w:bottom w:val="single" w:sz="4" w:space="0" w:color="000000"/>
              <w:right w:val="single" w:sz="4" w:space="0" w:color="000000"/>
            </w:tcBorders>
          </w:tcPr>
          <w:p>
            <w:pPr>
              <w:pStyle w:val="TableContents"/>
              <w:spacing w:before="0" w:after="120"/>
              <w:ind w:left="89" w:hanging="0"/>
              <w:jc w:val="center"/>
              <w:rPr/>
            </w:pPr>
            <w:r>
              <w:rPr>
                <w:b/>
                <w:bCs/>
                <w:color w:val="000000"/>
              </w:rPr>
              <w:t>Values</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Terrain  </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Rural Macro(FR1)</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Urban Macro(FR1)</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Cell site [BS, UE] </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[21, 10]</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[21, 10]</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BS power in dBm</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46</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41</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User mobility direction</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Random </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 xml:space="preserve">Random </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UE Dropping</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Random</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Random</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Inter site distance</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1.7 km</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200 m</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No. of active BS </w:t>
            </w:r>
          </w:p>
        </w:tc>
        <w:tc>
          <w:tcPr>
            <w:tcW w:w="2605" w:type="dxa"/>
            <w:tcBorders>
              <w:left w:val="single" w:sz="4" w:space="0" w:color="000000"/>
              <w:bottom w:val="single" w:sz="4" w:space="0" w:color="000000"/>
            </w:tcBorders>
          </w:tcPr>
          <w:p>
            <w:pPr>
              <w:pStyle w:val="TableContents"/>
              <w:spacing w:before="0" w:after="120"/>
              <w:ind w:left="89" w:hanging="0"/>
              <w:jc w:val="left"/>
              <w:rPr/>
            </w:pPr>
            <w:r>
              <w:rPr/>
              <w:t>8</w:t>
            </w:r>
          </w:p>
        </w:tc>
        <w:tc>
          <w:tcPr>
            <w:tcW w:w="2891"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7</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No. of idle BS </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13</w:t>
            </w:r>
          </w:p>
        </w:tc>
        <w:tc>
          <w:tcPr>
            <w:tcW w:w="2891" w:type="dxa"/>
            <w:tcBorders>
              <w:left w:val="single" w:sz="4" w:space="0" w:color="000000"/>
              <w:bottom w:val="single" w:sz="4" w:space="0" w:color="000000"/>
              <w:right w:val="single" w:sz="4" w:space="0" w:color="000000"/>
            </w:tcBorders>
          </w:tcPr>
          <w:p>
            <w:pPr>
              <w:pStyle w:val="TableContents"/>
              <w:spacing w:before="0" w:after="120"/>
              <w:jc w:val="left"/>
              <w:rPr/>
            </w:pPr>
            <w:r>
              <w:rPr>
                <w:color w:val="000000"/>
              </w:rPr>
              <w:t>14</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Size reduction per SSB (%)</w:t>
            </w:r>
          </w:p>
        </w:tc>
        <w:tc>
          <w:tcPr>
            <w:tcW w:w="5496" w:type="dxa"/>
            <w:gridSpan w:val="2"/>
            <w:tcBorders>
              <w:left w:val="single" w:sz="4" w:space="0" w:color="000000"/>
              <w:bottom w:val="single" w:sz="4" w:space="0" w:color="000000"/>
              <w:right w:val="single" w:sz="4" w:space="0" w:color="000000"/>
            </w:tcBorders>
          </w:tcPr>
          <w:p>
            <w:pPr>
              <w:pStyle w:val="TableContents"/>
              <w:spacing w:before="0" w:after="120"/>
              <w:jc w:val="center"/>
              <w:rPr/>
            </w:pPr>
            <w:r>
              <w:rPr>
                <w:color w:val="000000"/>
              </w:rPr>
              <w:t>46.9%</w:t>
            </w:r>
          </w:p>
        </w:tc>
      </w:tr>
      <w:tr>
        <w:trPr/>
        <w:tc>
          <w:tcPr>
            <w:tcW w:w="2698" w:type="dxa"/>
            <w:tcBorders>
              <w:left w:val="single" w:sz="4" w:space="0" w:color="000000"/>
              <w:bottom w:val="single" w:sz="4" w:space="0" w:color="000000"/>
            </w:tcBorders>
          </w:tcPr>
          <w:p>
            <w:pPr>
              <w:pStyle w:val="TableContents"/>
              <w:spacing w:before="0" w:after="120"/>
              <w:ind w:left="89" w:hanging="0"/>
              <w:jc w:val="left"/>
              <w:rPr/>
            </w:pPr>
            <w:r>
              <w:rPr>
                <w:color w:val="000000"/>
              </w:rPr>
              <w:t>Energy saving gain (%)</w:t>
            </w:r>
          </w:p>
        </w:tc>
        <w:tc>
          <w:tcPr>
            <w:tcW w:w="2605" w:type="dxa"/>
            <w:tcBorders>
              <w:left w:val="single" w:sz="4" w:space="0" w:color="000000"/>
              <w:bottom w:val="single" w:sz="4" w:space="0" w:color="000000"/>
            </w:tcBorders>
          </w:tcPr>
          <w:p>
            <w:pPr>
              <w:pStyle w:val="TableContents"/>
              <w:spacing w:before="0" w:after="120"/>
              <w:ind w:left="89" w:hanging="0"/>
              <w:jc w:val="left"/>
              <w:rPr/>
            </w:pPr>
            <w:r>
              <w:rPr>
                <w:color w:val="000000"/>
              </w:rPr>
              <w:t>29.08%</w:t>
            </w:r>
          </w:p>
        </w:tc>
        <w:tc>
          <w:tcPr>
            <w:tcW w:w="2891" w:type="dxa"/>
            <w:tcBorders>
              <w:left w:val="single" w:sz="4" w:space="0" w:color="000000"/>
              <w:bottom w:val="single" w:sz="4" w:space="0" w:color="000000"/>
              <w:right w:val="single" w:sz="4" w:space="0" w:color="000000"/>
            </w:tcBorders>
          </w:tcPr>
          <w:p>
            <w:pPr>
              <w:pStyle w:val="TableContents"/>
              <w:spacing w:before="0" w:after="120"/>
              <w:jc w:val="left"/>
              <w:rPr/>
            </w:pPr>
            <w:r>
              <w:rPr>
                <w:color w:val="000000"/>
              </w:rPr>
              <w:t>31.32%</w:t>
            </w:r>
          </w:p>
        </w:tc>
      </w:tr>
    </w:tbl>
    <w:p>
      <w:pPr>
        <w:pStyle w:val="Normal"/>
        <w:rPr/>
      </w:pPr>
      <w:r>
        <w:rPr/>
        <w:tab/>
        <w:tab/>
        <w:tab/>
        <w:t>Table 1: Evaluation parameters</w:t>
      </w:r>
    </w:p>
    <w:p>
      <w:pPr>
        <w:pStyle w:val="Normal"/>
        <w:rPr/>
      </w:pPr>
      <w:r>
        <w:rPr>
          <w:b/>
          <w:bCs/>
        </w:rPr>
        <w:t>Observation 1:</w:t>
      </w:r>
      <w:r>
        <w:rPr/>
        <w:t xml:space="preserve"> Mandatory set operations consume energy at the gNB irrespective of the load.</w:t>
      </w:r>
      <w:bookmarkStart w:id="3" w:name="move1109495311"/>
      <w:bookmarkEnd w:id="3"/>
    </w:p>
    <w:p>
      <w:pPr>
        <w:pStyle w:val="Normal"/>
        <w:rPr/>
      </w:pPr>
      <w:r>
        <w:rPr>
          <w:b/>
          <w:bCs/>
        </w:rPr>
        <w:t>Observation 2:</w:t>
      </w:r>
      <w:r>
        <w:rPr/>
        <w:t xml:space="preserve"> Use of lighter version of SSB provides 31.32% savings in urban macro scenario and </w:t>
      </w:r>
      <w:r>
        <w:rPr>
          <w:color w:val="000000"/>
        </w:rPr>
        <w:t>29.08</w:t>
      </w:r>
      <w:r>
        <w:rPr/>
        <w:t>% saving in rural macro scenario.</w:t>
      </w:r>
    </w:p>
    <w:p>
      <w:pPr>
        <w:pStyle w:val="Normal"/>
        <w:spacing w:before="57" w:after="177"/>
        <w:rPr/>
      </w:pPr>
      <w:r>
        <w:rPr>
          <w:rFonts w:eastAsia="Wingdings"/>
          <w:b/>
          <w:iCs/>
        </w:rPr>
        <w:t>Proposal 1:</w:t>
      </w:r>
      <w:r>
        <w:rPr>
          <w:rFonts w:eastAsia="Wingdings"/>
          <w:iCs/>
        </w:rPr>
        <w:t xml:space="preserve"> For energy saving, use of light versions of SSB at the gNB is supported.</w:t>
      </w:r>
    </w:p>
    <w:p>
      <w:pPr>
        <w:pStyle w:val="Normal"/>
        <w:rPr/>
      </w:pPr>
      <w:r>
        <w:rPr>
          <w:iCs/>
        </w:rPr>
        <w:t>In NR, the gNB transmits SSB in a batch with one SSB per beam by forming synchronization signal burst (SS burst), which is used for changing the direction of each SSB transmission. The SSBs active in a burst and the periodicity of burst are configured semi-statically using radio resource control (RRC). Currently the periodicity is common for all SSBs active in the burst that leads to unnecessary transmission of SSB in certain scenario. E.g., frequent transmission of SSB is needed for a sector having high UE arrival rate like shopping mall, whereas it is not needed for a sector with low UE arrival rate. Using current approach, the periodicity of burst should correspond to the sector having highest UE arrival rate that leads to unnecessary transmission of SSB in sectors with low UE arrival rate. Configuring different periodicity for different SSB beams or group of SSB beams in a burst based on channel condition and traffic requirement addresses the issue and provides energy saving at gNB.</w:t>
      </w:r>
    </w:p>
    <w:p>
      <w:pPr>
        <w:pStyle w:val="Normal"/>
        <w:spacing w:before="57" w:after="177"/>
        <w:jc w:val="left"/>
        <w:rPr/>
      </w:pPr>
      <w:r>
        <w:rPr>
          <w:rFonts w:eastAsia="Wingdings"/>
          <w:b/>
          <w:bCs/>
          <w:iCs/>
        </w:rPr>
        <w:t>Proposal 2:</w:t>
      </w:r>
      <w:r>
        <w:rPr>
          <w:rFonts w:eastAsia="Wingdings"/>
          <w:iCs/>
        </w:rPr>
        <w:t xml:space="preserve"> Adaptation of SSB periodicity at beam level is supported.</w:t>
      </w:r>
    </w:p>
    <w:p>
      <w:pPr>
        <w:pStyle w:val="Standard"/>
        <w:shd w:val="clear" w:color="auto" w:fill="FFFFFF"/>
        <w:spacing w:before="114" w:after="114"/>
        <w:jc w:val="both"/>
        <w:rPr/>
      </w:pPr>
      <w:r>
        <w:rPr>
          <w:rFonts w:cs="Times New Roman" w:ascii="Times New Roman" w:hAnsi="Times New Roman"/>
          <w:szCs w:val="22"/>
          <w:shd w:fill="auto" w:val="clear"/>
        </w:rPr>
        <w:t xml:space="preserve">The basic system information (SI), that a UE require to operate efficiently within a network, is provided using master information block (MIB) and system information block1 (SIB1). The MIB, which is present in PBCH, </w:t>
      </w:r>
      <w:r>
        <w:rPr>
          <w:rFonts w:cs="Times New Roman" w:ascii="Times New Roman" w:hAnsi="Times New Roman"/>
          <w:iCs/>
          <w:szCs w:val="22"/>
        </w:rPr>
        <w:t xml:space="preserve">configures to UE a set of time-frequency resources, known as control resource set 0 (CORESET 0), to monitor for receiving downlink control information (DCI) from the gNB. The DCI received in CORESET 0 schedules a physical downlink shared channel (PDSCH) containing SIB1 to the UE. For energy saving at the gNB, the process of scheduling SIB1 to the UE can be optimized by avoiding CORESET 0 and the transmission of DCIs within the CORESET 0. This will also help in energy saving at UE by avoiding blind decoding of DCIs in the CORESET 0. </w:t>
      </w:r>
    </w:p>
    <w:p>
      <w:pPr>
        <w:pStyle w:val="Normal"/>
        <w:spacing w:before="114" w:after="234"/>
        <w:jc w:val="left"/>
        <w:rPr/>
      </w:pPr>
      <w:r>
        <w:rPr>
          <w:rFonts w:eastAsia="Wingdings"/>
          <w:b/>
          <w:bCs/>
          <w:iCs/>
        </w:rPr>
        <w:t>Proposal 3:</w:t>
      </w:r>
      <w:r>
        <w:rPr>
          <w:rFonts w:eastAsia="Wingdings"/>
          <w:iCs/>
        </w:rPr>
        <w:t xml:space="preserve"> Avoiding CORESET 0 and optimizing the scheduling of SIB1 is supported.</w:t>
      </w:r>
    </w:p>
    <w:p>
      <w:pPr>
        <w:pStyle w:val="Normal"/>
        <w:jc w:val="left"/>
        <w:rPr/>
      </w:pPr>
      <w:r>
        <w:rPr>
          <w:rFonts w:eastAsia="Wingdings"/>
          <w:iCs/>
        </w:rPr>
        <w:t xml:space="preserve">The energy saving at the gNB can be achieved by </w:t>
      </w:r>
      <w:r>
        <w:rPr/>
        <w:t xml:space="preserve">enabling sleep states without any transmission and reception or by deactivating some components e.g., RF components or cells or beams. The gNB can activate sleep state for a cell requiring no communication in UL or DL for certain duration of time in dynamic and/or semi-static way based on UE traffic and arrival rate. The sleep state can be defined in slot, sub-frame, or frame level. The longer sleep state provides dormancy for some RF components and operations, thereby providing more energy saving. Whereas the shorter sleep states, e.g., in symbol level, requires quick activation/de-activation of the cell, fast transition to/from the states, and rapid on/off of components, which are difficult to achieve and may not provide significant energy saving as that in case of longer sleep states. Therefore, it is necessary to study and define sleep states for gNB. </w:t>
      </w:r>
    </w:p>
    <w:p>
      <w:pPr>
        <w:pStyle w:val="PreformattedText"/>
        <w:rPr/>
      </w:pPr>
      <w:r>
        <w:rPr>
          <w:b/>
          <w:bCs/>
          <w:iCs/>
        </w:rPr>
        <w:t xml:space="preserve">Observation 3: </w:t>
      </w:r>
      <w:r>
        <w:rPr>
          <w:iCs/>
        </w:rPr>
        <w:t xml:space="preserve">Sleep states in symbol level needs fast transition between different states, which is difficult to achieve and may not provide </w:t>
      </w:r>
      <w:r>
        <w:rPr>
          <w:rFonts w:eastAsia="SimSun;宋体" w:cs="Times New Roman"/>
          <w:iCs/>
          <w:color w:val="00000A"/>
          <w:kern w:val="0"/>
          <w:sz w:val="22"/>
          <w:szCs w:val="22"/>
          <w:lang w:val="en-US" w:eastAsia="zh-CN" w:bidi="ar-SA"/>
        </w:rPr>
        <w:t>a</w:t>
      </w:r>
      <w:r>
        <w:rPr>
          <w:iCs/>
        </w:rPr>
        <w:t xml:space="preserve"> significant energy saving gain.</w:t>
      </w:r>
    </w:p>
    <w:p>
      <w:pPr>
        <w:pStyle w:val="PreformattedText"/>
        <w:spacing w:before="114" w:after="234"/>
        <w:rPr/>
      </w:pPr>
      <w:r>
        <w:rPr>
          <w:b/>
          <w:bCs/>
          <w:iCs/>
        </w:rPr>
        <w:t>Proposal 4:</w:t>
      </w:r>
      <w:r>
        <w:rPr>
          <w:iCs/>
        </w:rPr>
        <w:t xml:space="preserve"> Sleep states for gNB in frame, subframe and slot level is supported.</w:t>
      </w:r>
    </w:p>
    <w:p>
      <w:pPr>
        <w:pStyle w:val="Standard"/>
        <w:shd w:val="clear" w:color="auto" w:fill="FFFFFF"/>
        <w:spacing w:before="114" w:after="114"/>
        <w:jc w:val="both"/>
        <w:rPr/>
      </w:pPr>
      <w:r>
        <w:rPr>
          <w:rFonts w:eastAsia="Malgun Gothic" w:cs="Times New Roman" w:ascii="Times New Roman" w:hAnsi="Times New Roman"/>
          <w:szCs w:val="22"/>
        </w:rPr>
        <w:t>The adaptation of sleep states at gNB will have an impact on the legacy operations and creates certain conflicts and unnecessary operations. The UE might be configured with some operations in a slot, in which the gNB is in the sleep state. In that case, the UE will unnecessarily perform the configured operation resulting in wastage of power. The configuration can be for some periodic signals like SSB, CSI-RS, sounding reference signal (SRS), physical downlink control channel (PDCCH) or some periodic data signals like configured grant and semi-persistent scheduling. E.g., UE is semi-statically configured to receive periodic CSI-RS in slot n, in which the BS is in sleep, then the BS will not transmit CSI-RS in slot n, but the UE will unnecessarily monitor for CSI-RS. This situation is avoided by signaling information about the sleep state, in terms of starting time and duration, to the connected UEs. The starting time and duration can be in terms of number of slots, sub-frames or frames.</w:t>
      </w:r>
    </w:p>
    <w:p>
      <w:pPr>
        <w:pStyle w:val="Standard"/>
        <w:shd w:val="clear" w:color="auto" w:fill="FFFFFF"/>
        <w:jc w:val="both"/>
        <w:rPr/>
      </w:pPr>
      <w:r>
        <w:rPr>
          <w:rFonts w:eastAsia="Malgun Gothic" w:cs="Times New Roman" w:ascii="Times New Roman" w:hAnsi="Times New Roman"/>
          <w:b/>
          <w:bCs/>
          <w:szCs w:val="22"/>
        </w:rPr>
        <w:t xml:space="preserve">Observation 4: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rPr/>
      </w:pPr>
      <w:r>
        <w:rPr>
          <w:rFonts w:eastAsia="Malgun Gothic"/>
          <w:b/>
          <w:bCs/>
          <w:iCs/>
        </w:rPr>
        <w:t>Proposal 5:</w:t>
      </w:r>
      <w:r>
        <w:rPr>
          <w:rFonts w:eastAsia="Malgun Gothic"/>
          <w:iCs/>
        </w:rPr>
        <w:t xml:space="preserve"> S</w:t>
      </w:r>
      <w:r>
        <w:rPr>
          <w:rFonts w:eastAsia="Malgun Gothic"/>
        </w:rPr>
        <w:t>ignaling information about sleep state, in terms of starting time and duration, to connected UE is supported.</w:t>
      </w:r>
    </w:p>
    <w:p>
      <w:pPr>
        <w:pStyle w:val="Heading2"/>
        <w:numPr>
          <w:ilvl w:val="0"/>
          <w:numId w:val="0"/>
        </w:numPr>
        <w:ind w:left="576" w:hanging="576"/>
        <w:rPr/>
      </w:pPr>
      <w:r>
        <w:rPr/>
        <w:t>2.2 Frequency domain techniques</w:t>
      </w:r>
    </w:p>
    <w:p>
      <w:pPr>
        <w:pStyle w:val="Normal"/>
        <w:spacing w:before="0" w:after="0"/>
        <w:rPr/>
      </w:pPr>
      <w:r>
        <w:rPr>
          <w:rFonts w:eastAsia="Malgun Gothic"/>
          <w:bCs/>
        </w:rPr>
        <w:t>Following agreement was made in RAN1#109-e[2] on frequency domain techniques for network energy saving</w:t>
      </w:r>
    </w:p>
    <w:tbl>
      <w:tblPr>
        <w:tblStyle w:val="TableGrid"/>
        <w:tblW w:w="9304" w:type="dxa"/>
        <w:jc w:val="left"/>
        <w:tblInd w:w="108" w:type="dxa"/>
        <w:tblCellMar>
          <w:top w:w="0" w:type="dxa"/>
          <w:left w:w="108" w:type="dxa"/>
          <w:bottom w:w="0" w:type="dxa"/>
          <w:right w:w="108" w:type="dxa"/>
        </w:tblCellMar>
        <w:tblLook w:val="04a0" w:noHBand="0" w:noVBand="1" w:firstColumn="1" w:lastRow="0" w:lastColumn="0" w:firstRow="1"/>
      </w:tblPr>
      <w:tblGrid>
        <w:gridCol w:w="9304"/>
      </w:tblGrid>
      <w:tr>
        <w:trPr/>
        <w:tc>
          <w:tcPr>
            <w:tcW w:w="9304" w:type="dxa"/>
            <w:tcBorders/>
          </w:tcPr>
          <w:p>
            <w:pPr>
              <w:pStyle w:val="Normal"/>
              <w:rPr>
                <w:highlight w:val="darkYellow"/>
              </w:rPr>
            </w:pPr>
            <w:r>
              <w:rPr>
                <w:rFonts w:eastAsia="Malgun Gothic"/>
                <w:b/>
                <w:highlight w:val="darkYellow"/>
              </w:rPr>
              <w:t>Agreement</w:t>
            </w:r>
          </w:p>
          <w:p>
            <w:pPr>
              <w:pStyle w:val="TextBody"/>
              <w:spacing w:before="0" w:after="0"/>
              <w:rPr/>
            </w:pPr>
            <w:r>
              <w:rPr>
                <w:sz w:val="22"/>
                <w:szCs w:val="22"/>
              </w:rPr>
              <w:t>Further study techniques and enhancements for frequency resource usage adaptation by the gNB, including (but not limited to) the following aspects:</w:t>
            </w:r>
          </w:p>
          <w:p>
            <w:pPr>
              <w:pStyle w:val="TextBody"/>
              <w:numPr>
                <w:ilvl w:val="0"/>
                <w:numId w:val="8"/>
              </w:numPr>
              <w:tabs>
                <w:tab w:val="clear" w:pos="735"/>
                <w:tab w:val="left" w:pos="0" w:leader="none"/>
              </w:tabs>
              <w:spacing w:before="0" w:after="0"/>
              <w:rPr/>
            </w:pPr>
            <w:r>
              <w:rPr>
                <w:sz w:val="22"/>
                <w:szCs w:val="22"/>
              </w:rPr>
              <w:t>For operations with single-carrier or within a single CC</w:t>
            </w:r>
          </w:p>
          <w:p>
            <w:pPr>
              <w:pStyle w:val="TextBody"/>
              <w:numPr>
                <w:ilvl w:val="0"/>
                <w:numId w:val="9"/>
              </w:numPr>
              <w:spacing w:before="0" w:after="0"/>
              <w:rPr/>
            </w:pPr>
            <w:r>
              <w:rPr>
                <w:sz w:val="22"/>
                <w:szCs w:val="22"/>
              </w:rPr>
              <w:t>Enhancements to dynamic bandwidth adaptation</w:t>
            </w:r>
          </w:p>
          <w:p>
            <w:pPr>
              <w:pStyle w:val="TextBody"/>
              <w:numPr>
                <w:ilvl w:val="2"/>
                <w:numId w:val="5"/>
              </w:numPr>
              <w:spacing w:before="0" w:after="0"/>
              <w:rPr/>
            </w:pPr>
            <w:r>
              <w:rPr>
                <w:sz w:val="22"/>
                <w:szCs w:val="22"/>
              </w:rPr>
              <w:t>including adjustments to RBs and/or BWP used by (Rel-18) UEs for transmission and reception, reducing BWP switch delay, UE-group BWP switching, and joint adaptation of transmission bandwidth and power spectral density</w:t>
            </w:r>
          </w:p>
          <w:p>
            <w:pPr>
              <w:pStyle w:val="TextBody"/>
              <w:numPr>
                <w:ilvl w:val="0"/>
                <w:numId w:val="9"/>
              </w:numPr>
              <w:spacing w:before="0" w:after="0"/>
              <w:rPr/>
            </w:pPr>
            <w:r>
              <w:rPr>
                <w:sz w:val="22"/>
                <w:szCs w:val="22"/>
              </w:rPr>
              <w:t>supporting UE group-common BWP or cell-specific BWP or dedicated BWP for network energy savings, and related BWP switching mechanism</w:t>
            </w:r>
          </w:p>
          <w:p>
            <w:pPr>
              <w:pStyle w:val="TextBody"/>
              <w:numPr>
                <w:ilvl w:val="0"/>
                <w:numId w:val="9"/>
              </w:numPr>
              <w:spacing w:before="0" w:after="0"/>
              <w:rPr/>
            </w:pPr>
            <w:r>
              <w:rPr>
                <w:sz w:val="22"/>
                <w:szCs w:val="22"/>
              </w:rPr>
              <w:t>Enhancements for the case of frequent BWP switching such as resource configurations for SPS PDSCH and Type-2 CG PUSCH</w:t>
            </w:r>
          </w:p>
          <w:p>
            <w:pPr>
              <w:pStyle w:val="TextBody"/>
              <w:numPr>
                <w:ilvl w:val="0"/>
                <w:numId w:val="8"/>
              </w:numPr>
              <w:tabs>
                <w:tab w:val="clear" w:pos="735"/>
                <w:tab w:val="left" w:pos="0" w:leader="none"/>
              </w:tabs>
              <w:spacing w:before="0" w:after="0"/>
              <w:rPr/>
            </w:pPr>
            <w:r>
              <w:rPr>
                <w:sz w:val="22"/>
                <w:szCs w:val="22"/>
              </w:rPr>
              <w:t>For operation with multi-carrier</w:t>
            </w:r>
          </w:p>
          <w:p>
            <w:pPr>
              <w:pStyle w:val="TextBody"/>
              <w:numPr>
                <w:ilvl w:val="0"/>
                <w:numId w:val="10"/>
              </w:numPr>
              <w:spacing w:before="0" w:after="0"/>
              <w:rPr/>
            </w:pPr>
            <w:r>
              <w:rPr>
                <w:sz w:val="22"/>
                <w:szCs w:val="22"/>
              </w:rPr>
              <w:t>enablement of reducing/adapting common channels/signals for some CC in multi-carrier operations</w:t>
            </w:r>
          </w:p>
          <w:p>
            <w:pPr>
              <w:pStyle w:val="TextBody"/>
              <w:numPr>
                <w:ilvl w:val="2"/>
                <w:numId w:val="5"/>
              </w:numPr>
              <w:spacing w:before="0" w:after="0"/>
              <w:rPr/>
            </w:pPr>
            <w:r>
              <w:rPr>
                <w:sz w:val="22"/>
                <w:szCs w:val="22"/>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pPr>
              <w:pStyle w:val="TextBody"/>
              <w:numPr>
                <w:ilvl w:val="2"/>
                <w:numId w:val="5"/>
              </w:numPr>
              <w:spacing w:before="0" w:after="0"/>
              <w:rPr/>
            </w:pPr>
            <w:r>
              <w:rPr>
                <w:sz w:val="22"/>
                <w:szCs w:val="22"/>
              </w:rPr>
              <w:t>including enablement of SIB-less operation for some CC in case of intra-band and inter-band CA.</w:t>
            </w:r>
          </w:p>
          <w:p>
            <w:pPr>
              <w:pStyle w:val="TextBody"/>
              <w:numPr>
                <w:ilvl w:val="2"/>
                <w:numId w:val="5"/>
              </w:numPr>
              <w:spacing w:before="0" w:after="0"/>
              <w:rPr/>
            </w:pPr>
            <w:r>
              <w:rPr>
                <w:sz w:val="22"/>
                <w:szCs w:val="22"/>
              </w:rPr>
              <w:t>Reducing/adapting gNB’s transmission/reception of other common channels/signals (than SSB) and TRS for some CC in multi-carrier operations</w:t>
            </w:r>
          </w:p>
          <w:p>
            <w:pPr>
              <w:pStyle w:val="TextBody"/>
              <w:numPr>
                <w:ilvl w:val="0"/>
                <w:numId w:val="10"/>
              </w:numPr>
              <w:spacing w:before="0" w:after="0"/>
              <w:rPr/>
            </w:pPr>
            <w:r>
              <w:rPr>
                <w:sz w:val="22"/>
                <w:szCs w:val="22"/>
              </w:rPr>
              <w:t>enhancements on Scell activation and deactivation, enhancements on Scell dormancy and dynamic Pcell switching</w:t>
            </w:r>
          </w:p>
          <w:p>
            <w:pPr>
              <w:pStyle w:val="TextBody"/>
              <w:numPr>
                <w:ilvl w:val="2"/>
                <w:numId w:val="5"/>
              </w:numPr>
              <w:spacing w:before="0" w:after="0"/>
              <w:rPr/>
            </w:pPr>
            <w:r>
              <w:rPr>
                <w:sz w:val="22"/>
                <w:szCs w:val="22"/>
              </w:rPr>
              <w:t>including triggering conditions and methods for signaling activation/deactivation</w:t>
            </w:r>
          </w:p>
          <w:p>
            <w:pPr>
              <w:pStyle w:val="TextBody"/>
              <w:spacing w:before="0" w:after="0"/>
              <w:rPr/>
            </w:pPr>
            <w:r>
              <w:rPr>
                <w:sz w:val="22"/>
                <w:szCs w:val="22"/>
              </w:rPr>
              <w:t>including UE group common dynamic Pcell switching</w:t>
            </w:r>
          </w:p>
        </w:tc>
      </w:tr>
    </w:tbl>
    <w:p>
      <w:pPr>
        <w:pStyle w:val="TextBody"/>
        <w:spacing w:before="0" w:after="0"/>
        <w:rPr>
          <w:rFonts w:eastAsia="Malgun Gothic"/>
          <w:b/>
          <w:b/>
          <w:sz w:val="22"/>
          <w:szCs w:val="22"/>
        </w:rPr>
      </w:pPr>
      <w:r>
        <w:rPr>
          <w:rFonts w:eastAsia="Malgun Gothic"/>
          <w:b/>
          <w:sz w:val="22"/>
          <w:szCs w:val="22"/>
        </w:rPr>
      </w:r>
    </w:p>
    <w:p>
      <w:pPr>
        <w:pStyle w:val="TextBody"/>
        <w:spacing w:before="0" w:after="0"/>
        <w:rPr>
          <w:rFonts w:eastAsia="Malgun Gothic"/>
          <w:b/>
          <w:b/>
          <w:sz w:val="22"/>
          <w:szCs w:val="22"/>
        </w:rPr>
      </w:pPr>
      <w:r>
        <w:rPr>
          <w:rFonts w:eastAsia="Malgun Gothic"/>
          <w:b/>
          <w:sz w:val="22"/>
          <w:szCs w:val="22"/>
        </w:rPr>
      </w:r>
    </w:p>
    <w:p>
      <w:pPr>
        <w:pStyle w:val="Normal"/>
        <w:rPr/>
      </w:pPr>
      <w:r>
        <w:rPr/>
        <w:t xml:space="preserve">In NR, a large bandwidth (BW) to support advanced services and features increases the power consumption of the network. Adapting the size of the BW active at the base station (BS), by disabling some portion of the BW, based on load, reduces the energy consumption of the BS. However, adaptation of bandwidth may cause deactivation of certain frequency resources assigned to a UE that leads to conflicts, unnecessary transmissions and monitoring. For e.g., in Fig. 1, green portion indicate the portion of BW that is dynamically switched off by the gNB for energy saving purpose. In figure, the BWP 1 of connected user is overlapping with the disabled portion of the BW of the BS. If the UE is semi-statically configured to monitor the resource for some DL signal in the overlapping region, then the UE will unnecessarily monitor the resource. Therefore, the impact of dynamic BW adaptation on UE and legacy operations should be studied and minimized. The gNB can signal information about dynamic adaptation of BW to the active UEs, so that the UEs can evaluate the overlapping portion and adapt operations accordingly. </w:t>
      </w:r>
    </w:p>
    <w:p>
      <w:pPr>
        <w:pStyle w:val="Normal"/>
        <w:rPr/>
      </w:pPr>
      <w:r>
        <w:rPr>
          <w:b/>
          <w:bCs/>
        </w:rPr>
        <w:t>Observation 5:</w:t>
      </w:r>
      <w:r>
        <w:rPr/>
        <w:t xml:space="preserve"> Dynamic adaptation of bandwidth causes deactivation of certain frequency resources assigned to a UE that leads to conflicts, unnecessary transmissions and needless monitoring.</w:t>
      </w:r>
    </w:p>
    <w:p>
      <w:pPr>
        <w:pStyle w:val="Normal"/>
        <w:rPr/>
      </w:pPr>
      <w:r>
        <w:rPr>
          <w:b/>
          <w:bCs/>
        </w:rPr>
        <w:t xml:space="preserve">Proposal 6: </w:t>
      </w:r>
      <w:r>
        <w:rPr/>
        <w:t>gNB signaling information about dynamic adaptation of BW to the active UEs is supported.</w:t>
      </w:r>
    </w:p>
    <w:p>
      <w:pPr>
        <w:pStyle w:val="Normal"/>
        <w:rPr/>
      </w:pPr>
      <w:r>
        <w:rPr/>
        <w:drawing>
          <wp:anchor behindDoc="0" distT="0" distB="0" distL="0" distR="0" simplePos="0" locked="0" layoutInCell="1" allowOverlap="1" relativeHeight="4">
            <wp:simplePos x="0" y="0"/>
            <wp:positionH relativeFrom="column">
              <wp:align>center</wp:align>
            </wp:positionH>
            <wp:positionV relativeFrom="paragraph">
              <wp:posOffset>32385</wp:posOffset>
            </wp:positionV>
            <wp:extent cx="4403090" cy="2267585"/>
            <wp:effectExtent l="0" t="0" r="0" b="0"/>
            <wp:wrapTopAndBottom/>
            <wp:docPr id="1" name="Shap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descr=""/>
                    <pic:cNvPicPr>
                      <a:picLocks noChangeAspect="1" noChangeArrowheads="1"/>
                    </pic:cNvPicPr>
                  </pic:nvPicPr>
                  <pic:blipFill>
                    <a:blip r:embed="rId2"/>
                    <a:srcRect l="1727" t="8597" r="24" b="15442"/>
                    <a:stretch>
                      <a:fillRect/>
                    </a:stretch>
                  </pic:blipFill>
                  <pic:spPr bwMode="auto">
                    <a:xfrm>
                      <a:off x="0" y="0"/>
                      <a:ext cx="4403090" cy="2267585"/>
                    </a:xfrm>
                    <a:prstGeom prst="rect">
                      <a:avLst/>
                    </a:prstGeom>
                  </pic:spPr>
                </pic:pic>
              </a:graphicData>
            </a:graphic>
          </wp:anchor>
        </w:drawing>
      </w:r>
    </w:p>
    <w:p>
      <w:pPr>
        <w:pStyle w:val="Normal"/>
        <w:jc w:val="center"/>
        <w:rPr/>
      </w:pPr>
      <w:r>
        <w:rPr/>
        <w:t>Fig. 1 Disabled section of BS BW overlapping with UE BWP.</w:t>
      </w:r>
    </w:p>
    <w:p>
      <w:pPr>
        <w:pStyle w:val="Normal"/>
        <w:rPr>
          <w:rFonts w:eastAsia="Malgun Gothic"/>
        </w:rPr>
      </w:pPr>
      <w:r>
        <w:rPr>
          <w:rFonts w:eastAsia="Malgun Gothic"/>
        </w:rPr>
      </w:r>
    </w:p>
    <w:p>
      <w:pPr>
        <w:pStyle w:val="Heading2"/>
        <w:numPr>
          <w:ilvl w:val="1"/>
          <w:numId w:val="12"/>
        </w:numPr>
        <w:rPr/>
      </w:pPr>
      <w:r>
        <w:rPr/>
        <w:t>Spatial domain techniques</w:t>
      </w:r>
    </w:p>
    <w:p>
      <w:pPr>
        <w:pStyle w:val="Normal"/>
        <w:spacing w:before="0" w:after="0"/>
        <w:rPr/>
      </w:pPr>
      <w:r>
        <w:rPr>
          <w:rFonts w:eastAsia="Malgun Gothic"/>
          <w:bCs/>
        </w:rPr>
        <w:t>Following agreement was made in RAN1#109-e[2] on spatial domain techniques for network energy saving</w:t>
      </w:r>
    </w:p>
    <w:tbl>
      <w:tblPr>
        <w:tblStyle w:val="TableGrid"/>
        <w:tblW w:w="9304" w:type="dxa"/>
        <w:jc w:val="left"/>
        <w:tblInd w:w="108" w:type="dxa"/>
        <w:tblCellMar>
          <w:top w:w="0" w:type="dxa"/>
          <w:left w:w="108" w:type="dxa"/>
          <w:bottom w:w="0" w:type="dxa"/>
          <w:right w:w="108" w:type="dxa"/>
        </w:tblCellMar>
        <w:tblLook w:val="04a0" w:noHBand="0" w:noVBand="1" w:firstColumn="1" w:lastRow="0" w:lastColumn="0" w:firstRow="1"/>
      </w:tblPr>
      <w:tblGrid>
        <w:gridCol w:w="9304"/>
      </w:tblGrid>
      <w:tr>
        <w:trPr/>
        <w:tc>
          <w:tcPr>
            <w:tcW w:w="9304" w:type="dxa"/>
            <w:tcBorders/>
          </w:tcPr>
          <w:p>
            <w:pPr>
              <w:pStyle w:val="Normal"/>
              <w:rPr>
                <w:highlight w:val="darkYellow"/>
              </w:rPr>
            </w:pPr>
            <w:r>
              <w:rPr>
                <w:rFonts w:eastAsia="Malgun Gothic"/>
                <w:b/>
                <w:highlight w:val="darkYellow"/>
              </w:rPr>
              <w:t>Agreement</w:t>
            </w:r>
          </w:p>
          <w:p>
            <w:pPr>
              <w:pStyle w:val="TextBody"/>
              <w:spacing w:before="0" w:after="0"/>
              <w:rPr/>
            </w:pPr>
            <w:r>
              <w:rPr>
                <w:sz w:val="22"/>
                <w:szCs w:val="22"/>
              </w:rPr>
              <w:t>Further study techniques and enhancements for the adaptation of number of spatial elements of the gNB, including (but not limited to) the following aspects:</w:t>
            </w:r>
          </w:p>
          <w:p>
            <w:pPr>
              <w:pStyle w:val="TextBody"/>
              <w:numPr>
                <w:ilvl w:val="0"/>
                <w:numId w:val="6"/>
              </w:numPr>
              <w:spacing w:before="0" w:after="0"/>
              <w:rPr/>
            </w:pPr>
            <w:r>
              <w:rPr>
                <w:sz w:val="22"/>
                <w:szCs w:val="22"/>
              </w:rPr>
              <w:t>Note: spatial elements may include antenna element(s), TxRU(s) (with sub-array/full-connection), antenna panel(s), TRxP(s) (co-located or geographically separated from each other), logical antenna port(s) (corresponding to specific signals and channels)</w:t>
            </w:r>
          </w:p>
          <w:p>
            <w:pPr>
              <w:pStyle w:val="TextBody"/>
              <w:numPr>
                <w:ilvl w:val="0"/>
                <w:numId w:val="6"/>
              </w:numPr>
              <w:spacing w:before="0" w:after="0"/>
              <w:rPr/>
            </w:pPr>
            <w:r>
              <w:rPr>
                <w:sz w:val="22"/>
                <w:szCs w:val="22"/>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pPr>
              <w:pStyle w:val="TextBody"/>
              <w:numPr>
                <w:ilvl w:val="0"/>
                <w:numId w:val="6"/>
              </w:numPr>
              <w:spacing w:before="0" w:after="0"/>
              <w:rPr/>
            </w:pPr>
            <w:r>
              <w:rPr>
                <w:sz w:val="22"/>
                <w:szCs w:val="22"/>
              </w:rPr>
              <w:t>feedback/assistance information from the UE required for support dynamic spatial element adaptation</w:t>
            </w:r>
          </w:p>
          <w:p>
            <w:pPr>
              <w:pStyle w:val="TextBody"/>
              <w:numPr>
                <w:ilvl w:val="1"/>
                <w:numId w:val="5"/>
              </w:numPr>
              <w:spacing w:before="0" w:after="0"/>
              <w:rPr/>
            </w:pPr>
            <w:r>
              <w:rPr>
                <w:sz w:val="22"/>
                <w:szCs w:val="22"/>
              </w:rPr>
              <w:t>for example, CSI measurement and reports, SR, etc</w:t>
            </w:r>
          </w:p>
          <w:p>
            <w:pPr>
              <w:pStyle w:val="TextBody"/>
              <w:numPr>
                <w:ilvl w:val="0"/>
                <w:numId w:val="6"/>
              </w:numPr>
              <w:spacing w:before="0" w:after="0"/>
              <w:rPr/>
            </w:pPr>
            <w:r>
              <w:rPr>
                <w:sz w:val="22"/>
                <w:szCs w:val="22"/>
              </w:rPr>
              <w:t>signaling methods, including reduced signaling, for enabling dynamic spatial element adaptation</w:t>
            </w:r>
          </w:p>
          <w:p>
            <w:pPr>
              <w:pStyle w:val="TextBody"/>
              <w:numPr>
                <w:ilvl w:val="1"/>
                <w:numId w:val="6"/>
              </w:numPr>
              <w:spacing w:before="0" w:after="0"/>
              <w:rPr/>
            </w:pPr>
            <w:r>
              <w:rPr>
                <w:sz w:val="22"/>
                <w:szCs w:val="22"/>
              </w:rPr>
              <w:t>for example, group-common L1 signaling, broadcast signaling, MAC CE, etc.</w:t>
            </w:r>
          </w:p>
          <w:p>
            <w:pPr>
              <w:pStyle w:val="TextBody"/>
              <w:numPr>
                <w:ilvl w:val="0"/>
                <w:numId w:val="6"/>
              </w:numPr>
              <w:spacing w:before="0" w:after="0"/>
              <w:rPr/>
            </w:pPr>
            <w:r>
              <w:rPr>
                <w:sz w:val="22"/>
                <w:szCs w:val="22"/>
              </w:rPr>
              <w:t>dynamic TRxP adaptation;</w:t>
            </w:r>
          </w:p>
          <w:p>
            <w:pPr>
              <w:pStyle w:val="TextBody"/>
              <w:numPr>
                <w:ilvl w:val="1"/>
                <w:numId w:val="5"/>
              </w:numPr>
              <w:spacing w:before="0" w:after="0"/>
              <w:rPr/>
            </w:pPr>
            <w:r>
              <w:rPr>
                <w:sz w:val="22"/>
                <w:szCs w:val="22"/>
              </w:rPr>
              <w:t>study of triggering on/off conditions for TRxP(s)</w:t>
            </w:r>
          </w:p>
          <w:p>
            <w:pPr>
              <w:pStyle w:val="TextBody"/>
              <w:numPr>
                <w:ilvl w:val="2"/>
                <w:numId w:val="5"/>
              </w:numPr>
              <w:spacing w:before="0" w:after="0"/>
              <w:rPr/>
            </w:pPr>
            <w:r>
              <w:rPr>
                <w:sz w:val="22"/>
                <w:szCs w:val="22"/>
              </w:rPr>
              <w:t>note this may not have specification impact and could potentially be up to network implementation.</w:t>
            </w:r>
          </w:p>
          <w:p>
            <w:pPr>
              <w:pStyle w:val="TextBody"/>
              <w:numPr>
                <w:ilvl w:val="1"/>
                <w:numId w:val="5"/>
              </w:numPr>
              <w:spacing w:before="0" w:after="0"/>
              <w:rPr/>
            </w:pPr>
            <w:r>
              <w:rPr>
                <w:sz w:val="22"/>
                <w:szCs w:val="22"/>
              </w:rPr>
              <w:t>study of SSB, PL-RS, TRS, and CSI-RS re-configuration and its impact to initial access procedure, synchronization and measurements performed by the idle/inactive/connected UE</w:t>
            </w:r>
          </w:p>
          <w:p>
            <w:pPr>
              <w:pStyle w:val="TextBody"/>
              <w:numPr>
                <w:ilvl w:val="0"/>
                <w:numId w:val="6"/>
              </w:numPr>
              <w:spacing w:before="0" w:after="0"/>
              <w:rPr/>
            </w:pPr>
            <w:r>
              <w:rPr>
                <w:sz w:val="22"/>
                <w:szCs w:val="22"/>
              </w:rPr>
              <w:t>dynamic logical port adaptation and efficient port reconfigurations</w:t>
            </w:r>
          </w:p>
          <w:p>
            <w:pPr>
              <w:pStyle w:val="TextBody"/>
              <w:numPr>
                <w:ilvl w:val="1"/>
                <w:numId w:val="5"/>
              </w:numPr>
              <w:spacing w:before="0" w:after="0"/>
              <w:rPr/>
            </w:pPr>
            <w:r>
              <w:rPr>
                <w:sz w:val="22"/>
                <w:szCs w:val="22"/>
              </w:rPr>
              <w:t>study details of signaling the port (e.g. NZP CSI-RS ports) (if required to be known by the UE)</w:t>
            </w:r>
          </w:p>
          <w:p>
            <w:pPr>
              <w:pStyle w:val="TextBody"/>
              <w:numPr>
                <w:ilvl w:val="1"/>
                <w:numId w:val="5"/>
              </w:numPr>
              <w:spacing w:before="0" w:after="0"/>
              <w:rPr/>
            </w:pPr>
            <w:r>
              <w:rPr>
                <w:sz w:val="22"/>
                <w:szCs w:val="22"/>
              </w:rPr>
              <w:t xml:space="preserve">study dynamic adaptation (including activation/deactivation) of CSI measurement or report configuration for port adaptation </w:t>
            </w:r>
          </w:p>
          <w:p>
            <w:pPr>
              <w:pStyle w:val="TextBody"/>
              <w:numPr>
                <w:ilvl w:val="0"/>
                <w:numId w:val="6"/>
              </w:numPr>
              <w:spacing w:before="0" w:after="0"/>
              <w:rPr/>
            </w:pPr>
            <w:r>
              <w:rPr>
                <w:sz w:val="22"/>
                <w:szCs w:val="22"/>
              </w:rPr>
              <w:t>Joint adaptation of spatial-domain, frequency-domain and/or power-domain configurations to avoid coverage loss</w:t>
            </w:r>
          </w:p>
          <w:p>
            <w:pPr>
              <w:pStyle w:val="TextBody"/>
              <w:numPr>
                <w:ilvl w:val="0"/>
                <w:numId w:val="6"/>
              </w:numPr>
              <w:spacing w:before="0" w:after="0"/>
              <w:rPr/>
            </w:pPr>
            <w:r>
              <w:rPr>
                <w:sz w:val="22"/>
                <w:szCs w:val="22"/>
              </w:rPr>
              <w:t>grouping of UEs to reduce transmission and reception footprint at the gNB; including but not limited to the following</w:t>
            </w:r>
          </w:p>
          <w:p>
            <w:pPr>
              <w:pStyle w:val="TextBody"/>
              <w:numPr>
                <w:ilvl w:val="1"/>
                <w:numId w:val="5"/>
              </w:numPr>
              <w:spacing w:before="0" w:after="0"/>
              <w:rPr/>
            </w:pPr>
            <w:r>
              <w:rPr>
                <w:sz w:val="22"/>
                <w:szCs w:val="22"/>
              </w:rPr>
              <w:t>grouping of users in spatial domain</w:t>
            </w:r>
          </w:p>
        </w:tc>
      </w:tr>
    </w:tbl>
    <w:p>
      <w:pPr>
        <w:pStyle w:val="Normal"/>
        <w:spacing w:lineRule="auto" w:line="252" w:before="120" w:after="120"/>
        <w:rPr>
          <w:rFonts w:eastAsia="Malgun Gothic"/>
          <w:b/>
          <w:b/>
        </w:rPr>
      </w:pPr>
      <w:r>
        <w:rPr>
          <w:rFonts w:eastAsia="Malgun Gothic"/>
          <w:b/>
        </w:rPr>
      </w:r>
    </w:p>
    <w:p>
      <w:pPr>
        <w:pStyle w:val="Normal"/>
        <w:spacing w:lineRule="auto" w:line="252" w:before="120" w:after="120"/>
        <w:rPr/>
      </w:pPr>
      <w:r>
        <w:rPr>
          <w:iCs/>
        </w:rPr>
        <w:t xml:space="preserve">In NR, with the usage of higher frequencies and requirement for narrow beams, the usage of number of antenna, TRX chains and antenna elements has increased, which is a dominant contributor for energy consumption at the gNB. The energy consumption at gNB can be reduced by adapting number of the antenna components used for transmission or receptions based on parameters like channel condition, QoS requirement, UE arrival rate, user density and traffic load. For e.g., the gNB can deactivate some of antenna elements and transmit or receive with less number of antenna ports as shown in Fig. 2. However, the adaptation of antenna components will have an impact on the transmission/reception of channels/signals. For e.g., CSI-RS resources semi-statically configured to the UE is associated with certain port number. The dynamic adaptation of logical ports creates a requirement to update the CSI-RS configuration given to the UE, which will cause unnecessary DL overhead, delay and power consumption. Therefore, gNB dynamically signaling information about ports adaptation to the UE is supported. </w:t>
      </w:r>
    </w:p>
    <w:p>
      <w:pPr>
        <w:pStyle w:val="Normal"/>
        <w:jc w:val="center"/>
        <w:rPr/>
      </w:pPr>
      <w:r>
        <mc:AlternateContent>
          <mc:Choice Requires="wpg">
            <w:drawing>
              <wp:anchor behindDoc="0" distT="0" distB="0" distL="114935" distR="114935" simplePos="0" locked="0" layoutInCell="1" allowOverlap="1" relativeHeight="2" wp14:anchorId="1005CE7E">
                <wp:simplePos x="0" y="0"/>
                <wp:positionH relativeFrom="column">
                  <wp:posOffset>280670</wp:posOffset>
                </wp:positionH>
                <wp:positionV relativeFrom="paragraph">
                  <wp:posOffset>102870</wp:posOffset>
                </wp:positionV>
                <wp:extent cx="3535680" cy="1493520"/>
                <wp:effectExtent l="0" t="0" r="0" b="0"/>
                <wp:wrapTopAndBottom/>
                <wp:docPr id="2" name="Group 47"/>
                <a:graphic xmlns:a="http://schemas.openxmlformats.org/drawingml/2006/main">
                  <a:graphicData uri="http://schemas.microsoft.com/office/word/2010/wordprocessingGroup">
                    <wpg:wgp>
                      <wpg:cNvGrpSpPr/>
                      <wpg:grpSpPr>
                        <a:xfrm>
                          <a:off x="0" y="0"/>
                          <a:ext cx="3535200" cy="1492920"/>
                        </a:xfrm>
                      </wpg:grpSpPr>
                      <wps:wsp>
                        <wps:cNvSpPr/>
                        <wps:spPr>
                          <a:xfrm>
                            <a:off x="0" y="0"/>
                            <a:ext cx="20844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520" y="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0280" y="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60120" y="72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0" y="266040"/>
                            <a:ext cx="208800" cy="1796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266760"/>
                            <a:ext cx="2088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266760"/>
                            <a:ext cx="2088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60120" y="266760"/>
                            <a:ext cx="20952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54540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54540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54540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60840" y="54612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811440"/>
                            <a:ext cx="208800" cy="1670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7600" y="81216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720" y="81216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60840" y="81216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364840" y="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04320" y="720"/>
                            <a:ext cx="20844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98440" y="72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24960" y="72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64840" y="266760"/>
                            <a:ext cx="2088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04320" y="266760"/>
                            <a:ext cx="2088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98440" y="266760"/>
                            <a:ext cx="2088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25320" y="267480"/>
                            <a:ext cx="2088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64840" y="54540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05040" y="54612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98440" y="54612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25320" y="54612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65200" y="81216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05040" y="81216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98440" y="812160"/>
                            <a:ext cx="20952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26040" y="812880"/>
                            <a:ext cx="208800" cy="1663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93960" y="1219680"/>
                            <a:ext cx="1005120" cy="272880"/>
                          </a:xfrm>
                          <a:prstGeom prst="rect">
                            <a:avLst/>
                          </a:prstGeom>
                          <a:noFill/>
                          <a:ln>
                            <a:noFill/>
                          </a:ln>
                        </wps:spPr>
                        <wps:style>
                          <a:lnRef idx="0"/>
                          <a:fillRef idx="0"/>
                          <a:effectRef idx="0"/>
                          <a:fontRef idx="minor"/>
                        </wps:style>
                        <wps:txbx>
                          <w:txbxContent>
                            <w:p>
                              <w:pPr>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Liberation Sans;Arial" w:ascii="Liberation Sans;Arial" w:hAnsi="Liberation Sans;Arial"/>
                                  <w:color w:val="000000"/>
                                  <w:lang w:val="en-IN" w:bidi="hi-IN"/>
                                </w:rPr>
                                <w:t>a) 32 Ports</w:t>
                              </w:r>
                            </w:p>
                          </w:txbxContent>
                        </wps:txbx>
                        <wps:bodyPr lIns="90000" rIns="90000" tIns="45000" bIns="45000">
                          <a:noAutofit/>
                        </wps:bodyPr>
                      </wps:wsp>
                      <wps:wsp>
                        <wps:cNvSpPr/>
                        <wps:spPr>
                          <a:xfrm>
                            <a:off x="2491920" y="1219680"/>
                            <a:ext cx="1005840" cy="272880"/>
                          </a:xfrm>
                          <a:prstGeom prst="rect">
                            <a:avLst/>
                          </a:prstGeom>
                          <a:noFill/>
                          <a:ln>
                            <a:noFill/>
                          </a:ln>
                        </wps:spPr>
                        <wps:style>
                          <a:lnRef idx="0"/>
                          <a:fillRef idx="0"/>
                          <a:effectRef idx="0"/>
                          <a:fontRef idx="minor"/>
                        </wps:style>
                        <wps:txbx>
                          <w:txbxContent>
                            <w:p>
                              <w:pPr>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FreeSans;Calibri" w:ascii="Liberation Sans;Arial" w:hAnsi="Liberation Sans;Arial"/>
                                  <w:color w:val="000000"/>
                                  <w:lang w:val="en-IN" w:bidi="hi-IN"/>
                                </w:rPr>
                                <w:t>b) 16 Ports</w:t>
                              </w:r>
                            </w:p>
                          </w:txbxContent>
                        </wps:txbx>
                        <wps:bodyPr lIns="90000" rIns="90000" tIns="45000" bIns="45000">
                          <a:noAutofit/>
                        </wps:bodyPr>
                      </wps:wsp>
                    </wpg:wgp>
                  </a:graphicData>
                </a:graphic>
              </wp:anchor>
            </w:drawing>
          </mc:Choice>
          <mc:Fallback>
            <w:pict>
              <v:group id="shape_0" alt="Group 47" style="position:absolute;margin-left:22.1pt;margin-top:8.1pt;width:278.35pt;height:117.55pt" coordorigin="442,162" coordsize="5567,2351">
                <v:rect id="shape_0" stroked="f" style="position:absolute;left:590;top:2083;width:1582;height:429">
                  <v:textbox>
                    <w:txbxContent>
                      <w:p>
                        <w:pPr>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Liberation Sans;Arial" w:ascii="Liberation Sans;Arial" w:hAnsi="Liberation Sans;Arial"/>
                            <w:color w:val="000000"/>
                            <w:lang w:val="en-IN" w:bidi="hi-IN"/>
                          </w:rPr>
                          <w:t>a) 32 Ports</w:t>
                        </w:r>
                      </w:p>
                    </w:txbxContent>
                  </v:textbox>
                  <w10:wrap type="square"/>
                  <v:fill o:detectmouseclick="t" on="false"/>
                  <v:stroke color="#3465a4" joinstyle="round" endcap="flat"/>
                </v:rect>
                <v:rect id="shape_0" stroked="f" style="position:absolute;left:4366;top:2083;width:1583;height:429">
                  <v:textbox>
                    <w:txbxContent>
                      <w:p>
                        <w:pPr>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FreeSans;Calibri" w:ascii="Liberation Sans;Arial" w:hAnsi="Liberation Sans;Arial"/>
                            <w:color w:val="000000"/>
                            <w:lang w:val="en-IN" w:bidi="hi-IN"/>
                          </w:rPr>
                          <w:t>b) 16 Ports</w:t>
                        </w:r>
                      </w:p>
                    </w:txbxContent>
                  </v:textbox>
                  <w10:wrap type="square"/>
                  <v:fill o:detectmouseclick="t" on="false"/>
                  <v:stroke color="#3465a4" joinstyle="round" endcap="flat"/>
                </v:rect>
              </v:group>
            </w:pict>
          </mc:Fallback>
        </mc:AlternateContent>
        <mc:AlternateContent>
          <mc:Choice Requires="wpg">
            <w:drawing>
              <wp:anchor behindDoc="0" distT="0" distB="0" distL="0" distR="0" simplePos="0" locked="0" layoutInCell="1" allowOverlap="1" relativeHeight="3" wp14:anchorId="37C7CB9A">
                <wp:simplePos x="0" y="0"/>
                <wp:positionH relativeFrom="column">
                  <wp:posOffset>4258945</wp:posOffset>
                </wp:positionH>
                <wp:positionV relativeFrom="paragraph">
                  <wp:posOffset>329565</wp:posOffset>
                </wp:positionV>
                <wp:extent cx="1760220" cy="527685"/>
                <wp:effectExtent l="0" t="0" r="0" b="0"/>
                <wp:wrapNone/>
                <wp:docPr id="3" name="Group 42"/>
                <a:graphic xmlns:a="http://schemas.openxmlformats.org/drawingml/2006/main">
                  <a:graphicData uri="http://schemas.microsoft.com/office/word/2010/wordprocessingGroup">
                    <wpg:wgp>
                      <wpg:cNvGrpSpPr/>
                      <wpg:grpSpPr>
                        <a:xfrm>
                          <a:off x="0" y="0"/>
                          <a:ext cx="1759680" cy="527040"/>
                        </a:xfrm>
                      </wpg:grpSpPr>
                      <wps:wsp>
                        <wps:cNvSpPr/>
                        <wps:spPr>
                          <a:xfrm>
                            <a:off x="257040" y="0"/>
                            <a:ext cx="1399680" cy="310680"/>
                          </a:xfrm>
                          <a:prstGeom prst="rect">
                            <a:avLst/>
                          </a:prstGeom>
                          <a:noFill/>
                          <a:ln>
                            <a:noFill/>
                          </a:ln>
                        </wps:spPr>
                        <wps:style>
                          <a:lnRef idx="0"/>
                          <a:fillRef idx="0"/>
                          <a:effectRef idx="0"/>
                          <a:fontRef idx="minor"/>
                        </wps:style>
                        <wps:txbx>
                          <w:txbxContent>
                            <w:p>
                              <w:pPr>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0"/>
                                  <w:lang w:val="en-IN" w:bidi="hi-IN"/>
                                </w:rPr>
                                <w:t>Active antenna elements</w:t>
                              </w:r>
                            </w:p>
                          </w:txbxContent>
                        </wps:txbx>
                        <wps:bodyPr lIns="90000" rIns="90000" tIns="45000" bIns="45000">
                          <a:noAutofit/>
                        </wps:bodyPr>
                      </wps:wsp>
                      <wps:wsp>
                        <wps:cNvSpPr/>
                        <wps:spPr>
                          <a:xfrm>
                            <a:off x="256680" y="216360"/>
                            <a:ext cx="1503000" cy="310680"/>
                          </a:xfrm>
                          <a:prstGeom prst="rect">
                            <a:avLst/>
                          </a:prstGeom>
                          <a:noFill/>
                          <a:ln>
                            <a:noFill/>
                          </a:ln>
                        </wps:spPr>
                        <wps:style>
                          <a:lnRef idx="0"/>
                          <a:fillRef idx="0"/>
                          <a:effectRef idx="0"/>
                          <a:fontRef idx="minor"/>
                        </wps:style>
                        <wps:txbx>
                          <w:txbxContent>
                            <w:p>
                              <w:pPr>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0"/>
                                  <w:lang w:val="en-IN" w:bidi="hi-IN"/>
                                </w:rPr>
                                <w:t>De-active Antenna elements</w:t>
                              </w:r>
                            </w:p>
                          </w:txbxContent>
                        </wps:txbx>
                        <wps:bodyPr lIns="90000" rIns="90000" tIns="45000" bIns="45000">
                          <a:noAutofit/>
                        </wps:bodyPr>
                      </wps:wsp>
                      <wps:wsp>
                        <wps:cNvSpPr/>
                        <wps:spPr>
                          <a:xfrm>
                            <a:off x="0" y="37440"/>
                            <a:ext cx="102240" cy="1105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17280" y="237960"/>
                            <a:ext cx="102960" cy="108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g:wgp>
                  </a:graphicData>
                </a:graphic>
              </wp:anchor>
            </w:drawing>
          </mc:Choice>
          <mc:Fallback>
            <w:pict>
              <v:group id="shape_0" alt="Group 42" style="position:absolute;margin-left:335.35pt;margin-top:25.95pt;width:138.55pt;height:41.5pt" coordorigin="6707,519" coordsize="2771,830">
                <v:rect id="shape_0" stroked="f" style="position:absolute;left:7112;top:519;width:2203;height:488">
                  <v:textbox>
                    <w:txbxContent>
                      <w:p>
                        <w:pPr>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0"/>
                            <w:lang w:val="en-IN" w:bidi="hi-IN"/>
                          </w:rPr>
                          <w:t>Active antenna elements</w:t>
                        </w:r>
                      </w:p>
                    </w:txbxContent>
                  </v:textbox>
                  <w10:wrap type="square"/>
                  <v:fill o:detectmouseclick="t" on="false"/>
                  <v:stroke color="#3465a4" joinstyle="round" endcap="flat"/>
                </v:rect>
                <v:rect id="shape_0" stroked="f" style="position:absolute;left:7111;top:859;width:2366;height:488">
                  <v:textbox>
                    <w:txbxContent>
                      <w:p>
                        <w:pPr>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0"/>
                            <w:lang w:val="en-IN" w:bidi="hi-IN"/>
                          </w:rPr>
                          <w:t>De-active Antenna elements</w:t>
                        </w:r>
                      </w:p>
                    </w:txbxContent>
                  </v:textbox>
                  <w10:wrap type="square"/>
                  <v:fill o:detectmouseclick="t" on="false"/>
                  <v:stroke color="#3465a4" joinstyle="round" endcap="flat"/>
                </v:rect>
              </v:group>
            </w:pict>
          </mc:Fallback>
        </mc:AlternateContent>
      </w:r>
      <w:r>
        <w:rPr/>
        <w:t>Fig. 2: Antenna panel with 32 and 16 ports in (a) and (b) respectively</w:t>
      </w:r>
    </w:p>
    <w:p>
      <w:pPr>
        <w:pStyle w:val="Normal"/>
        <w:rPr/>
      </w:pPr>
      <w:r>
        <w:rPr/>
      </w:r>
    </w:p>
    <w:p>
      <w:pPr>
        <w:pStyle w:val="Normal"/>
        <w:rPr/>
      </w:pPr>
      <w:r>
        <w:rPr>
          <w:b/>
          <w:bCs/>
          <w:iCs/>
        </w:rPr>
        <w:t>Proposal 7:</w:t>
      </w:r>
      <w:r>
        <w:rPr>
          <w:iCs/>
        </w:rPr>
        <w:t xml:space="preserve"> gNB dynamically adapting the logical ports for NES is supported.</w:t>
      </w:r>
    </w:p>
    <w:p>
      <w:pPr>
        <w:pStyle w:val="Normal"/>
        <w:rPr/>
      </w:pPr>
      <w:r>
        <w:rPr>
          <w:b/>
          <w:bCs/>
          <w:iCs/>
        </w:rPr>
        <w:t>Proposal 8:</w:t>
      </w:r>
      <w:r>
        <w:rPr>
          <w:iCs/>
        </w:rPr>
        <w:t xml:space="preserve"> gNB dynamically signaling information about ports adaptation to the UE is supported.</w:t>
      </w:r>
    </w:p>
    <w:p>
      <w:pPr>
        <w:pStyle w:val="Normal"/>
        <w:rPr>
          <w:iCs/>
        </w:rPr>
      </w:pPr>
      <w:r>
        <w:rPr>
          <w:iCs/>
        </w:rPr>
      </w:r>
    </w:p>
    <w:p>
      <w:pPr>
        <w:pStyle w:val="Heading2"/>
        <w:numPr>
          <w:ilvl w:val="1"/>
          <w:numId w:val="12"/>
        </w:numPr>
        <w:rPr/>
      </w:pPr>
      <w:r>
        <w:rPr>
          <w:iCs/>
          <w:sz w:val="22"/>
        </w:rPr>
        <w:t>Power domain techniques</w:t>
      </w:r>
    </w:p>
    <w:p>
      <w:pPr>
        <w:pStyle w:val="Normal"/>
        <w:spacing w:before="0" w:after="0"/>
        <w:rPr/>
      </w:pPr>
      <w:r>
        <w:rPr>
          <w:rFonts w:eastAsia="Malgun Gothic"/>
          <w:bCs/>
        </w:rPr>
        <w:t>Following agreement was made in RAN1#109-e[2] on power domain techniques for network energy saving</w:t>
      </w:r>
    </w:p>
    <w:p>
      <w:pPr>
        <w:pStyle w:val="Normal"/>
        <w:spacing w:before="0" w:after="0"/>
        <w:rPr>
          <w:rFonts w:eastAsia="Malgun Gothic"/>
          <w:bCs/>
        </w:rPr>
      </w:pPr>
      <w:r>
        <w:rPr>
          <w:rFonts w:eastAsia="Malgun Gothic"/>
          <w:bCs/>
        </w:rPr>
      </w:r>
    </w:p>
    <w:tbl>
      <w:tblPr>
        <w:tblStyle w:val="TableGrid"/>
        <w:tblW w:w="9304" w:type="dxa"/>
        <w:jc w:val="left"/>
        <w:tblInd w:w="108" w:type="dxa"/>
        <w:tblCellMar>
          <w:top w:w="0" w:type="dxa"/>
          <w:left w:w="108" w:type="dxa"/>
          <w:bottom w:w="0" w:type="dxa"/>
          <w:right w:w="108" w:type="dxa"/>
        </w:tblCellMar>
        <w:tblLook w:val="04a0" w:noHBand="0" w:noVBand="1" w:firstColumn="1" w:lastRow="0" w:lastColumn="0" w:firstRow="1"/>
      </w:tblPr>
      <w:tblGrid>
        <w:gridCol w:w="9304"/>
      </w:tblGrid>
      <w:tr>
        <w:trPr/>
        <w:tc>
          <w:tcPr>
            <w:tcW w:w="9304" w:type="dxa"/>
            <w:tcBorders/>
          </w:tcPr>
          <w:p>
            <w:pPr>
              <w:pStyle w:val="Normal"/>
              <w:rPr>
                <w:highlight w:val="darkYellow"/>
              </w:rPr>
            </w:pPr>
            <w:r>
              <w:rPr>
                <w:rFonts w:eastAsia="Malgun Gothic"/>
                <w:b/>
                <w:highlight w:val="darkYellow"/>
              </w:rPr>
              <w:t>Agreement</w:t>
            </w:r>
          </w:p>
          <w:p>
            <w:pPr>
              <w:pStyle w:val="TextBody"/>
              <w:spacing w:before="0" w:after="0"/>
              <w:rPr/>
            </w:pPr>
            <w:r>
              <w:rPr>
                <w:sz w:val="22"/>
                <w:szCs w:val="22"/>
              </w:rPr>
              <w:t>Further study the necessity of RAN1 change for</w:t>
            </w:r>
            <w:r>
              <w:rPr>
                <w:rFonts w:eastAsia="DengXian;SimSun"/>
                <w:sz w:val="22"/>
                <w:szCs w:val="22"/>
              </w:rPr>
              <w:t xml:space="preserve"> </w:t>
            </w:r>
            <w:r>
              <w:rPr>
                <w:sz w:val="22"/>
                <w:szCs w:val="22"/>
              </w:rPr>
              <w:t>techniques and enhancements for adaptation of transmission power/processing and/or reception processing of signals/channels by the gNB, including (but not limited to) the following aspects:</w:t>
            </w:r>
          </w:p>
          <w:p>
            <w:pPr>
              <w:pStyle w:val="TextBody"/>
              <w:numPr>
                <w:ilvl w:val="0"/>
                <w:numId w:val="7"/>
              </w:numPr>
              <w:spacing w:before="0" w:after="0"/>
              <w:rPr/>
            </w:pPr>
            <w:r>
              <w:rPr>
                <w:sz w:val="22"/>
                <w:szCs w:val="22"/>
              </w:rPr>
              <w:t>dynamic adjustment of transmission power</w:t>
            </w:r>
          </w:p>
          <w:p>
            <w:pPr>
              <w:pStyle w:val="TextBody"/>
              <w:numPr>
                <w:ilvl w:val="1"/>
                <w:numId w:val="5"/>
              </w:numPr>
              <w:spacing w:before="0" w:after="0"/>
              <w:rPr/>
            </w:pPr>
            <w:r>
              <w:rPr>
                <w:sz w:val="22"/>
                <w:szCs w:val="22"/>
              </w:rPr>
              <w:t>including which signals/channels the adaptation of transmission power should be applicable for. For example, dynamic DL power control for specific channel / reference signal, such as CSI-RS, adjustment of maximum PSD assigned to PRBs of PDSCH, etc.</w:t>
            </w:r>
          </w:p>
          <w:p>
            <w:pPr>
              <w:pStyle w:val="TextBody"/>
              <w:numPr>
                <w:ilvl w:val="1"/>
                <w:numId w:val="5"/>
              </w:numPr>
              <w:spacing w:before="0" w:after="0"/>
              <w:rPr/>
            </w:pPr>
            <w:r>
              <w:rPr>
                <w:sz w:val="22"/>
                <w:szCs w:val="22"/>
              </w:rPr>
              <w:t>studying potential UE feedback/assistance information for adjustment of transmission power</w:t>
            </w:r>
          </w:p>
          <w:p>
            <w:pPr>
              <w:pStyle w:val="TextBody"/>
              <w:numPr>
                <w:ilvl w:val="1"/>
                <w:numId w:val="5"/>
              </w:numPr>
              <w:spacing w:before="0" w:after="0"/>
              <w:rPr/>
            </w:pPr>
            <w:r>
              <w:rPr>
                <w:sz w:val="22"/>
                <w:szCs w:val="22"/>
              </w:rPr>
              <w:t>studying PA efficiency improvements to maintain transmission quality (e.g., EVM) when operating at higher efficiency, potentially with RAN4 involvement</w:t>
            </w:r>
          </w:p>
          <w:p>
            <w:pPr>
              <w:pStyle w:val="TextBody"/>
              <w:numPr>
                <w:ilvl w:val="1"/>
                <w:numId w:val="5"/>
              </w:numPr>
              <w:spacing w:before="0" w:after="0"/>
              <w:rPr/>
            </w:pPr>
            <w:r>
              <w:rPr>
                <w:sz w:val="22"/>
                <w:szCs w:val="22"/>
              </w:rPr>
              <w:t>studying geographical area/user density to adjust the transmission power</w:t>
            </w:r>
          </w:p>
          <w:p>
            <w:pPr>
              <w:pStyle w:val="TextBody"/>
              <w:numPr>
                <w:ilvl w:val="0"/>
                <w:numId w:val="7"/>
              </w:numPr>
              <w:spacing w:before="0" w:after="0"/>
              <w:rPr/>
            </w:pPr>
            <w:r>
              <w:rPr>
                <w:sz w:val="22"/>
                <w:szCs w:val="22"/>
              </w:rPr>
              <w:t xml:space="preserve">adaptation of gNB transceiver algorithms and processes to improve power efficiency: </w:t>
            </w:r>
          </w:p>
          <w:p>
            <w:pPr>
              <w:pStyle w:val="TextBody"/>
              <w:numPr>
                <w:ilvl w:val="1"/>
                <w:numId w:val="5"/>
              </w:numPr>
              <w:spacing w:before="0" w:after="0"/>
              <w:rPr/>
            </w:pPr>
            <w:r>
              <w:rPr>
                <w:sz w:val="22"/>
                <w:szCs w:val="22"/>
              </w:rPr>
              <w:t>including techniques aided by UE, e.g., utilizing legacy or enhanced feedback mechanism;</w:t>
            </w:r>
          </w:p>
          <w:p>
            <w:pPr>
              <w:pStyle w:val="TextBody"/>
              <w:numPr>
                <w:ilvl w:val="1"/>
                <w:numId w:val="5"/>
              </w:numPr>
              <w:spacing w:before="0" w:after="0"/>
              <w:rPr/>
            </w:pPr>
            <w:r>
              <w:rPr>
                <w:sz w:val="22"/>
                <w:szCs w:val="22"/>
              </w:rPr>
              <w:t>for example, adaptation of digital pre-distortion (DPD), use of digital post distortion (for improving power efficiency) by the UE, adaptation to transceiver filtering operation</w:t>
            </w:r>
          </w:p>
          <w:p>
            <w:pPr>
              <w:pStyle w:val="TextBody"/>
              <w:numPr>
                <w:ilvl w:val="1"/>
                <w:numId w:val="5"/>
              </w:numPr>
              <w:spacing w:before="0" w:after="0"/>
              <w:rPr/>
            </w:pPr>
            <w:r>
              <w:rPr>
                <w:sz w:val="22"/>
                <w:szCs w:val="22"/>
              </w:rPr>
              <w:t>impact to UE implementation and power consumption should be considered</w:t>
            </w:r>
          </w:p>
          <w:p>
            <w:pPr>
              <w:pStyle w:val="TextBody"/>
              <w:numPr>
                <w:ilvl w:val="0"/>
                <w:numId w:val="7"/>
              </w:numPr>
              <w:spacing w:before="0" w:after="0"/>
              <w:rPr/>
            </w:pPr>
            <w:r>
              <w:rPr>
                <w:sz w:val="22"/>
                <w:szCs w:val="22"/>
              </w:rPr>
              <w:t>tone reservation techniques (to improve PAPR and power efficiency);</w:t>
            </w:r>
          </w:p>
          <w:p>
            <w:pPr>
              <w:pStyle w:val="TextBody"/>
              <w:numPr>
                <w:ilvl w:val="1"/>
                <w:numId w:val="5"/>
              </w:numPr>
              <w:spacing w:before="0" w:after="0"/>
              <w:rPr/>
            </w:pPr>
            <w:r>
              <w:rPr>
                <w:sz w:val="22"/>
                <w:szCs w:val="22"/>
              </w:rPr>
              <w:t>It is noted that tone reservation techniques for UE will be studied in Rel-18 further NR coverage enhancement WI, as indicated in RP-213579</w:t>
            </w:r>
          </w:p>
        </w:tc>
      </w:tr>
    </w:tbl>
    <w:p>
      <w:pPr>
        <w:pStyle w:val="Normal"/>
        <w:rPr>
          <w:rFonts w:eastAsia="Malgun Gothic"/>
          <w:b/>
          <w:b/>
        </w:rPr>
      </w:pPr>
      <w:r>
        <w:rPr>
          <w:rFonts w:eastAsia="Malgun Gothic"/>
          <w:b/>
        </w:rPr>
      </w:r>
    </w:p>
    <w:p>
      <w:pPr>
        <w:pStyle w:val="Normal"/>
        <w:rPr/>
      </w:pPr>
      <w:r>
        <w:rPr>
          <w:rStyle w:val="Annotationreference"/>
          <w:rFonts w:eastAsia="Wingdings"/>
          <w:sz w:val="22"/>
          <w:szCs w:val="22"/>
        </w:rPr>
        <w:t>In NR, the EPRE of downlink signals and channels is derived from the downlink transmit power provided by higher layers to the UE. The EPRE is same across all the resource elements and bandwidth of the signal/channel. The semi static updation of the downlink transmit power which is provided to the UE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The adaptation should take into account the dynamic variations like variable channel condition, UE density, traffic arrival rate, etc. to achieve an optimized transmission power. The dynamic adjustment of DL power can also be made specific to a set of resources such as slot, sub band etc. The DL transmission power for each set of resources will vary since the channel conditions will vary for each set of resources. Users allotted with these resource will face dynamic adjustment in DL power and a corresponding indication is provided by the BS to consider the variance in power for configured measurements at the UE. Some assistance information from the UE, e.g., location information, helps in the dynamic adaptation of DL power at gNB.</w:t>
      </w:r>
    </w:p>
    <w:p>
      <w:pPr>
        <w:pStyle w:val="Normal"/>
        <w:jc w:val="left"/>
        <w:rPr/>
      </w:pPr>
      <w:r>
        <w:rPr>
          <w:rStyle w:val="Annotationreference"/>
          <w:rFonts w:eastAsia="Wingdings"/>
          <w:b/>
          <w:bCs/>
          <w:iCs/>
          <w:sz w:val="22"/>
          <w:szCs w:val="22"/>
        </w:rPr>
        <w:t>Proposal 9:</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jc w:val="left"/>
        <w:rPr>
          <w:rFonts w:eastAsia="Wingdings"/>
          <w:iCs/>
          <w:sz w:val="22"/>
          <w:szCs w:val="22"/>
        </w:rPr>
      </w:pPr>
      <w:r>
        <w:rPr>
          <w:rFonts w:eastAsia="Wingdings"/>
          <w:iCs/>
          <w:sz w:val="22"/>
          <w:szCs w:val="22"/>
        </w:rPr>
      </w:r>
    </w:p>
    <w:p>
      <w:pPr>
        <w:pStyle w:val="Heading1"/>
        <w:numPr>
          <w:ilvl w:val="0"/>
          <w:numId w:val="12"/>
        </w:numPr>
        <w:rPr/>
      </w:pPr>
      <w:r>
        <w:rPr>
          <w:rFonts w:eastAsia="Wingdings"/>
          <w:sz w:val="22"/>
          <w:szCs w:val="22"/>
        </w:rPr>
        <w:t>Conclusion</w:t>
      </w:r>
    </w:p>
    <w:p>
      <w:pPr>
        <w:pStyle w:val="Normal"/>
        <w:rPr/>
      </w:pPr>
      <w:r>
        <w:rPr>
          <w:rFonts w:eastAsia="Wingdings"/>
          <w:lang w:val="en-GB"/>
        </w:rPr>
        <w:t xml:space="preserve">In this contribution, we discussed the techniques required for NES. According to the technical analysis, the following proposals are made, </w:t>
      </w:r>
    </w:p>
    <w:p>
      <w:pPr>
        <w:pStyle w:val="Normal"/>
        <w:rPr/>
      </w:pPr>
      <w:r>
        <w:rPr>
          <w:b/>
          <w:bCs/>
        </w:rPr>
        <w:t>Observation 1:</w:t>
      </w:r>
      <w:r>
        <w:rPr/>
        <w:t xml:space="preserve"> Mandatory set operations consume energy at the gNB irrespective of the load.</w:t>
      </w:r>
    </w:p>
    <w:p>
      <w:pPr>
        <w:pStyle w:val="Normal"/>
        <w:rPr/>
      </w:pPr>
      <w:r>
        <w:rPr>
          <w:b/>
          <w:bCs/>
        </w:rPr>
        <w:t>Observation 2:</w:t>
      </w:r>
      <w:r>
        <w:rPr/>
        <w:t xml:space="preserve"> Use of lighter version of SSB provides 31.32% savings in urban macro scenario and </w:t>
      </w:r>
      <w:r>
        <w:rPr>
          <w:color w:val="000000"/>
        </w:rPr>
        <w:t>29.08</w:t>
      </w:r>
      <w:r>
        <w:rPr/>
        <w:t>% saving in rural macro scenario.</w:t>
      </w:r>
    </w:p>
    <w:p>
      <w:pPr>
        <w:pStyle w:val="Normal"/>
        <w:jc w:val="left"/>
        <w:rPr/>
      </w:pPr>
      <w:r>
        <w:rPr>
          <w:rFonts w:eastAsia="Wingdings"/>
          <w:b/>
          <w:bCs/>
          <w:iCs/>
        </w:rPr>
        <w:t xml:space="preserve">Proposal 1: </w:t>
      </w:r>
      <w:r>
        <w:rPr>
          <w:rFonts w:eastAsia="Wingdings"/>
          <w:b w:val="false"/>
          <w:bCs w:val="false"/>
          <w:iCs/>
        </w:rPr>
        <w:t>For energy saving, use of light versions of SSB at the gNB is supported.</w:t>
      </w:r>
    </w:p>
    <w:p>
      <w:pPr>
        <w:pStyle w:val="Normal"/>
        <w:jc w:val="left"/>
        <w:rPr/>
      </w:pPr>
      <w:r>
        <w:rPr>
          <w:rFonts w:eastAsia="Wingdings"/>
          <w:b/>
          <w:bCs/>
          <w:iCs/>
        </w:rPr>
        <w:t>Proposal 2:</w:t>
      </w:r>
      <w:r>
        <w:rPr>
          <w:rFonts w:eastAsia="Wingdings"/>
          <w:iCs/>
        </w:rPr>
        <w:t xml:space="preserve"> Adaptation of SSB periodicity at beam level is supported.</w:t>
      </w:r>
    </w:p>
    <w:p>
      <w:pPr>
        <w:pStyle w:val="Normal"/>
        <w:spacing w:before="57" w:after="120"/>
        <w:jc w:val="left"/>
        <w:rPr/>
      </w:pPr>
      <w:r>
        <w:rPr>
          <w:rFonts w:eastAsia="Wingdings"/>
          <w:b/>
          <w:bCs/>
          <w:iCs/>
        </w:rPr>
        <w:t>Proposal 3:</w:t>
      </w:r>
      <w:r>
        <w:rPr>
          <w:rFonts w:eastAsia="Wingdings"/>
          <w:iCs/>
        </w:rPr>
        <w:t xml:space="preserve"> Avoiding CORESET 0 and optimizing the scheduling of SIB1 is supported.</w:t>
      </w:r>
    </w:p>
    <w:p>
      <w:pPr>
        <w:pStyle w:val="PreformattedText"/>
        <w:jc w:val="left"/>
        <w:rPr/>
      </w:pPr>
      <w:r>
        <w:rPr>
          <w:b/>
          <w:bCs/>
          <w:iCs/>
        </w:rPr>
        <w:t xml:space="preserve">Observation 3: </w:t>
      </w:r>
      <w:r>
        <w:rPr>
          <w:iCs/>
        </w:rPr>
        <w:t xml:space="preserve">Sleep states in symbol level needs fast transition between different states, which is difficult to achieve and may not provide </w:t>
      </w:r>
      <w:r>
        <w:rPr>
          <w:rFonts w:eastAsia="SimSun;宋体" w:cs="Times New Roman"/>
          <w:iCs/>
          <w:color w:val="00000A"/>
          <w:kern w:val="0"/>
          <w:sz w:val="22"/>
          <w:szCs w:val="22"/>
          <w:lang w:val="en-US" w:eastAsia="zh-CN" w:bidi="ar-SA"/>
        </w:rPr>
        <w:t>a</w:t>
      </w:r>
      <w:r>
        <w:rPr>
          <w:iCs/>
        </w:rPr>
        <w:t xml:space="preserve"> significant energy saving gain.</w:t>
      </w:r>
    </w:p>
    <w:p>
      <w:pPr>
        <w:pStyle w:val="PreformattedText"/>
        <w:jc w:val="left"/>
        <w:rPr/>
      </w:pPr>
      <w:r>
        <w:rPr>
          <w:rFonts w:eastAsia="Malgun Gothic"/>
          <w:b/>
          <w:bCs/>
          <w:iCs/>
        </w:rPr>
        <w:t>Proposal 4:</w:t>
      </w:r>
      <w:r>
        <w:rPr>
          <w:rFonts w:eastAsia="Malgun Gothic"/>
          <w:iCs/>
        </w:rPr>
        <w:t xml:space="preserve"> Sleep states for gNB in frame, subframe and slot level is supported.</w:t>
      </w:r>
    </w:p>
    <w:p>
      <w:pPr>
        <w:pStyle w:val="PreformattedText"/>
        <w:jc w:val="left"/>
        <w:rPr/>
      </w:pPr>
      <w:r>
        <w:rPr>
          <w:rFonts w:eastAsia="Malgun Gothic"/>
          <w:b/>
          <w:bCs/>
        </w:rPr>
        <w:t>Observation 4:</w:t>
      </w:r>
      <w:r>
        <w:rPr>
          <w:rFonts w:eastAsia="Malgun Gothic"/>
        </w:rPr>
        <w:t xml:space="preserve"> The adaptation of sleep states at gNB will have an impact on the legacy operations at UE.</w:t>
      </w:r>
    </w:p>
    <w:p>
      <w:pPr>
        <w:pStyle w:val="PreformattedText"/>
        <w:shd w:val="clear" w:color="auto" w:fill="FFFFFF"/>
        <w:spacing w:before="57" w:after="177"/>
        <w:rPr/>
      </w:pPr>
      <w:r>
        <w:rPr>
          <w:rFonts w:eastAsia="Malgun Gothic"/>
          <w:b/>
          <w:bCs/>
          <w:iCs/>
        </w:rPr>
        <w:t>Proposal 5:</w:t>
      </w:r>
      <w:r>
        <w:rPr>
          <w:rFonts w:eastAsia="Malgun Gothic"/>
          <w:iCs/>
        </w:rPr>
        <w:t xml:space="preserve"> S</w:t>
      </w:r>
      <w:r>
        <w:rPr>
          <w:rFonts w:eastAsia="Malgun Gothic"/>
        </w:rPr>
        <w:t>ignaling information about sleep state, in terms of starting time and duration, to connected UE is supported.</w:t>
      </w:r>
    </w:p>
    <w:p>
      <w:pPr>
        <w:pStyle w:val="PreformattedText"/>
        <w:spacing w:before="57" w:after="177"/>
        <w:jc w:val="left"/>
        <w:rPr/>
      </w:pPr>
      <w:r>
        <w:rPr>
          <w:b/>
          <w:bCs/>
        </w:rPr>
        <w:t>Observation 5:</w:t>
      </w:r>
      <w:r>
        <w:rPr/>
        <w:t xml:space="preserve"> Dynamic adaptation of bandwidth causes deactivation of certain frequency resources assigned to a UE that leads to conflicts, unnecessary transmissions and needless monitoring.</w:t>
      </w:r>
    </w:p>
    <w:p>
      <w:pPr>
        <w:pStyle w:val="Normal"/>
        <w:spacing w:before="114" w:after="234"/>
        <w:rPr/>
      </w:pPr>
      <w:r>
        <w:rPr>
          <w:b/>
          <w:bCs/>
        </w:rPr>
        <w:t xml:space="preserve">Proposal 6: </w:t>
      </w:r>
      <w:r>
        <w:rPr/>
        <w:t>gNB signaling information about dynamic adaptation of BW to the active UEs is supported.</w:t>
      </w:r>
    </w:p>
    <w:p>
      <w:pPr>
        <w:pStyle w:val="Normal"/>
        <w:spacing w:before="57" w:after="177"/>
        <w:jc w:val="left"/>
        <w:rPr/>
      </w:pPr>
      <w:r>
        <w:rPr>
          <w:b/>
          <w:bCs/>
          <w:iCs/>
        </w:rPr>
        <w:t>Proposal 7:</w:t>
      </w:r>
      <w:r>
        <w:rPr>
          <w:iCs/>
        </w:rPr>
        <w:t xml:space="preserve"> gNB dynamically adapting the logical ports for NES is supported.</w:t>
      </w:r>
    </w:p>
    <w:p>
      <w:pPr>
        <w:pStyle w:val="Normal"/>
        <w:spacing w:before="57" w:after="177"/>
        <w:jc w:val="left"/>
        <w:rPr/>
      </w:pPr>
      <w:r>
        <w:rPr>
          <w:b/>
          <w:bCs/>
          <w:iCs/>
        </w:rPr>
        <w:t>Proposal 8:</w:t>
      </w:r>
      <w:r>
        <w:rPr>
          <w:iCs/>
        </w:rPr>
        <w:t xml:space="preserve"> gNB dynamically signaling information about ports adaptation to the UE is supported.</w:t>
      </w:r>
    </w:p>
    <w:p>
      <w:pPr>
        <w:pStyle w:val="Normal"/>
        <w:jc w:val="left"/>
        <w:rPr/>
      </w:pPr>
      <w:r>
        <w:rPr>
          <w:rStyle w:val="Annotationreference"/>
          <w:rFonts w:eastAsia="Wingdings"/>
          <w:b/>
          <w:bCs/>
          <w:iCs/>
          <w:sz w:val="22"/>
          <w:szCs w:val="22"/>
        </w:rPr>
        <w:t>Proposal 9:</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jc w:val="left"/>
        <w:rPr>
          <w:rFonts w:eastAsia="Wingdings"/>
          <w:iCs/>
        </w:rPr>
      </w:pPr>
      <w:r>
        <w:rPr>
          <w:rFonts w:eastAsia="Wingdings"/>
          <w:iCs/>
        </w:rPr>
      </w:r>
    </w:p>
    <w:p>
      <w:pPr>
        <w:pStyle w:val="Heading1"/>
        <w:numPr>
          <w:ilvl w:val="0"/>
          <w:numId w:val="12"/>
        </w:numPr>
        <w:rPr/>
      </w:pPr>
      <w:bookmarkStart w:id="4" w:name="_Ref124671424"/>
      <w:bookmarkStart w:id="5" w:name="_Ref124589665"/>
      <w:bookmarkStart w:id="6" w:name="_Ref71620620"/>
      <w:bookmarkEnd w:id="4"/>
      <w:bookmarkEnd w:id="5"/>
      <w:bookmarkEnd w:id="6"/>
      <w:r>
        <w:rPr>
          <w:rFonts w:eastAsia="Wingdings"/>
          <w:sz w:val="22"/>
          <w:szCs w:val="22"/>
        </w:rPr>
        <w:t>References</w:t>
      </w:r>
    </w:p>
    <w:p>
      <w:pPr>
        <w:pStyle w:val="References"/>
        <w:numPr>
          <w:ilvl w:val="0"/>
          <w:numId w:val="4"/>
        </w:numPr>
        <w:rPr/>
      </w:pPr>
      <w:bookmarkStart w:id="7" w:name="_Ref446582201"/>
      <w:bookmarkStart w:id="8" w:name="_Ref485833320"/>
      <w:bookmarkStart w:id="9" w:name="_Ref1246714241"/>
      <w:bookmarkStart w:id="10" w:name="_Ref1245896651"/>
      <w:bookmarkStart w:id="11" w:name="_Ref716206201"/>
      <w:bookmarkEnd w:id="9"/>
      <w:bookmarkEnd w:id="10"/>
      <w:bookmarkEnd w:id="11"/>
      <w:r>
        <w:rPr>
          <w:rFonts w:eastAsia="Wingdings"/>
          <w:sz w:val="22"/>
          <w:szCs w:val="22"/>
          <w:lang w:eastAsia="ko-KR"/>
        </w:rPr>
        <w:t xml:space="preserve">RP-213554, </w:t>
      </w:r>
      <w:bookmarkEnd w:id="2"/>
      <w:bookmarkEnd w:id="7"/>
      <w:bookmarkEnd w:id="8"/>
      <w:r>
        <w:rPr>
          <w:bCs/>
          <w:sz w:val="22"/>
          <w:szCs w:val="22"/>
          <w:lang w:val="en-GB"/>
        </w:rPr>
        <w:t>New SI: Study on network energy savings for NR, RAN#94-e, Dec. 2021</w:t>
      </w:r>
    </w:p>
    <w:p>
      <w:pPr>
        <w:pStyle w:val="References"/>
        <w:numPr>
          <w:ilvl w:val="0"/>
          <w:numId w:val="4"/>
        </w:numPr>
        <w:spacing w:before="0" w:after="60"/>
        <w:rPr/>
      </w:pPr>
      <w:r>
        <w:rPr>
          <w:sz w:val="22"/>
          <w:szCs w:val="22"/>
        </w:rPr>
        <w:t>“</w:t>
      </w:r>
      <w:r>
        <w:rPr>
          <w:sz w:val="22"/>
          <w:szCs w:val="22"/>
        </w:rPr>
        <w:t>Chairman’s notes RAN1 #109-e”, 9</w:t>
      </w:r>
      <w:r>
        <w:rPr>
          <w:sz w:val="22"/>
          <w:szCs w:val="22"/>
          <w:vertAlign w:val="superscript"/>
        </w:rPr>
        <w:t>th</w:t>
      </w:r>
      <w:r>
        <w:rPr>
          <w:sz w:val="22"/>
          <w:szCs w:val="22"/>
        </w:rPr>
        <w:t xml:space="preserve"> – 20</w:t>
      </w:r>
      <w:r>
        <w:rPr>
          <w:sz w:val="22"/>
          <w:szCs w:val="22"/>
          <w:vertAlign w:val="superscript"/>
        </w:rPr>
        <w:t>th</w:t>
      </w:r>
      <w:r>
        <w:rPr>
          <w:sz w:val="22"/>
          <w:szCs w:val="22"/>
        </w:rPr>
        <w:t xml:space="preserve"> May 2022.</w:t>
      </w:r>
    </w:p>
    <w:sectPr>
      <w:type w:val="nextPage"/>
      <w:pgSz w:w="11906" w:h="16838"/>
      <w:pgMar w:left="1440" w:right="1152"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ymbol">
    <w:charset w:val="01"/>
    <w:family w:val="roman"/>
    <w:pitch w:val="variable"/>
  </w:font>
  <w:font w:name="Wingdings">
    <w:charset w:val="01"/>
    <w:family w:val="roman"/>
    <w:pitch w:val="variable"/>
  </w:font>
  <w:font w:name="Tahoma">
    <w:charset w:val="01"/>
    <w:family w:val="roman"/>
    <w:pitch w:val="variable"/>
  </w:font>
  <w:font w:name="Courier New">
    <w:charset w:val="01"/>
    <w:family w:val="roman"/>
    <w:pitch w:val="variable"/>
  </w:font>
  <w:font w:name="SimSun">
    <w:altName w:val="宋体"/>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Liberation Sans">
    <w:altName w:val="Arial"/>
    <w:charset w:val="01"/>
    <w:family w:val="auto"/>
    <w:pitch w:val="default"/>
  </w:font>
  <w:font w:name="Times">
    <w:altName w:val="Times New Roman"/>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sz w:val="22"/>
        <w:i w:val="false"/>
        <w:lang w:val="en-US"/>
      </w:rPr>
    </w:lvl>
    <w:lvl w:ilvl="1">
      <w:start w:val="1"/>
      <w:pStyle w:val="Heading2"/>
      <w:numFmt w:val="decimal"/>
      <w:lvlText w:val="%1.%2"/>
      <w:lvlJc w:val="left"/>
      <w:pPr>
        <w:tabs>
          <w:tab w:val="num" w:pos="576"/>
        </w:tabs>
        <w:ind w:left="576" w:hanging="576"/>
      </w:pPr>
      <w:rPr>
        <w:sz w:val="22"/>
        <w:i w:val="false"/>
        <w:b/>
        <w:rFonts w:cs="Times New Roman"/>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sz w:val="22"/>
        <w:i w:val="false"/>
        <w:lang w:val="en-US"/>
      </w:rPr>
    </w:lvl>
    <w:lvl w:ilvl="1">
      <w:start w:val="1"/>
      <w:numFmt w:val="decimal"/>
      <w:lvlText w:val="%1.%2"/>
      <w:lvlJc w:val="left"/>
      <w:pPr>
        <w:tabs>
          <w:tab w:val="num" w:pos="576"/>
        </w:tabs>
        <w:ind w:left="576" w:hanging="576"/>
      </w:pPr>
      <w:rPr>
        <w:sz w:val="22"/>
        <w:i w:val="false"/>
        <w:b/>
        <w:rFonts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none"/>
      <w:suff w:val="nothing"/>
      <w:lvlText w:val=""/>
      <w:lvlJc w:val="left"/>
      <w:pPr>
        <w:tabs>
          <w:tab w:val="num" w:pos="0"/>
        </w:tabs>
        <w:ind w:left="720" w:hanging="360"/>
      </w:p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3.%4.%5"/>
      <w:lvlJc w:val="left"/>
      <w:pPr>
        <w:tabs>
          <w:tab w:val="num" w:pos="2520"/>
        </w:tabs>
        <w:ind w:left="2520" w:hanging="360"/>
      </w:pPr>
    </w:lvl>
    <w:lvl w:ilvl="5">
      <w:start w:val="1"/>
      <w:numFmt w:val="decimal"/>
      <w:lvlText w:val="%4.%5.%6"/>
      <w:lvlJc w:val="left"/>
      <w:pPr>
        <w:tabs>
          <w:tab w:val="num" w:pos="2880"/>
        </w:tabs>
        <w:ind w:left="2880" w:hanging="360"/>
      </w:pPr>
    </w:lvl>
    <w:lvl w:ilvl="6">
      <w:start w:val="1"/>
      <w:numFmt w:val="decimal"/>
      <w:lvlText w:val="%5.%6.%7"/>
      <w:lvlJc w:val="left"/>
      <w:pPr>
        <w:tabs>
          <w:tab w:val="num" w:pos="3240"/>
        </w:tabs>
        <w:ind w:left="3240" w:hanging="360"/>
      </w:pPr>
    </w:lvl>
    <w:lvl w:ilvl="7">
      <w:start w:val="1"/>
      <w:numFmt w:val="decimal"/>
      <w:lvlText w:val="%6.%7.%8"/>
      <w:lvlJc w:val="left"/>
      <w:pPr>
        <w:tabs>
          <w:tab w:val="num" w:pos="3600"/>
        </w:tabs>
        <w:ind w:left="3600" w:hanging="360"/>
      </w:pPr>
    </w:lvl>
    <w:lvl w:ilvl="8">
      <w:start w:val="1"/>
      <w:numFmt w:val="decimal"/>
      <w:lvlText w:val="%7.%8.%9"/>
      <w:lvlJc w:val="left"/>
      <w:pPr>
        <w:tabs>
          <w:tab w:val="num" w:pos="3960"/>
        </w:tabs>
        <w:ind w:left="3960" w:hanging="360"/>
      </w:pPr>
    </w:lvl>
  </w:abstractNum>
  <w:abstractNum w:abstractNumId="5">
    <w:lvl w:ilvl="0">
      <w:start w:val="1"/>
      <w:numFmt w:val="bullet"/>
      <w:lvlText w:val="-"/>
      <w:lvlJc w:val="left"/>
      <w:pPr>
        <w:tabs>
          <w:tab w:val="num" w:pos="799"/>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lvl w:ilvl="0">
      <w:start w:val="1"/>
      <w:numFmt w:val="lowerLetter"/>
      <w:lvlText w:val="%1"/>
      <w:lvlJc w:val="left"/>
      <w:pPr>
        <w:tabs>
          <w:tab w:val="num" w:pos="0"/>
        </w:tabs>
        <w:ind w:left="760" w:hanging="360"/>
      </w:p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lvl w:ilvl="0">
      <w:start w:val="1"/>
      <w:numFmt w:val="lowerLetter"/>
      <w:lvlText w:val="%1"/>
      <w:lvlJc w:val="left"/>
      <w:pPr>
        <w:tabs>
          <w:tab w:val="num" w:pos="0"/>
        </w:tabs>
        <w:ind w:left="76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
    <w:lvl w:ilvl="0">
      <w:start w:val="1"/>
      <w:numFmt w:val="decimal"/>
      <w:lvlText w:val="%1"/>
      <w:lvlJc w:val="left"/>
      <w:pPr>
        <w:tabs>
          <w:tab w:val="num" w:pos="0"/>
        </w:tabs>
        <w:ind w:left="720" w:hanging="360"/>
      </w:pPr>
      <w:rPr>
        <w:rFonts w:cs="Symbol"/>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9">
    <w:lvl w:ilvl="0">
      <w:start w:val="1"/>
      <w:numFmt w:val="lowerLetter"/>
      <w:lvlText w:val="%1"/>
      <w:lvlJc w:val="left"/>
      <w:pPr>
        <w:tabs>
          <w:tab w:val="num" w:pos="0"/>
        </w:tabs>
        <w:ind w:left="108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lvl w:ilvl="0">
      <w:start w:val="1"/>
      <w:numFmt w:val="lowerLetter"/>
      <w:lvlText w:val="%1"/>
      <w:lvlJc w:val="left"/>
      <w:pPr>
        <w:tabs>
          <w:tab w:val="num" w:pos="0"/>
        </w:tabs>
        <w:ind w:left="108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lvl w:ilvl="0">
      <w:start w:val="1"/>
      <w:numFmt w:val="lowerLetter"/>
      <w:lvlText w:val="%1"/>
      <w:lvlJc w:val="left"/>
      <w:pPr>
        <w:tabs>
          <w:tab w:val="num" w:pos="0"/>
        </w:tabs>
        <w:ind w:left="720" w:hanging="360"/>
      </w:pPr>
      <w:rPr>
        <w:szCs w:val="20"/>
        <w:rFonts w:cs="Times;Times New Roman"/>
        <w:lang w:eastAsia="zh-CN"/>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200"/>
  <w:displayBackgroundShape/>
  <w:defaultTabStop w:val="735"/>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napToGrid w:val="false"/>
      <w:spacing w:before="0" w:after="120"/>
      <w:jc w:val="both"/>
    </w:pPr>
    <w:rPr>
      <w:rFonts w:ascii="Times New Roman" w:hAnsi="Times New Roman" w:eastAsia="SimSun;宋体" w:cs="Times New Roman"/>
      <w:color w:val="00000A"/>
      <w:kern w:val="0"/>
      <w:sz w:val="22"/>
      <w:szCs w:val="22"/>
      <w:lang w:val="en-US" w:eastAsia="zh-CN" w:bidi="ar-SA"/>
    </w:rPr>
  </w:style>
  <w:style w:type="paragraph" w:styleId="Heading1">
    <w:name w:val="Heading 1"/>
    <w:basedOn w:val="Normal"/>
    <w:next w:val="Normal"/>
    <w:uiPriority w:val="9"/>
    <w:qFormat/>
    <w:pPr>
      <w:keepNext w:val="true"/>
      <w:numPr>
        <w:ilvl w:val="0"/>
        <w:numId w:val="1"/>
      </w:numPr>
      <w:spacing w:before="120" w:after="120"/>
      <w:outlineLvl w:val="0"/>
    </w:pPr>
    <w:rPr>
      <w:b/>
      <w:bCs/>
      <w:sz w:val="28"/>
      <w:szCs w:val="28"/>
    </w:rPr>
  </w:style>
  <w:style w:type="paragraph" w:styleId="Heading2">
    <w:name w:val="Heading 2"/>
    <w:basedOn w:val="Normal"/>
    <w:next w:val="Normal"/>
    <w:uiPriority w:val="9"/>
    <w:unhideWhenUsed/>
    <w:qFormat/>
    <w:pPr>
      <w:keepNext w:val="true"/>
      <w:numPr>
        <w:ilvl w:val="1"/>
        <w:numId w:val="1"/>
      </w:numPr>
      <w:spacing w:before="120" w:after="120"/>
      <w:outlineLvl w:val="1"/>
    </w:pPr>
    <w:rPr>
      <w:b/>
      <w:bCs/>
      <w:sz w:val="24"/>
    </w:rPr>
  </w:style>
  <w:style w:type="paragraph" w:styleId="Heading3">
    <w:name w:val="Heading 3"/>
    <w:basedOn w:val="Normal"/>
    <w:next w:val="Normal"/>
    <w:uiPriority w:val="9"/>
    <w:semiHidden/>
    <w:unhideWhenUsed/>
    <w:qFormat/>
    <w:pPr>
      <w:keepNext w:val="true"/>
      <w:numPr>
        <w:ilvl w:val="2"/>
        <w:numId w:val="1"/>
      </w:numPr>
      <w:spacing w:before="120" w:after="120"/>
      <w:outlineLvl w:val="2"/>
    </w:pPr>
    <w:rPr>
      <w:b/>
    </w:rPr>
  </w:style>
  <w:style w:type="paragraph" w:styleId="Heading4">
    <w:name w:val="Heading 4"/>
    <w:basedOn w:val="Normal"/>
    <w:next w:val="Normal"/>
    <w:uiPriority w:val="9"/>
    <w:semiHidden/>
    <w:unhideWhenUsed/>
    <w:qFormat/>
    <w:pPr>
      <w:keepNext w:val="true"/>
      <w:numPr>
        <w:ilvl w:val="3"/>
        <w:numId w:val="1"/>
      </w:numPr>
      <w:spacing w:before="120" w:after="120"/>
      <w:ind w:left="720" w:hanging="720"/>
      <w:outlineLvl w:val="3"/>
    </w:pPr>
    <w:rPr>
      <w:b/>
      <w:bCs/>
      <w:szCs w:val="28"/>
    </w:rPr>
  </w:style>
  <w:style w:type="paragraph" w:styleId="Heading5">
    <w:name w:val="Heading 5"/>
    <w:basedOn w:val="Normal"/>
    <w:next w:val="Normal"/>
    <w:uiPriority w:val="9"/>
    <w:semiHidden/>
    <w:unhideWhenUsed/>
    <w:qFormat/>
    <w:pPr>
      <w:keepNext w:val="true"/>
      <w:numPr>
        <w:ilvl w:val="4"/>
        <w:numId w:val="1"/>
      </w:numPr>
      <w:spacing w:before="120" w:after="120"/>
      <w:ind w:left="720" w:hanging="720"/>
      <w:outlineLvl w:val="4"/>
    </w:pPr>
    <w:rPr>
      <w:b/>
      <w:bCs/>
      <w:i/>
      <w:iCs/>
      <w:szCs w:val="26"/>
    </w:rPr>
  </w:style>
  <w:style w:type="paragraph" w:styleId="Heading6">
    <w:name w:val="Heading 6"/>
    <w:basedOn w:val="Normal"/>
    <w:next w:val="Normal"/>
    <w:uiPriority w:val="9"/>
    <w:semiHidden/>
    <w:unhideWhenUsed/>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styleId="DefaultParagraphFont" w:default="1">
    <w:name w:val="Default Paragraph Font"/>
    <w:uiPriority w:val="1"/>
    <w:semiHidden/>
    <w:unhideWhenUsed/>
    <w:qFormat/>
    <w:rPr/>
  </w:style>
  <w:style w:type="character" w:styleId="WW8Num1z0" w:customStyle="1">
    <w:name w:val="WW8Num1z0"/>
    <w:qFormat/>
    <w:rPr>
      <w:i w:val="false"/>
      <w:lang w:val="en-US"/>
    </w:rPr>
  </w:style>
  <w:style w:type="character" w:styleId="WW8Num1z1" w:customStyle="1">
    <w:name w:val="WW8Num1z1"/>
    <w:qFormat/>
    <w:rPr>
      <w:rFonts w:ascii="Times New Roman" w:hAnsi="Times New Roman" w:cs="Times New Roman"/>
      <w:b/>
      <w:i w:val="false"/>
      <w:sz w:val="24"/>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3z0" w:customStyle="1">
    <w:name w:val="WW8Num3z0"/>
    <w:qFormat/>
    <w:rPr>
      <w:bCs/>
      <w:lang w:val="en-GB"/>
    </w:rPr>
  </w:style>
  <w:style w:type="character" w:styleId="WW8Num4z0" w:customStyle="1">
    <w:name w:val="WW8Num4z0"/>
    <w:qFormat/>
    <w:rPr>
      <w:rFonts w:ascii="Symbol" w:hAnsi="Symbol" w:cs="Symbol"/>
    </w:rPr>
  </w:style>
  <w:style w:type="character" w:styleId="WWDefaultParagraphFont" w:customStyle="1">
    <w:name w:val="WW-Default Paragraph Font"/>
    <w:qFormat/>
    <w:rPr/>
  </w:style>
  <w:style w:type="character" w:styleId="WW8Num3z1" w:customStyle="1">
    <w:name w:val="WW8Num3z1"/>
    <w:qFormat/>
    <w:rPr>
      <w:rFonts w:ascii="Wingdings" w:hAnsi="Wingdings" w:cs="Wingdings"/>
    </w:rPr>
  </w:style>
  <w:style w:type="character" w:styleId="WW8Num5z0" w:customStyle="1">
    <w:name w:val="WW8Num5z0"/>
    <w:qFormat/>
    <w:rPr>
      <w:rFonts w:ascii="Tahoma" w:hAnsi="Tahoma" w:cs="Tahoma"/>
      <w:lang w:eastAsia="zh-CN"/>
    </w:rPr>
  </w:style>
  <w:style w:type="character" w:styleId="WW8Num5z1" w:customStyle="1">
    <w:name w:val="WW8Num5z1"/>
    <w:qFormat/>
    <w:rPr>
      <w:rFonts w:ascii="Wingdings" w:hAnsi="Wingdings" w:cs="Wingdings"/>
    </w:rPr>
  </w:style>
  <w:style w:type="character" w:styleId="WW8Num6z0" w:customStyle="1">
    <w:name w:val="WW8Num6z0"/>
    <w:qFormat/>
    <w:rPr/>
  </w:style>
  <w:style w:type="character" w:styleId="WW8Num7z0" w:customStyle="1">
    <w:name w:val="WW8Num7z0"/>
    <w:qFormat/>
    <w:rPr>
      <w:rFonts w:eastAsia="Wingdings" w:cs="Wingdings"/>
    </w:rPr>
  </w:style>
  <w:style w:type="character" w:styleId="WW8Num8z0" w:customStyle="1">
    <w:name w:val="WW8Num8z0"/>
    <w:qFormat/>
    <w:rPr>
      <w:lang w:eastAsia="zh-CN"/>
    </w:rPr>
  </w:style>
  <w:style w:type="character" w:styleId="WW8Num9z0" w:customStyle="1">
    <w:name w:val="WW8Num9z0"/>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Courier New" w:hAnsi="Courier New" w:cs="Courier New"/>
    </w:rPr>
  </w:style>
  <w:style w:type="character" w:styleId="WW8Num11z2" w:customStyle="1">
    <w:name w:val="WW8Num11z2"/>
    <w:qFormat/>
    <w:rPr>
      <w:rFonts w:ascii="Wingdings" w:hAnsi="Wingdings" w:cs="Wingdings"/>
    </w:rPr>
  </w:style>
  <w:style w:type="character" w:styleId="WW8Num11z3" w:customStyle="1">
    <w:name w:val="WW8Num11z3"/>
    <w:qFormat/>
    <w:rPr>
      <w:rFonts w:ascii="Symbol" w:hAnsi="Symbol" w:cs="Symbol"/>
    </w:rPr>
  </w:style>
  <w:style w:type="character" w:styleId="WW8Num12z0" w:customStyle="1">
    <w:name w:val="WW8Num12z0"/>
    <w:qFormat/>
    <w:rPr>
      <w:rFonts w:ascii="Courier New" w:hAnsi="Courier New" w:cs="Courier New"/>
    </w:rPr>
  </w:style>
  <w:style w:type="character" w:styleId="WW8Num12z2" w:customStyle="1">
    <w:name w:val="WW8Num12z2"/>
    <w:qFormat/>
    <w:rPr>
      <w:rFonts w:ascii="Wingdings" w:hAnsi="Wingdings" w:cs="Wingdings"/>
    </w:rPr>
  </w:style>
  <w:style w:type="character" w:styleId="WW8Num12z3" w:customStyle="1">
    <w:name w:val="WW8Num12z3"/>
    <w:qFormat/>
    <w:rPr>
      <w:rFonts w:ascii="Symbol" w:hAnsi="Symbol" w:cs="Symbol"/>
    </w:rPr>
  </w:style>
  <w:style w:type="character" w:styleId="WW8Num13z0" w:customStyle="1">
    <w:name w:val="WW8Num13z0"/>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ascii="Symbol" w:hAnsi="Symbol" w:cs="Symbol"/>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5z0" w:customStyle="1">
    <w:name w:val="WW8Num15z0"/>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WW8Num16z0" w:customStyle="1">
    <w:name w:val="WW8Num16z0"/>
    <w:qFormat/>
    <w:rPr>
      <w:bCs/>
      <w:lang w:val="en-GB"/>
    </w:rPr>
  </w:style>
  <w:style w:type="character" w:styleId="WW8Num16z1" w:customStyle="1">
    <w:name w:val="WW8Num16z1"/>
    <w:qFormat/>
    <w:rPr>
      <w:rFonts w:ascii="Wingdings" w:hAnsi="Wingdings" w:cs="Wingdings"/>
    </w:rPr>
  </w:style>
  <w:style w:type="character" w:styleId="WW8Num17z0" w:customStyle="1">
    <w:name w:val="WW8Num17z0"/>
    <w:qFormat/>
    <w:rPr>
      <w:rFonts w:ascii="Symbol" w:hAnsi="Symbol" w:cs="Symbol"/>
    </w:rPr>
  </w:style>
  <w:style w:type="character" w:styleId="WW8Num17z1" w:customStyle="1">
    <w:name w:val="WW8Num17z1"/>
    <w:qFormat/>
    <w:rPr>
      <w:rFonts w:ascii="Wingdings" w:hAnsi="Wingdings" w:cs="Wingdings"/>
    </w:rPr>
  </w:style>
  <w:style w:type="character" w:styleId="WWDefaultParagraphFont1" w:customStyle="1">
    <w:name w:val="WW-Default Paragraph Font1"/>
    <w:qFormat/>
    <w:rPr/>
  </w:style>
  <w:style w:type="character" w:styleId="WW8Num2z1" w:customStyle="1">
    <w:name w:val="WW8Num2z1"/>
    <w:qFormat/>
    <w:rPr>
      <w:rFonts w:ascii="Wingdings" w:hAnsi="Wingdings" w:cs="Wingdings"/>
    </w:rPr>
  </w:style>
  <w:style w:type="character" w:styleId="WW8Num4z1" w:customStyle="1">
    <w:name w:val="WW8Num4z1"/>
    <w:qFormat/>
    <w:rPr>
      <w:rFonts w:ascii="Wingdings" w:hAnsi="Wingdings" w:cs="Wingdings"/>
    </w:rPr>
  </w:style>
  <w:style w:type="character" w:styleId="WW8Num5z2" w:customStyle="1">
    <w:name w:val="WW8Num5z2"/>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8z1" w:customStyle="1">
    <w:name w:val="WW8Num8z1"/>
    <w:qFormat/>
    <w:rPr>
      <w:rFonts w:ascii="Courier New" w:hAnsi="Courier New" w:cs="Courier New"/>
    </w:rPr>
  </w:style>
  <w:style w:type="character" w:styleId="WW8Num8z2" w:customStyle="1">
    <w:name w:val="WW8Num8z2"/>
    <w:qFormat/>
    <w:rPr>
      <w:rFonts w:ascii="Wingdings" w:hAnsi="Wingdings" w:cs="Wingdings"/>
    </w:rPr>
  </w:style>
  <w:style w:type="character" w:styleId="WW8Num9z1" w:customStyle="1">
    <w:name w:val="WW8Num9z1"/>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1" w:customStyle="1">
    <w:name w:val="WW8Num10z1"/>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Style5" w:customStyle="1">
    <w:name w:val="默认段落字体"/>
    <w:qFormat/>
    <w:rPr/>
  </w:style>
  <w:style w:type="character" w:styleId="Char" w:customStyle="1">
    <w:name w:val="正文文本 Char"/>
    <w:qFormat/>
    <w:rPr>
      <w:lang w:val="en-GB" w:eastAsia="zh-CN" w:bidi="ar-SA"/>
    </w:rPr>
  </w:style>
  <w:style w:type="character" w:styleId="InternetLink">
    <w:name w:val="Hyperlink"/>
    <w:rPr>
      <w:color w:val="0000FF"/>
      <w:u w:val="single"/>
      <w:lang w:val="en-GB" w:eastAsia="zh-CN" w:bidi="ar-SA"/>
    </w:rPr>
  </w:style>
  <w:style w:type="character" w:styleId="Char1" w:customStyle="1">
    <w:name w:val="题注 Char"/>
    <w:qFormat/>
    <w:rPr>
      <w:b/>
      <w:bCs/>
      <w:lang w:val="en-GB" w:eastAsia="zh-CN" w:bidi="ar-SA"/>
    </w:rPr>
  </w:style>
  <w:style w:type="character" w:styleId="1" w:customStyle="1">
    <w:name w:val="已访问的超链接1"/>
    <w:qFormat/>
    <w:rPr>
      <w:color w:val="800080"/>
      <w:u w:val="single"/>
      <w:lang w:val="en-GB" w:eastAsia="zh-CN" w:bidi="ar-SA"/>
    </w:rPr>
  </w:style>
  <w:style w:type="character" w:styleId="FootnoteCharacters" w:customStyle="1">
    <w:name w:val="Footnote Characters"/>
    <w:qFormat/>
    <w:rPr>
      <w:vertAlign w:val="superscript"/>
      <w:lang w:val="en-GB" w:eastAsia="zh-CN" w:bidi="ar-SA"/>
    </w:rPr>
  </w:style>
  <w:style w:type="character" w:styleId="Char2" w:customStyle="1">
    <w:name w:val="页眉 Char"/>
    <w:qFormat/>
    <w:rPr>
      <w:sz w:val="22"/>
      <w:szCs w:val="22"/>
      <w:lang w:val="en-GB" w:eastAsia="zh-CN" w:bidi="ar-SA"/>
    </w:rPr>
  </w:style>
  <w:style w:type="character" w:styleId="Char3" w:customStyle="1">
    <w:name w:val="页脚 Char"/>
    <w:qFormat/>
    <w:rPr>
      <w:sz w:val="22"/>
      <w:szCs w:val="22"/>
      <w:lang w:val="en-GB" w:eastAsia="zh-CN" w:bidi="ar-SA"/>
    </w:rPr>
  </w:style>
  <w:style w:type="character" w:styleId="Char4" w:customStyle="1">
    <w:name w:val="文档结构图 Char"/>
    <w:qFormat/>
    <w:rPr>
      <w:rFonts w:ascii="SimSun;宋体" w:hAnsi="SimSun;宋体" w:cs="SimSun;宋体"/>
      <w:sz w:val="18"/>
      <w:szCs w:val="18"/>
      <w:lang w:val="en-GB" w:bidi="ar-SA"/>
    </w:rPr>
  </w:style>
  <w:style w:type="character" w:styleId="MaintextChar" w:customStyle="1">
    <w:name w:val="main text Char"/>
    <w:qFormat/>
    <w:rPr>
      <w:rFonts w:eastAsia="Malgun Gothic" w:cs="Batang;바탕"/>
      <w:lang w:val="en-GB" w:eastAsia="ko-KR"/>
    </w:rPr>
  </w:style>
  <w:style w:type="character" w:styleId="2222Char" w:customStyle="1">
    <w:name w:val="스타일 스타일 스타일 스타일 양쪽 첫 줄:  2 글자 + 첫 줄:  2 글자 + 첫 줄:  2 글자 + 첫 줄:  2... Char"/>
    <w:qFormat/>
    <w:rPr>
      <w:rFonts w:eastAsia="Malgun Gothic" w:cs="Batang;바탕"/>
      <w:lang w:val="en-GB"/>
    </w:rPr>
  </w:style>
  <w:style w:type="character" w:styleId="Style6" w:customStyle="1">
    <w:name w:val="批注引用"/>
    <w:qFormat/>
    <w:rPr>
      <w:sz w:val="21"/>
      <w:szCs w:val="21"/>
      <w:lang w:val="en-GB" w:eastAsia="zh-CN" w:bidi="ar-SA"/>
    </w:rPr>
  </w:style>
  <w:style w:type="character" w:styleId="Char5" w:customStyle="1">
    <w:name w:val="批注文字 Char"/>
    <w:qFormat/>
    <w:rPr>
      <w:sz w:val="22"/>
      <w:szCs w:val="22"/>
      <w:lang w:val="en-GB" w:bidi="ar-SA"/>
    </w:rPr>
  </w:style>
  <w:style w:type="character" w:styleId="Char6" w:customStyle="1">
    <w:name w:val="批注主题 Char"/>
    <w:qFormat/>
    <w:rPr>
      <w:b/>
      <w:bCs/>
      <w:sz w:val="22"/>
      <w:szCs w:val="22"/>
      <w:lang w:val="en-GB" w:bidi="ar-SA"/>
    </w:rPr>
  </w:style>
  <w:style w:type="character" w:styleId="Annotationreference">
    <w:name w:val="annotation reference"/>
    <w:qFormat/>
    <w:rPr>
      <w:sz w:val="16"/>
      <w:szCs w:val="16"/>
    </w:rPr>
  </w:style>
  <w:style w:type="character" w:styleId="CommentTextChar" w:customStyle="1">
    <w:name w:val="Comment Text Char"/>
    <w:qFormat/>
    <w:rPr>
      <w:rFonts w:eastAsia="SimSun;宋体"/>
      <w:lang w:eastAsia="zh-CN"/>
    </w:rPr>
  </w:style>
  <w:style w:type="character" w:styleId="CommentSubjectChar" w:customStyle="1">
    <w:name w:val="Comment Subject Char"/>
    <w:qFormat/>
    <w:rPr>
      <w:rFonts w:eastAsia="SimSun;宋体"/>
      <w:b/>
      <w:bCs/>
      <w:lang w:eastAsia="zh-CN"/>
    </w:rPr>
  </w:style>
  <w:style w:type="character" w:styleId="WW8Num221z0" w:customStyle="1">
    <w:name w:val="WW8Num221z0"/>
    <w:qFormat/>
    <w:rPr/>
  </w:style>
  <w:style w:type="character" w:styleId="WW8Num55z0" w:customStyle="1">
    <w:name w:val="WW8Num55z0"/>
    <w:qFormat/>
    <w:rPr/>
  </w:style>
  <w:style w:type="character" w:styleId="Character20style" w:customStyle="1">
    <w:name w:val="Character_20_style"/>
    <w:qFormat/>
    <w:rPr/>
  </w:style>
  <w:style w:type="character" w:styleId="WW8Num243z0" w:customStyle="1">
    <w:name w:val="WW8Num243z0"/>
    <w:qFormat/>
    <w:rPr>
      <w:rFonts w:cs="Times;Times New Roman"/>
      <w:szCs w:val="20"/>
      <w:lang w:eastAsia="zh-CN"/>
    </w:rPr>
  </w:style>
  <w:style w:type="character" w:styleId="Bullets" w:customStyle="1">
    <w:name w:val="Bullets"/>
    <w:qFormat/>
    <w:rPr>
      <w:rFonts w:ascii="OpenSymbol" w:hAnsi="OpenSymbol" w:eastAsia="OpenSymbol" w:cs="OpenSymbol"/>
    </w:rPr>
  </w:style>
  <w:style w:type="paragraph" w:styleId="Heading" w:customStyle="1">
    <w:name w:val="Heading"/>
    <w:basedOn w:val="Normal"/>
    <w:next w:val="TextBody"/>
    <w:qFormat/>
    <w:pPr>
      <w:keepNext w:val="true"/>
      <w:spacing w:before="240" w:after="120"/>
    </w:pPr>
    <w:rPr>
      <w:rFonts w:ascii="Liberation Sans;Arial" w:hAnsi="Liberation Sans;Arial" w:eastAsia="Noto Sans CJK SC Regular" w:cs="FreeSans;Calibri"/>
      <w:sz w:val="28"/>
      <w:szCs w:val="28"/>
    </w:rPr>
  </w:style>
  <w:style w:type="paragraph" w:styleId="TextBody">
    <w:name w:val="Body Text"/>
    <w:basedOn w:val="Normal"/>
    <w:pPr/>
    <w:rPr>
      <w:sz w:val="20"/>
      <w:szCs w:val="20"/>
      <w:lang w:val="en-GB"/>
    </w:rPr>
  </w:style>
  <w:style w:type="paragraph" w:styleId="List">
    <w:name w:val="List"/>
    <w:basedOn w:val="Normal"/>
    <w:pPr>
      <w:ind w:left="360" w:hanging="360"/>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FreeSans;Calibri"/>
    </w:rPr>
  </w:style>
  <w:style w:type="paragraph" w:styleId="Caption1">
    <w:name w:val="caption"/>
    <w:basedOn w:val="Normal"/>
    <w:qFormat/>
    <w:pPr>
      <w:suppressLineNumbers/>
      <w:spacing w:before="120" w:after="120"/>
    </w:pPr>
    <w:rPr>
      <w:rFonts w:cs="FreeSans;Calibri"/>
      <w:i/>
      <w:iCs/>
      <w:sz w:val="24"/>
      <w:szCs w:val="24"/>
    </w:rPr>
  </w:style>
  <w:style w:type="paragraph" w:styleId="Style7" w:customStyle="1">
    <w:name w:val="题注"/>
    <w:basedOn w:val="Normal"/>
    <w:next w:val="Normal"/>
    <w:qFormat/>
    <w:pPr>
      <w:jc w:val="center"/>
    </w:pPr>
    <w:rPr>
      <w:b/>
      <w:bCs/>
      <w:sz w:val="20"/>
      <w:szCs w:val="20"/>
      <w:lang w:val="en-GB"/>
    </w:rPr>
  </w:style>
  <w:style w:type="paragraph" w:styleId="Style8" w:customStyle="1">
    <w:name w:val="列表项目符号"/>
    <w:basedOn w:val="List"/>
    <w:qFormat/>
    <w:pPr>
      <w:spacing w:before="0" w:after="180"/>
      <w:ind w:left="568" w:hanging="284"/>
      <w:jc w:val="left"/>
    </w:pPr>
    <w:rPr>
      <w:sz w:val="20"/>
      <w:szCs w:val="20"/>
      <w:lang w:val="en-GB"/>
    </w:rPr>
  </w:style>
  <w:style w:type="paragraph" w:styleId="2" w:customStyle="1">
    <w:name w:val="正文文本 2"/>
    <w:basedOn w:val="Normal"/>
    <w:qFormat/>
    <w:pPr>
      <w:spacing w:before="0" w:after="0"/>
      <w:jc w:val="left"/>
    </w:pPr>
    <w:rPr>
      <w:szCs w:val="20"/>
    </w:rPr>
  </w:style>
  <w:style w:type="paragraph" w:styleId="Style9" w:customStyle="1">
    <w:name w:val="批注框文本"/>
    <w:basedOn w:val="Normal"/>
    <w:qFormat/>
    <w:pPr/>
    <w:rPr>
      <w:rFonts w:ascii="Tahoma" w:hAnsi="Tahoma" w:cs="Tahoma"/>
      <w:sz w:val="16"/>
      <w:szCs w:val="16"/>
    </w:rPr>
  </w:style>
  <w:style w:type="paragraph" w:styleId="References" w:customStyle="1">
    <w:name w:val="References"/>
    <w:basedOn w:val="Normal"/>
    <w:qFormat/>
    <w:pPr>
      <w:spacing w:before="0" w:after="60"/>
    </w:pPr>
    <w:rPr>
      <w:sz w:val="20"/>
      <w:szCs w:val="16"/>
    </w:rPr>
  </w:style>
  <w:style w:type="paragraph" w:styleId="Footnote">
    <w:name w:val="Footnote Text"/>
    <w:basedOn w:val="Normal"/>
    <w:pPr/>
    <w:rPr>
      <w:sz w:val="20"/>
      <w:szCs w:val="20"/>
    </w:rPr>
  </w:style>
  <w:style w:type="paragraph" w:styleId="Figure" w:customStyle="1">
    <w:name w:val="Figure"/>
    <w:basedOn w:val="Normal"/>
    <w:qFormat/>
    <w:pPr>
      <w:keepNext w:val="true"/>
      <w:jc w:val="center"/>
    </w:pPr>
    <w:rPr/>
  </w:style>
  <w:style w:type="paragraph" w:styleId="Eqn" w:customStyle="1">
    <w:name w:val="Eqn"/>
    <w:basedOn w:val="Normal"/>
    <w:qFormat/>
    <w:pPr/>
    <w:rPr>
      <w:lang w:eastAsia="ja-JP"/>
    </w:rPr>
  </w:style>
  <w:style w:type="paragraph" w:styleId="Tablecell" w:customStyle="1">
    <w:name w:val="tablecell"/>
    <w:basedOn w:val="Normal"/>
    <w:qFormat/>
    <w:pPr>
      <w:spacing w:before="20" w:after="20"/>
      <w:jc w:val="left"/>
    </w:pPr>
    <w:rPr/>
  </w:style>
  <w:style w:type="paragraph" w:styleId="HeaderandFooter" w:customStyle="1">
    <w:name w:val="Header and Footer"/>
    <w:basedOn w:val="Normal"/>
    <w:qFormat/>
    <w:pPr>
      <w:suppressLineNumbers/>
      <w:tabs>
        <w:tab w:val="clear" w:pos="735"/>
        <w:tab w:val="center" w:pos="4986" w:leader="none"/>
        <w:tab w:val="right" w:pos="9972" w:leader="none"/>
      </w:tabs>
    </w:pPr>
    <w:rPr/>
  </w:style>
  <w:style w:type="paragraph" w:styleId="Header">
    <w:name w:val="Header"/>
    <w:basedOn w:val="Normal"/>
    <w:pPr/>
    <w:rPr>
      <w:lang w:val="en-GB"/>
    </w:rPr>
  </w:style>
  <w:style w:type="paragraph" w:styleId="Footer">
    <w:name w:val="Footer"/>
    <w:basedOn w:val="Normal"/>
    <w:pPr/>
    <w:rPr>
      <w:lang w:val="en-GB"/>
    </w:rPr>
  </w:style>
  <w:style w:type="paragraph" w:styleId="Tablecol" w:customStyle="1">
    <w:name w:val="tablecol"/>
    <w:basedOn w:val="Tablecell"/>
    <w:qFormat/>
    <w:pPr>
      <w:jc w:val="center"/>
    </w:pPr>
    <w:rPr>
      <w:b/>
    </w:rPr>
  </w:style>
  <w:style w:type="paragraph" w:styleId="Style10" w:customStyle="1">
    <w:name w:val="文档结构图"/>
    <w:basedOn w:val="Normal"/>
    <w:qFormat/>
    <w:pPr/>
    <w:rPr>
      <w:rFonts w:ascii="SimSun;宋体" w:hAnsi="SimSun;宋体" w:cs="SimSun;宋体"/>
      <w:sz w:val="18"/>
      <w:szCs w:val="18"/>
      <w:lang w:val="en-GB"/>
    </w:rPr>
  </w:style>
  <w:style w:type="paragraph" w:styleId="Maintext" w:customStyle="1">
    <w:name w:val="main text"/>
    <w:basedOn w:val="Normal"/>
    <w:qFormat/>
    <w:pPr>
      <w:snapToGrid w:val="true"/>
      <w:spacing w:lineRule="auto" w:line="288" w:before="60" w:after="60"/>
      <w:ind w:firstLine="200"/>
    </w:pPr>
    <w:rPr>
      <w:rFonts w:eastAsia="Malgun Gothic"/>
      <w:sz w:val="20"/>
      <w:szCs w:val="20"/>
      <w:lang w:val="en-GB" w:eastAsia="ko-KR"/>
    </w:rPr>
  </w:style>
  <w:style w:type="paragraph" w:styleId="2222" w:customStyle="1">
    <w:name w:val="스타일 스타일 스타일 스타일 양쪽 첫 줄:  2 글자 + 첫 줄:  2 글자 + 첫 줄:  2 글자 + 첫 줄:  2..."/>
    <w:basedOn w:val="Normal"/>
    <w:qFormat/>
    <w:pPr>
      <w:snapToGrid w:val="true"/>
      <w:spacing w:lineRule="auto" w:line="336" w:before="0" w:after="180"/>
      <w:ind w:firstLine="200"/>
    </w:pPr>
    <w:rPr>
      <w:rFonts w:eastAsia="Malgun Gothic"/>
      <w:sz w:val="20"/>
      <w:szCs w:val="20"/>
      <w:lang w:val="en-GB"/>
    </w:rPr>
  </w:style>
  <w:style w:type="paragraph" w:styleId="Style11" w:customStyle="1">
    <w:name w:val="批注文字"/>
    <w:basedOn w:val="Normal"/>
    <w:qFormat/>
    <w:pPr>
      <w:jc w:val="left"/>
    </w:pPr>
    <w:rPr>
      <w:lang w:val="en-GB"/>
    </w:rPr>
  </w:style>
  <w:style w:type="paragraph" w:styleId="Style12" w:customStyle="1">
    <w:name w:val="批注主题"/>
    <w:basedOn w:val="Style11"/>
    <w:qFormat/>
    <w:pPr/>
    <w:rPr>
      <w:b/>
      <w:bCs/>
    </w:rPr>
  </w:style>
  <w:style w:type="paragraph" w:styleId="Style13" w:customStyle="1">
    <w:name w:val="列出段落"/>
    <w:basedOn w:val="Normal"/>
    <w:qFormat/>
    <w:pPr>
      <w:spacing w:before="0" w:after="120"/>
      <w:ind w:left="720" w:hanging="0"/>
      <w:contextualSpacing/>
    </w:pPr>
    <w:rPr/>
  </w:style>
  <w:style w:type="paragraph" w:styleId="Annotationtext">
    <w:name w:val="annotation text"/>
    <w:basedOn w:val="Normal"/>
    <w:qFormat/>
    <w:pPr/>
    <w:rPr>
      <w:sz w:val="20"/>
      <w:szCs w:val="20"/>
    </w:rPr>
  </w:style>
  <w:style w:type="paragraph" w:styleId="Annotationsubject">
    <w:name w:val="annotation subject"/>
    <w:basedOn w:val="Annotationtext"/>
    <w:qFormat/>
    <w:pPr/>
    <w:rPr>
      <w:b/>
      <w:bCs/>
    </w:rPr>
  </w:style>
  <w:style w:type="paragraph" w:styleId="PreformattedText" w:customStyle="1">
    <w:name w:val="Preformatted Text"/>
    <w:basedOn w:val="Normal"/>
    <w:qFormat/>
    <w:pPr/>
    <w:rPr/>
  </w:style>
  <w:style w:type="paragraph" w:styleId="TableContents" w:customStyle="1">
    <w:name w:val="Table Contents"/>
    <w:basedOn w:val="Normal"/>
    <w:qFormat/>
    <w:pPr>
      <w:suppressLineNumbers/>
    </w:pPr>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oto Sans CJK SC Regular" w:cs="FreeSans"/>
      <w:color w:val="00000A"/>
      <w:kern w:val="0"/>
      <w:sz w:val="22"/>
      <w:szCs w:val="24"/>
      <w:lang w:val="en-IN" w:eastAsia="zh-CN" w:bidi="hi-IN"/>
    </w:rPr>
  </w:style>
  <w:style w:type="paragraph" w:styleId="Revision">
    <w:name w:val="Revision"/>
    <w:uiPriority w:val="99"/>
    <w:semiHidden/>
    <w:qFormat/>
    <w:rsid w:val="001910b4"/>
    <w:pPr>
      <w:widowControl/>
      <w:suppressAutoHyphens w:val="false"/>
      <w:bidi w:val="0"/>
      <w:spacing w:before="0" w:after="0"/>
      <w:jc w:val="left"/>
    </w:pPr>
    <w:rPr>
      <w:rFonts w:ascii="Times New Roman" w:hAnsi="Times New Roman" w:eastAsia="SimSun;宋体" w:cs="Times New Roman"/>
      <w:color w:val="00000A"/>
      <w:kern w:val="0"/>
      <w:sz w:val="22"/>
      <w:szCs w:val="22"/>
      <w:lang w:val="en-US" w:eastAsia="zh-CN" w:bidi="ar-SA"/>
    </w:rPr>
  </w:style>
  <w:style w:type="numbering" w:styleId="NoList" w:default="1">
    <w:name w:val="No List"/>
    <w:uiPriority w:val="99"/>
    <w:semiHidden/>
    <w:unhideWhenUsed/>
    <w:qFormat/>
  </w:style>
  <w:style w:type="numbering" w:styleId="WW8Num243">
    <w:name w:val="WW8Num243"/>
    <w:qFormat/>
  </w:style>
  <w:style w:type="numbering" w:styleId="WW8Num284">
    <w:name w:val="WW8Num284"/>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72491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Application>LibreOffice/6.4.7.2$Linux_X86_64 LibreOffice_project/40$Build-2</Application>
  <Pages>8</Pages>
  <Words>3335</Words>
  <Characters>18353</Characters>
  <CharactersWithSpaces>21510</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2022-08-09T10:41:00Z</dcterms:created>
  <dc:creator>Brian Classon</dc:creator>
  <dc:description/>
  <dc:language>en-IN</dc:language>
  <cp:lastModifiedBy/>
  <cp:lastPrinted>2007-06-18T17:08:00Z</cp:lastPrinted>
  <dcterms:modified xsi:type="dcterms:W3CDTF">2022-08-12T12:34:55Z</dcterms:modified>
  <cp:revision>287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y fmtid="{D5CDD505-2E9C-101B-9397-08002B2CF9AE}" pid="8" name="_2015_ms_pID_725343">
    <vt:lpwstr>(3)B4ElOIyWbFUE0i2tg9MxI9gGzPxGuIqJUFbpw59zWXb8/+veGTTY5TsxAsd3fGK76tVcIP4j
NUkxuEPw1S2C2kT05vGJ3MRbTPq2HHQ5EIFdj+r/U27eDM7Au9J2C4qEziqv40QybXjei0bu
mYCL3V1Bkj6SSUME2k7qTb1VErnBpairRjETp9UabKVMqEWV+osNdnc806CL3GtnVovpJVyE
UPZKOiRaFnZ7fjU4VY</vt:lpwstr>
  </property>
  <property fmtid="{D5CDD505-2E9C-101B-9397-08002B2CF9AE}" pid="9" name="_2015_ms_pID_7253431">
    <vt:lpwstr>96HbNWILQ9YTEEPZZg62tYX9waDwbAKem3MSBEO2wIsQmvlJQn0Ws+
m+nc+PT3UuvRJ1T/8+yat5ds36/WX/v9V9XpguFE1iHNxoafwtQDWeQopJLa+AdKtoutqvGk
hlT57uJMspTEYIM2NXshMpXuJ++Mh9W8eEgrBBHsyltaXepOIRKSefkRpsRl5XG67wk4bCGo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ms_pID_725343">
    <vt:lpwstr>(2)ynyNSsmuLVVbEwBBE74W73lrlVMlxVofueZugsFDU8Nz3Lj/N2gGQ0i9VC+o4OgTwt7XRZKx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15" name="_ms_pID_7253431">
    <vt:lpwstr>M/pVKASJiOhRTVyPLa1+Gb9wEtOYPIbRkHtOc/4FWhIVQT2UTy8bYh
/hDevSuu5XKS7fNRsTEDU/3UHqU8pbPip+a0294CmFGIn8SEx373GiyffwxSZ4ph6FmRREBw
elBS404g+CjMBGbJVlphlKaN3ce4ccm/RWoa4PhJdFmQqVFw3mQLPJfqj/4K6XWtoL3292jP
m24IwFZiz8aZM7kr</vt:lpwstr>
  </property>
  <property fmtid="{D5CDD505-2E9C-101B-9397-08002B2CF9AE}" pid="16" name="_ms_pID_7253431_00">
    <vt:lpwstr>_ms_pID_7253431</vt:lpwstr>
  </property>
  <property fmtid="{D5CDD505-2E9C-101B-9397-08002B2CF9AE}" pid="17" name="_ms_pID_725343_00">
    <vt:lpwstr>_ms_pID_725343</vt:lpwstr>
  </property>
  <property fmtid="{D5CDD505-2E9C-101B-9397-08002B2CF9AE}" pid="18" name="_new_ms_pID_72543">
    <vt:lpwstr>(3)jsTZA6CJm1XEdjxm/Gu85lZPpOwHS5I/pZ0onJwl+lNy0ks8F3+hn5oIuQZhW9DUGn36DXft
IB1EYuHuikqkM3/aunzOpGMxUYQ9XvozxW7KQurko5hHFpePnrdz5GljqqpHHW789KFX9e02
GDo8SUrNq1reI9YPr75cI1RlHqsRzBcRYhEwh2t0wc1HBYfsPaAL0qywgVzxTHKo/aT+tqfW
z0+6YVCD5IHDLAgLE5</vt:lpwstr>
  </property>
  <property fmtid="{D5CDD505-2E9C-101B-9397-08002B2CF9AE}" pid="19" name="_new_ms_pID_725431">
    <vt:lpwstr>5+0hXGCAgLg5vdVZrxhms8XSFYkVnMeBoECtMJs0PyLXX0YHRYbCYq
EUHjjlq6OAoidDnHZkmGfbg8B97F0DEaR5OTuzTTdtad37LKacxkHHICm09ZmWZqYpzuz/Ni
1/Q3MKIrDHqpoTRyl9HOWe347HPLqYzy3xGqnirGgS9SczzUYCxIhZjS2DFO1eZq2f305m3g
kX7yf+ARUTDTr5xuOp7bL7u4tYkAD/AF2Uor</vt:lpwstr>
  </property>
  <property fmtid="{D5CDD505-2E9C-101B-9397-08002B2CF9AE}" pid="20" name="_new_ms_pID_725431_00">
    <vt:lpwstr>_new_ms_pID_725431</vt:lpwstr>
  </property>
  <property fmtid="{D5CDD505-2E9C-101B-9397-08002B2CF9AE}" pid="21" name="_new_ms_pID_725432">
    <vt:lpwstr>5ODSr9xM8Xe/xX3rgoOAg9xBQQRuph+xauB2
+Uz1cw0AjCoGCO2oa+/H2hSUl4V/TuAc1JprpjrQiCnOJfR4pc0=</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sflag">
    <vt:lpwstr>1510973513</vt:lpwstr>
  </property>
</Properties>
</file>