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</w:t>
      </w:r>
      <w:r w:rsidR="001C726B">
        <w:rPr>
          <w:rFonts w:ascii="Arial" w:eastAsia="宋体" w:hAnsi="Arial" w:cs="Arial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r w:rsidR="003C773C" w:rsidRPr="003C773C">
        <w:rPr>
          <w:rFonts w:ascii="Arial" w:eastAsia="宋体" w:hAnsi="Arial" w:cs="Arial"/>
          <w:b/>
          <w:sz w:val="22"/>
          <w:szCs w:val="22"/>
          <w:lang w:eastAsia="zh-CN"/>
        </w:rPr>
        <w:t>220</w:t>
      </w:r>
      <w:r w:rsidR="001C726B">
        <w:rPr>
          <w:rFonts w:ascii="Arial" w:eastAsia="宋体" w:hAnsi="Arial" w:cs="Arial"/>
          <w:b/>
          <w:sz w:val="22"/>
          <w:szCs w:val="22"/>
          <w:lang w:eastAsia="zh-CN"/>
        </w:rPr>
        <w:t>6856</w:t>
      </w:r>
    </w:p>
    <w:p w:rsidR="00872024" w:rsidRDefault="00647BD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DD7591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Toulouse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France, August</w:t>
      </w:r>
      <w:r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22</w:t>
      </w:r>
      <w:r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</w:t>
      </w:r>
      <w:r w:rsidR="005B6D7A" w:rsidRPr="00647BD1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2022</w:t>
      </w:r>
    </w:p>
    <w:p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on </w:t>
      </w:r>
      <w:r w:rsidR="003C773C" w:rsidRPr="003C773C">
        <w:rPr>
          <w:rFonts w:cs="Arial"/>
          <w:sz w:val="22"/>
          <w:szCs w:val="22"/>
        </w:rPr>
        <w:t xml:space="preserve">UE features for </w:t>
      </w:r>
      <w:r w:rsidR="004E4800">
        <w:rPr>
          <w:rFonts w:eastAsiaTheme="minorEastAsia" w:cs="Arial"/>
          <w:sz w:val="22"/>
          <w:szCs w:val="22"/>
          <w:lang w:eastAsia="zh-CN"/>
        </w:rPr>
        <w:t>NTN</w:t>
      </w:r>
      <w:r w:rsidR="003C773C" w:rsidRPr="003C773C">
        <w:rPr>
          <w:rFonts w:cs="Arial"/>
          <w:sz w:val="22"/>
          <w:szCs w:val="22"/>
        </w:rPr>
        <w:t>-</w:t>
      </w:r>
      <w:r w:rsidR="00F01580">
        <w:rPr>
          <w:rFonts w:cs="Arial"/>
          <w:sz w:val="22"/>
          <w:szCs w:val="22"/>
        </w:rPr>
        <w:t>IoT</w:t>
      </w:r>
      <w:r w:rsidR="003C773C">
        <w:rPr>
          <w:rFonts w:cs="Arial"/>
          <w:sz w:val="22"/>
          <w:szCs w:val="22"/>
        </w:rPr>
        <w:t xml:space="preserve"> 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</w:t>
      </w:r>
      <w:r w:rsidR="003C773C">
        <w:rPr>
          <w:rFonts w:eastAsia="宋体" w:cs="Arial"/>
          <w:sz w:val="22"/>
          <w:szCs w:val="22"/>
          <w:lang w:eastAsia="zh-CN"/>
        </w:rPr>
        <w:t>16</w:t>
      </w:r>
      <w:r w:rsidR="00B418BB">
        <w:rPr>
          <w:rFonts w:eastAsia="宋体" w:cs="Arial"/>
          <w:sz w:val="22"/>
          <w:szCs w:val="22"/>
          <w:lang w:eastAsia="zh-CN"/>
        </w:rPr>
        <w:t>.</w:t>
      </w:r>
      <w:r w:rsidR="001C726B">
        <w:rPr>
          <w:rFonts w:eastAsia="宋体" w:cs="Arial"/>
          <w:sz w:val="22"/>
          <w:szCs w:val="22"/>
          <w:lang w:eastAsia="zh-CN"/>
        </w:rPr>
        <w:t>5</w:t>
      </w:r>
    </w:p>
    <w:p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:rsidR="00872024" w:rsidRDefault="005B6D7A">
      <w:pPr>
        <w:pStyle w:val="1"/>
      </w:pPr>
      <w:bookmarkStart w:id="0" w:name="_Ref85728113"/>
      <w:r>
        <w:t>Introduction</w:t>
      </w:r>
      <w:bookmarkEnd w:id="0"/>
    </w:p>
    <w:p w:rsidR="006C0179" w:rsidRDefault="002A066B">
      <w:pPr>
        <w:pStyle w:val="a4"/>
        <w:spacing w:before="120" w:line="259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6C0179">
        <w:rPr>
          <w:rFonts w:eastAsia="宋体"/>
          <w:lang w:eastAsia="zh-CN"/>
        </w:rPr>
        <w:t xml:space="preserve">he following </w:t>
      </w:r>
      <w:r>
        <w:t>UE FGs for NTN-IoT</w:t>
      </w:r>
      <w:r>
        <w:rPr>
          <w:rFonts w:eastAsia="宋体"/>
          <w:lang w:eastAsia="zh-CN"/>
        </w:rPr>
        <w:t xml:space="preserve"> were</w:t>
      </w:r>
      <w:r w:rsidR="00F80331">
        <w:rPr>
          <w:rFonts w:eastAsia="宋体"/>
          <w:lang w:eastAsia="zh-CN"/>
        </w:rPr>
        <w:t xml:space="preserve"> agreed</w:t>
      </w:r>
      <w:r>
        <w:rPr>
          <w:rFonts w:eastAsia="宋体"/>
          <w:lang w:eastAsia="zh-CN"/>
        </w:rPr>
        <w:t xml:space="preserve"> in previous RAN1 meeting</w:t>
      </w:r>
      <w:r w:rsidR="00E873CC">
        <w:rPr>
          <w:rFonts w:eastAsia="宋体"/>
          <w:lang w:eastAsia="zh-CN"/>
        </w:rPr>
        <w:t xml:space="preserve"> [1]</w:t>
      </w:r>
      <w:r w:rsidR="00F80331">
        <w:rPr>
          <w:rFonts w:eastAsia="宋体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993"/>
        <w:gridCol w:w="708"/>
        <w:gridCol w:w="567"/>
        <w:gridCol w:w="567"/>
        <w:gridCol w:w="567"/>
        <w:gridCol w:w="851"/>
        <w:gridCol w:w="567"/>
        <w:gridCol w:w="425"/>
        <w:gridCol w:w="425"/>
        <w:gridCol w:w="993"/>
        <w:gridCol w:w="1268"/>
      </w:tblGrid>
      <w:tr w:rsidR="008A7EC5" w:rsidRPr="008A7EC5" w:rsidTr="00E873CC">
        <w:tc>
          <w:tcPr>
            <w:tcW w:w="704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2-1d</w:t>
            </w:r>
          </w:p>
        </w:tc>
        <w:tc>
          <w:tcPr>
            <w:tcW w:w="993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Segmented UL transmission for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2-1, 2-1a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Release 17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UE cannot communicate via GEO and NGSO NTNs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>For UEs supporting communication via GEO and NGSO NTNs, it must indicate this FG is supported.</w:t>
            </w:r>
          </w:p>
        </w:tc>
        <w:tc>
          <w:tcPr>
            <w:tcW w:w="1268" w:type="dxa"/>
            <w:shd w:val="clear" w:color="auto" w:fill="auto"/>
          </w:tcPr>
          <w:p w:rsidR="00106EE9" w:rsidRPr="00106EE9" w:rsidRDefault="00106EE9" w:rsidP="00106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t>Optional with capability signalling</w:t>
            </w:r>
          </w:p>
          <w:p w:rsidR="00106EE9" w:rsidRPr="00106EE9" w:rsidRDefault="00106EE9" w:rsidP="00106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</w:pPr>
          </w:p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IoT-NTN cell, for terrestrial cell this feature is not supported</w:t>
            </w:r>
          </w:p>
        </w:tc>
      </w:tr>
      <w:tr w:rsidR="008A7EC5" w:rsidRPr="008A7EC5" w:rsidTr="00E873CC">
        <w:tc>
          <w:tcPr>
            <w:tcW w:w="704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2-1e</w:t>
            </w:r>
          </w:p>
        </w:tc>
        <w:tc>
          <w:tcPr>
            <w:tcW w:w="993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Segmented UL transmission for NB-IoT</w:t>
            </w:r>
          </w:p>
        </w:tc>
        <w:tc>
          <w:tcPr>
            <w:tcW w:w="708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2-1b, 2-1c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Release 17 NB-IoT UE cannot communicate via NGSO NTNs</w:t>
            </w:r>
          </w:p>
        </w:tc>
        <w:tc>
          <w:tcPr>
            <w:tcW w:w="567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>For UEs supporting communication via NGSO NTNs, it must indicate this FG is supported.</w:t>
            </w:r>
          </w:p>
        </w:tc>
        <w:tc>
          <w:tcPr>
            <w:tcW w:w="1268" w:type="dxa"/>
            <w:shd w:val="clear" w:color="auto" w:fill="auto"/>
          </w:tcPr>
          <w:p w:rsidR="00106EE9" w:rsidRPr="00106EE9" w:rsidRDefault="00106EE9" w:rsidP="00106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t>Optional with capability signalling</w:t>
            </w:r>
          </w:p>
          <w:p w:rsidR="00106EE9" w:rsidRPr="00106EE9" w:rsidRDefault="00106EE9" w:rsidP="00106EE9">
            <w:pPr>
              <w:spacing w:before="60" w:after="60" w:line="288" w:lineRule="auto"/>
              <w:ind w:firstLineChars="200" w:firstLine="320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:rsidR="00106EE9" w:rsidRPr="00106EE9" w:rsidRDefault="00106EE9" w:rsidP="00106EE9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IoT-NTN cell, for terrestrial cell this feature is not supported</w:t>
            </w:r>
          </w:p>
        </w:tc>
      </w:tr>
    </w:tbl>
    <w:p w:rsidR="00107F0B" w:rsidRPr="00106EE9" w:rsidRDefault="00107F0B">
      <w:pPr>
        <w:pStyle w:val="a4"/>
        <w:spacing w:before="120" w:line="259" w:lineRule="auto"/>
        <w:rPr>
          <w:rFonts w:eastAsia="宋体"/>
          <w:lang w:eastAsia="zh-CN"/>
        </w:rPr>
      </w:pPr>
    </w:p>
    <w:p w:rsidR="00872024" w:rsidRDefault="003C773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057040">
        <w:t>we provid</w:t>
      </w:r>
      <w:r w:rsidR="002F2F2F">
        <w:t xml:space="preserve">e </w:t>
      </w:r>
      <w:r w:rsidR="00057040">
        <w:t xml:space="preserve">our </w:t>
      </w:r>
      <w:r w:rsidR="002A066B">
        <w:t>considerations</w:t>
      </w:r>
      <w:r w:rsidR="00057040">
        <w:t xml:space="preserve"> on </w:t>
      </w:r>
      <w:r w:rsidR="002A066B">
        <w:t xml:space="preserve">the above </w:t>
      </w:r>
      <w:r w:rsidR="00057040">
        <w:t xml:space="preserve">UE </w:t>
      </w:r>
      <w:r w:rsidR="000E39F0">
        <w:t xml:space="preserve">features </w:t>
      </w:r>
      <w:r w:rsidR="00057040">
        <w:t>for NTN-</w:t>
      </w:r>
      <w:r w:rsidR="00F4100E">
        <w:t>IoT</w:t>
      </w:r>
      <w:r w:rsidR="00057040">
        <w:t>.</w:t>
      </w:r>
    </w:p>
    <w:p w:rsidR="00872024" w:rsidRDefault="003C773C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:rsidR="00DC537F" w:rsidRDefault="000F158D" w:rsidP="003C773C">
      <w:pPr>
        <w:spacing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RAN1 meeting #109e, the following agreement was made.</w:t>
      </w:r>
    </w:p>
    <w:p w:rsidR="002843E6" w:rsidRPr="002843E6" w:rsidRDefault="002843E6" w:rsidP="002843E6">
      <w:pPr>
        <w:spacing w:after="0" w:line="240" w:lineRule="auto"/>
        <w:rPr>
          <w:rFonts w:eastAsia="Malgun Gothic"/>
          <w:bCs/>
          <w:lang w:val="en-GB"/>
        </w:rPr>
      </w:pPr>
      <w:r w:rsidRPr="002843E6">
        <w:rPr>
          <w:rFonts w:eastAsia="Malgun Gothic" w:hint="eastAsia"/>
          <w:bCs/>
          <w:highlight w:val="green"/>
          <w:lang w:val="en-GB"/>
        </w:rPr>
        <w:t>Agreement</w:t>
      </w:r>
    </w:p>
    <w:p w:rsidR="002843E6" w:rsidRPr="002843E6" w:rsidRDefault="002843E6" w:rsidP="002843E6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 xml:space="preserve">The single UE capability that governs UE </w:t>
      </w:r>
      <w:proofErr w:type="spellStart"/>
      <w:r w:rsidRPr="002843E6">
        <w:rPr>
          <w:rFonts w:eastAsia="宋体"/>
          <w:szCs w:val="20"/>
          <w:lang w:val="en-GB" w:eastAsia="ja-JP"/>
        </w:rPr>
        <w:t>behavior</w:t>
      </w:r>
      <w:proofErr w:type="spellEnd"/>
      <w:r w:rsidRPr="002843E6">
        <w:rPr>
          <w:rFonts w:eastAsia="宋体"/>
          <w:szCs w:val="20"/>
          <w:lang w:val="en-GB" w:eastAsia="ja-JP"/>
        </w:rPr>
        <w:t xml:space="preserve"> w.r.t gaps between segments for PUSCH, PUCCH and NPUSCH, when the UE performs segmented pre-compensation, is as follows:</w:t>
      </w:r>
    </w:p>
    <w:p w:rsidR="002843E6" w:rsidRPr="002843E6" w:rsidRDefault="002843E6" w:rsidP="002843E6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Calibri" w:eastAsia="宋体" w:hAnsi="Calibri" w:cs="Calibri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 xml:space="preserve">When a single capability is </w:t>
      </w:r>
      <w:bookmarkStart w:id="1" w:name="_Hlk111155700"/>
      <w:r w:rsidRPr="002843E6">
        <w:rPr>
          <w:rFonts w:eastAsia="宋体"/>
          <w:szCs w:val="20"/>
          <w:lang w:val="en-GB" w:eastAsia="ja-JP"/>
        </w:rPr>
        <w:t>signalled: UE drops one or more of the following durations of uplink transmission between segments</w:t>
      </w:r>
      <w:bookmarkEnd w:id="1"/>
      <w:r w:rsidRPr="002843E6">
        <w:rPr>
          <w:rFonts w:eastAsia="宋体"/>
          <w:szCs w:val="20"/>
          <w:lang w:val="en-GB" w:eastAsia="ja-JP"/>
        </w:rPr>
        <w:t xml:space="preserve"> (indicated by the capability): 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 xml:space="preserve">1 slot (applicable to </w:t>
      </w:r>
      <w:proofErr w:type="spellStart"/>
      <w:r w:rsidRPr="002843E6">
        <w:rPr>
          <w:rFonts w:eastAsia="宋体"/>
          <w:szCs w:val="20"/>
          <w:lang w:val="en-GB" w:eastAsia="ja-JP"/>
        </w:rPr>
        <w:t>eMTC</w:t>
      </w:r>
      <w:proofErr w:type="spellEnd"/>
      <w:r w:rsidRPr="002843E6">
        <w:rPr>
          <w:rFonts w:eastAsia="宋体"/>
          <w:szCs w:val="20"/>
          <w:lang w:val="en-GB" w:eastAsia="ja-JP"/>
        </w:rPr>
        <w:t>)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 xml:space="preserve">1 subframe (applicable to </w:t>
      </w:r>
      <w:proofErr w:type="spellStart"/>
      <w:r w:rsidRPr="002843E6">
        <w:rPr>
          <w:rFonts w:eastAsia="宋体"/>
          <w:szCs w:val="20"/>
          <w:lang w:val="en-GB" w:eastAsia="ja-JP"/>
        </w:rPr>
        <w:t>eMTC</w:t>
      </w:r>
      <w:proofErr w:type="spellEnd"/>
      <w:r w:rsidRPr="002843E6">
        <w:rPr>
          <w:rFonts w:eastAsia="宋体"/>
          <w:szCs w:val="20"/>
          <w:lang w:val="en-GB" w:eastAsia="ja-JP"/>
        </w:rPr>
        <w:t>)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>1 slot (applicable to NB-IoT)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>2 slots (applicable to NB-IoT)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 xml:space="preserve">1 symbol (applicable to both </w:t>
      </w:r>
      <w:proofErr w:type="spellStart"/>
      <w:r w:rsidRPr="002843E6">
        <w:rPr>
          <w:rFonts w:eastAsia="宋体"/>
          <w:szCs w:val="20"/>
          <w:lang w:val="en-GB" w:eastAsia="ja-JP"/>
        </w:rPr>
        <w:t>eMTC</w:t>
      </w:r>
      <w:proofErr w:type="spellEnd"/>
      <w:r w:rsidRPr="002843E6">
        <w:rPr>
          <w:rFonts w:eastAsia="宋体"/>
          <w:szCs w:val="20"/>
          <w:lang w:val="en-GB" w:eastAsia="ja-JP"/>
        </w:rPr>
        <w:t xml:space="preserve"> and NB-IoT) </w:t>
      </w:r>
    </w:p>
    <w:p w:rsidR="002843E6" w:rsidRPr="002843E6" w:rsidRDefault="002843E6" w:rsidP="002843E6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>UE follows legacy behaviour at slot boundaries due to TA adjustment</w:t>
      </w:r>
    </w:p>
    <w:p w:rsidR="002843E6" w:rsidRPr="002843E6" w:rsidRDefault="002843E6" w:rsidP="002843E6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宋体"/>
          <w:szCs w:val="20"/>
          <w:lang w:val="en-GB" w:eastAsia="ja-JP"/>
        </w:rPr>
      </w:pPr>
      <w:r w:rsidRPr="002843E6">
        <w:rPr>
          <w:rFonts w:eastAsia="宋体"/>
          <w:szCs w:val="20"/>
          <w:lang w:val="en-GB" w:eastAsia="ja-JP"/>
        </w:rPr>
        <w:t>When capability is NOT signalled: UE follows legacy behaviour at slot boundaries due to TA adjustment</w:t>
      </w:r>
    </w:p>
    <w:p w:rsidR="001223A7" w:rsidRDefault="009A6B73" w:rsidP="00960FF6">
      <w:pPr>
        <w:spacing w:after="120" w:line="240" w:lineRule="auto"/>
        <w:jc w:val="both"/>
        <w:rPr>
          <w:rFonts w:eastAsiaTheme="minorEastAsia"/>
          <w:color w:val="000000"/>
          <w:szCs w:val="20"/>
          <w:lang w:eastAsia="zh-CN"/>
        </w:rPr>
      </w:pPr>
      <w:r>
        <w:rPr>
          <w:rFonts w:eastAsiaTheme="minorEastAsia" w:hint="eastAsia"/>
          <w:color w:val="000000"/>
          <w:szCs w:val="20"/>
          <w:lang w:eastAsia="zh-CN"/>
        </w:rPr>
        <w:lastRenderedPageBreak/>
        <w:t>A</w:t>
      </w:r>
      <w:r>
        <w:rPr>
          <w:rFonts w:eastAsiaTheme="minorEastAsia"/>
          <w:color w:val="000000"/>
          <w:szCs w:val="20"/>
          <w:lang w:eastAsia="zh-CN"/>
        </w:rPr>
        <w:t xml:space="preserve">ccording to the agreement, </w:t>
      </w:r>
      <w:r w:rsidR="00E825F4">
        <w:rPr>
          <w:rFonts w:eastAsiaTheme="minorEastAsia"/>
          <w:color w:val="000000"/>
          <w:szCs w:val="20"/>
          <w:lang w:eastAsia="zh-CN"/>
        </w:rPr>
        <w:t xml:space="preserve">it can be seen that </w:t>
      </w:r>
      <w:r w:rsidR="0032567F">
        <w:rPr>
          <w:rFonts w:eastAsiaTheme="minorEastAsia"/>
          <w:color w:val="000000"/>
          <w:szCs w:val="20"/>
          <w:lang w:eastAsia="zh-CN"/>
        </w:rPr>
        <w:t xml:space="preserve">the single UE capability may or may not be </w:t>
      </w:r>
      <w:proofErr w:type="spellStart"/>
      <w:r w:rsidR="0032567F">
        <w:rPr>
          <w:rFonts w:eastAsiaTheme="minorEastAsia"/>
          <w:color w:val="000000"/>
          <w:szCs w:val="20"/>
          <w:lang w:eastAsia="zh-CN"/>
        </w:rPr>
        <w:t>signalled</w:t>
      </w:r>
      <w:proofErr w:type="spellEnd"/>
      <w:r w:rsidR="0032567F">
        <w:rPr>
          <w:rFonts w:eastAsiaTheme="minorEastAsia"/>
          <w:color w:val="000000"/>
          <w:szCs w:val="20"/>
          <w:lang w:eastAsia="zh-CN"/>
        </w:rPr>
        <w:t xml:space="preserve">. When the single UE capability is </w:t>
      </w:r>
      <w:r w:rsidR="00936233">
        <w:rPr>
          <w:rFonts w:eastAsiaTheme="minorEastAsia"/>
          <w:color w:val="000000"/>
          <w:szCs w:val="20"/>
          <w:lang w:eastAsia="zh-CN"/>
        </w:rPr>
        <w:t>signaled,</w:t>
      </w:r>
      <w:r w:rsidR="008120DD">
        <w:rPr>
          <w:rFonts w:eastAsiaTheme="minorEastAsia"/>
          <w:color w:val="000000"/>
          <w:szCs w:val="20"/>
          <w:lang w:eastAsia="zh-CN"/>
        </w:rPr>
        <w:t xml:space="preserve"> then</w:t>
      </w:r>
      <w:r w:rsidR="00936233" w:rsidRPr="00936233">
        <w:rPr>
          <w:rFonts w:eastAsiaTheme="minorEastAsia"/>
          <w:color w:val="000000"/>
          <w:szCs w:val="20"/>
          <w:lang w:eastAsia="zh-CN"/>
        </w:rPr>
        <w:t xml:space="preserve"> </w:t>
      </w:r>
      <w:r w:rsidR="008120DD">
        <w:rPr>
          <w:rFonts w:eastAsiaTheme="minorEastAsia"/>
          <w:color w:val="000000"/>
          <w:szCs w:val="20"/>
          <w:lang w:eastAsia="zh-CN"/>
        </w:rPr>
        <w:t xml:space="preserve">the </w:t>
      </w:r>
      <w:r w:rsidR="00936233" w:rsidRPr="00936233">
        <w:rPr>
          <w:rFonts w:eastAsiaTheme="minorEastAsia"/>
          <w:color w:val="000000"/>
          <w:szCs w:val="20"/>
          <w:lang w:eastAsia="zh-CN"/>
        </w:rPr>
        <w:t xml:space="preserve">UE drops one or more </w:t>
      </w:r>
      <w:r w:rsidR="008120DD">
        <w:rPr>
          <w:rFonts w:eastAsiaTheme="minorEastAsia"/>
          <w:color w:val="000000"/>
          <w:szCs w:val="20"/>
          <w:lang w:eastAsia="zh-CN"/>
        </w:rPr>
        <w:t xml:space="preserve">symbols/slots/subframes </w:t>
      </w:r>
      <w:r w:rsidR="00936233" w:rsidRPr="00936233">
        <w:rPr>
          <w:rFonts w:eastAsiaTheme="minorEastAsia"/>
          <w:color w:val="000000"/>
          <w:szCs w:val="20"/>
          <w:lang w:eastAsia="zh-CN"/>
        </w:rPr>
        <w:t>of uplink transmission between segments</w:t>
      </w:r>
      <w:r w:rsidR="008120DD">
        <w:rPr>
          <w:rFonts w:eastAsiaTheme="minorEastAsia"/>
          <w:color w:val="000000"/>
          <w:szCs w:val="20"/>
          <w:lang w:eastAsia="zh-CN"/>
        </w:rPr>
        <w:t xml:space="preserve"> or follows legacy </w:t>
      </w:r>
      <w:proofErr w:type="spellStart"/>
      <w:r w:rsidR="008120DD">
        <w:rPr>
          <w:rFonts w:eastAsiaTheme="minorEastAsia"/>
          <w:color w:val="000000"/>
          <w:szCs w:val="20"/>
          <w:lang w:eastAsia="zh-CN"/>
        </w:rPr>
        <w:t>behaviour</w:t>
      </w:r>
      <w:proofErr w:type="spellEnd"/>
      <w:r w:rsidR="008120DD">
        <w:rPr>
          <w:rFonts w:eastAsiaTheme="minorEastAsia"/>
          <w:color w:val="000000"/>
          <w:szCs w:val="20"/>
          <w:lang w:eastAsia="zh-CN"/>
        </w:rPr>
        <w:t xml:space="preserve"> based on the in</w:t>
      </w:r>
      <w:r w:rsidR="00FD552C">
        <w:rPr>
          <w:rFonts w:eastAsiaTheme="minorEastAsia"/>
          <w:color w:val="000000"/>
          <w:szCs w:val="20"/>
          <w:lang w:eastAsia="zh-CN"/>
        </w:rPr>
        <w:t>dicated capability. When</w:t>
      </w:r>
      <w:r w:rsidR="00FD552C" w:rsidRPr="00FD552C">
        <w:rPr>
          <w:rFonts w:eastAsiaTheme="minorEastAsia"/>
          <w:color w:val="000000"/>
          <w:szCs w:val="20"/>
          <w:lang w:eastAsia="zh-CN"/>
        </w:rPr>
        <w:t xml:space="preserve"> </w:t>
      </w:r>
      <w:r w:rsidR="00FD552C">
        <w:rPr>
          <w:rFonts w:eastAsiaTheme="minorEastAsia"/>
          <w:color w:val="000000"/>
          <w:szCs w:val="20"/>
          <w:lang w:eastAsia="zh-CN"/>
        </w:rPr>
        <w:t>the single UE capability is</w:t>
      </w:r>
      <w:r w:rsidR="00FD552C">
        <w:rPr>
          <w:rFonts w:eastAsiaTheme="minorEastAsia"/>
          <w:color w:val="000000"/>
          <w:szCs w:val="20"/>
          <w:lang w:eastAsia="zh-CN"/>
        </w:rPr>
        <w:t xml:space="preserve"> not</w:t>
      </w:r>
      <w:r w:rsidR="00FD552C">
        <w:rPr>
          <w:rFonts w:eastAsiaTheme="minorEastAsia"/>
          <w:color w:val="000000"/>
          <w:szCs w:val="20"/>
          <w:lang w:eastAsia="zh-CN"/>
        </w:rPr>
        <w:t xml:space="preserve"> signaled, then</w:t>
      </w:r>
      <w:r w:rsidR="00FD552C" w:rsidRPr="00936233">
        <w:rPr>
          <w:rFonts w:eastAsiaTheme="minorEastAsia"/>
          <w:color w:val="000000"/>
          <w:szCs w:val="20"/>
          <w:lang w:eastAsia="zh-CN"/>
        </w:rPr>
        <w:t xml:space="preserve"> </w:t>
      </w:r>
      <w:r w:rsidR="00FD552C">
        <w:rPr>
          <w:rFonts w:eastAsiaTheme="minorEastAsia"/>
          <w:color w:val="000000"/>
          <w:szCs w:val="20"/>
          <w:lang w:eastAsia="zh-CN"/>
        </w:rPr>
        <w:t xml:space="preserve">the </w:t>
      </w:r>
      <w:r w:rsidR="00FD552C" w:rsidRPr="00936233">
        <w:rPr>
          <w:rFonts w:eastAsiaTheme="minorEastAsia"/>
          <w:color w:val="000000"/>
          <w:szCs w:val="20"/>
          <w:lang w:eastAsia="zh-CN"/>
        </w:rPr>
        <w:t>UE</w:t>
      </w:r>
      <w:r w:rsidR="00FD552C" w:rsidRPr="00FD552C">
        <w:rPr>
          <w:rFonts w:eastAsiaTheme="minorEastAsia"/>
          <w:color w:val="000000"/>
          <w:szCs w:val="20"/>
          <w:lang w:eastAsia="zh-CN"/>
        </w:rPr>
        <w:t xml:space="preserve"> </w:t>
      </w:r>
      <w:r w:rsidR="00FD552C">
        <w:rPr>
          <w:rFonts w:eastAsiaTheme="minorEastAsia"/>
          <w:color w:val="000000"/>
          <w:szCs w:val="20"/>
          <w:lang w:eastAsia="zh-CN"/>
        </w:rPr>
        <w:t xml:space="preserve">follows legacy </w:t>
      </w:r>
      <w:r w:rsidR="00FD552C">
        <w:rPr>
          <w:rFonts w:eastAsiaTheme="minorEastAsia"/>
          <w:color w:val="000000"/>
          <w:szCs w:val="20"/>
          <w:lang w:eastAsia="zh-CN"/>
        </w:rPr>
        <w:t xml:space="preserve">behavior, i.e., performs TA adjustment at slot boundaries. </w:t>
      </w:r>
      <w:r w:rsidR="00A22801">
        <w:rPr>
          <w:rFonts w:eastAsiaTheme="minorEastAsia"/>
          <w:color w:val="000000"/>
          <w:szCs w:val="20"/>
          <w:lang w:eastAsia="zh-CN"/>
        </w:rPr>
        <w:t>Therefore, the</w:t>
      </w:r>
      <w:r w:rsidR="00880F14">
        <w:rPr>
          <w:rFonts w:eastAsiaTheme="minorEastAsia"/>
          <w:color w:val="000000"/>
          <w:szCs w:val="20"/>
          <w:lang w:eastAsia="zh-CN"/>
        </w:rPr>
        <w:t xml:space="preserve"> single UE capability should be an optional UE feature rather than a mandatory UE feature. </w:t>
      </w:r>
      <w:r w:rsidR="000E39F0">
        <w:rPr>
          <w:rFonts w:eastAsiaTheme="minorEastAsia"/>
          <w:color w:val="000000"/>
          <w:szCs w:val="20"/>
          <w:lang w:eastAsia="zh-CN"/>
        </w:rPr>
        <w:t xml:space="preserve">We propose to </w:t>
      </w:r>
      <w:r w:rsidR="00064E88">
        <w:rPr>
          <w:rFonts w:eastAsiaTheme="minorEastAsia"/>
          <w:color w:val="000000"/>
          <w:szCs w:val="20"/>
          <w:lang w:eastAsia="zh-CN"/>
        </w:rPr>
        <w:t>update</w:t>
      </w:r>
      <w:r w:rsidR="000E39F0">
        <w:rPr>
          <w:rFonts w:eastAsiaTheme="minorEastAsia"/>
          <w:color w:val="000000"/>
          <w:szCs w:val="20"/>
          <w:lang w:eastAsia="zh-CN"/>
        </w:rPr>
        <w:t xml:space="preserve"> the </w:t>
      </w:r>
      <w:r w:rsidR="00D97945">
        <w:rPr>
          <w:rFonts w:eastAsiaTheme="minorEastAsia"/>
          <w:color w:val="000000"/>
          <w:szCs w:val="20"/>
          <w:lang w:eastAsia="zh-CN"/>
        </w:rPr>
        <w:t xml:space="preserve">corresponding descriptions </w:t>
      </w:r>
      <w:r w:rsidR="00064E88">
        <w:rPr>
          <w:rFonts w:eastAsiaTheme="minorEastAsia"/>
          <w:color w:val="000000"/>
          <w:szCs w:val="20"/>
          <w:lang w:eastAsia="zh-CN"/>
        </w:rPr>
        <w:t xml:space="preserve">for these </w:t>
      </w:r>
      <w:r w:rsidR="00064E88">
        <w:rPr>
          <w:rFonts w:eastAsiaTheme="minorEastAsia"/>
          <w:color w:val="000000"/>
          <w:szCs w:val="20"/>
          <w:lang w:eastAsia="zh-CN"/>
        </w:rPr>
        <w:t xml:space="preserve">single UE capability </w:t>
      </w:r>
      <w:r w:rsidR="00064E88">
        <w:rPr>
          <w:rFonts w:eastAsiaTheme="minorEastAsia"/>
          <w:color w:val="000000"/>
          <w:szCs w:val="20"/>
          <w:lang w:eastAsia="zh-CN"/>
        </w:rPr>
        <w:t>UE features to reflect this agreement</w:t>
      </w:r>
      <w:r w:rsidR="001C2B52">
        <w:rPr>
          <w:rFonts w:eastAsiaTheme="minorEastAsia"/>
          <w:color w:val="000000"/>
          <w:szCs w:val="20"/>
          <w:lang w:eastAsia="zh-CN"/>
        </w:rPr>
        <w:t>.</w:t>
      </w:r>
    </w:p>
    <w:p w:rsidR="00960FF6" w:rsidRPr="00960FF6" w:rsidRDefault="00960FF6" w:rsidP="00960FF6">
      <w:pPr>
        <w:spacing w:after="120" w:line="240" w:lineRule="auto"/>
        <w:jc w:val="both"/>
        <w:rPr>
          <w:rFonts w:eastAsia="MS Mincho"/>
          <w:b/>
          <w:bCs/>
          <w:color w:val="000000"/>
          <w:szCs w:val="20"/>
        </w:rPr>
      </w:pPr>
      <w:r w:rsidRPr="00960FF6">
        <w:rPr>
          <w:rFonts w:eastAsia="MS Mincho"/>
          <w:b/>
          <w:bCs/>
          <w:color w:val="000000"/>
          <w:szCs w:val="20"/>
        </w:rPr>
        <w:t xml:space="preserve">Proposal: </w:t>
      </w:r>
      <w:r w:rsidR="00D8258F">
        <w:rPr>
          <w:rFonts w:eastAsia="MS Mincho"/>
          <w:b/>
          <w:bCs/>
          <w:color w:val="000000"/>
          <w:szCs w:val="20"/>
        </w:rPr>
        <w:t>Clarify that the single UE capability should be an optional UE feature and update the UE features for NTN-IoT as follows.</w:t>
      </w:r>
      <w:r w:rsidR="008D130A">
        <w:rPr>
          <w:rFonts w:eastAsia="MS Mincho"/>
          <w:b/>
          <w:bCs/>
          <w:color w:val="00000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993"/>
        <w:gridCol w:w="708"/>
        <w:gridCol w:w="567"/>
        <w:gridCol w:w="567"/>
        <w:gridCol w:w="567"/>
        <w:gridCol w:w="851"/>
        <w:gridCol w:w="567"/>
        <w:gridCol w:w="425"/>
        <w:gridCol w:w="425"/>
        <w:gridCol w:w="993"/>
        <w:gridCol w:w="1268"/>
      </w:tblGrid>
      <w:tr w:rsidR="006032A3" w:rsidRPr="008A7EC5" w:rsidTr="00A2173D">
        <w:tc>
          <w:tcPr>
            <w:tcW w:w="704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2-1d</w:t>
            </w:r>
          </w:p>
        </w:tc>
        <w:tc>
          <w:tcPr>
            <w:tcW w:w="993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Segmented UL transmission for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2-1, 2-1a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Release 17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UE cannot communicate via GEO and NGSO NTNs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 xml:space="preserve">For UEs supporting communication via GEO and NGSO NTNs, it 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may </w:t>
            </w:r>
            <w:r w:rsidRPr="001C2B52">
              <w:rPr>
                <w:rFonts w:ascii="Arial" w:eastAsia="Malgun Gothic" w:hAnsi="Arial" w:cs="Arial"/>
                <w:strike/>
                <w:color w:val="FF0000"/>
                <w:sz w:val="16"/>
                <w:szCs w:val="16"/>
                <w:lang w:val="en-GB" w:eastAsia="zh-CN"/>
              </w:rPr>
              <w:t>must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>indicate this FG is supported.</w:t>
            </w:r>
          </w:p>
        </w:tc>
        <w:tc>
          <w:tcPr>
            <w:tcW w:w="1268" w:type="dxa"/>
            <w:shd w:val="clear" w:color="auto" w:fill="auto"/>
          </w:tcPr>
          <w:p w:rsidR="006032A3" w:rsidRPr="00106EE9" w:rsidRDefault="006032A3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t>Optional with capability signalling</w:t>
            </w:r>
          </w:p>
          <w:p w:rsidR="006032A3" w:rsidRPr="00106EE9" w:rsidRDefault="006032A3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</w:pPr>
          </w:p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IoT-NTN cell, for terrestrial cell this feature is not supported</w:t>
            </w:r>
          </w:p>
        </w:tc>
      </w:tr>
      <w:tr w:rsidR="006032A3" w:rsidRPr="008A7EC5" w:rsidTr="00A2173D">
        <w:tc>
          <w:tcPr>
            <w:tcW w:w="704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2-1e</w:t>
            </w:r>
          </w:p>
        </w:tc>
        <w:tc>
          <w:tcPr>
            <w:tcW w:w="993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Segmented UL transmission for NB-IoT</w:t>
            </w:r>
          </w:p>
        </w:tc>
        <w:tc>
          <w:tcPr>
            <w:tcW w:w="708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2-1b, 2-1c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Release 17 NB-IoT UE cannot communicate via NGSO NTNs</w:t>
            </w:r>
          </w:p>
        </w:tc>
        <w:tc>
          <w:tcPr>
            <w:tcW w:w="567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 xml:space="preserve">For UEs supporting communication via NGSO NTNs, it 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may </w:t>
            </w:r>
            <w:r w:rsidRPr="001C2B52">
              <w:rPr>
                <w:rFonts w:ascii="Arial" w:eastAsia="Malgun Gothic" w:hAnsi="Arial" w:cs="Arial"/>
                <w:strike/>
                <w:color w:val="FF0000"/>
                <w:sz w:val="16"/>
                <w:szCs w:val="16"/>
                <w:lang w:val="en-GB" w:eastAsia="zh-CN"/>
              </w:rPr>
              <w:t>must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>indicate this FG is supported.</w:t>
            </w:r>
          </w:p>
        </w:tc>
        <w:tc>
          <w:tcPr>
            <w:tcW w:w="1268" w:type="dxa"/>
            <w:shd w:val="clear" w:color="auto" w:fill="auto"/>
          </w:tcPr>
          <w:p w:rsidR="006032A3" w:rsidRPr="00106EE9" w:rsidRDefault="006032A3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t>Optional with capability signalling</w:t>
            </w:r>
          </w:p>
          <w:p w:rsidR="006032A3" w:rsidRPr="00106EE9" w:rsidRDefault="006032A3" w:rsidP="00A2173D">
            <w:pPr>
              <w:spacing w:before="60" w:after="60" w:line="288" w:lineRule="auto"/>
              <w:ind w:firstLineChars="200" w:firstLine="320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:rsidR="006032A3" w:rsidRPr="00106EE9" w:rsidRDefault="006032A3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IoT-NTN cell, for terrestrial cell this feature is not supported</w:t>
            </w:r>
          </w:p>
        </w:tc>
      </w:tr>
    </w:tbl>
    <w:p w:rsidR="00960FF6" w:rsidRPr="00960FF6" w:rsidRDefault="00960FF6" w:rsidP="00960FF6">
      <w:pPr>
        <w:spacing w:after="120" w:line="240" w:lineRule="auto"/>
        <w:jc w:val="both"/>
        <w:rPr>
          <w:rFonts w:eastAsia="MS Mincho"/>
          <w:color w:val="000000"/>
          <w:szCs w:val="20"/>
        </w:rPr>
      </w:pPr>
    </w:p>
    <w:p w:rsidR="00872024" w:rsidRDefault="005B6D7A">
      <w:pPr>
        <w:pStyle w:val="1"/>
      </w:pPr>
      <w:r>
        <w:t>Conclusion</w:t>
      </w:r>
    </w:p>
    <w:p w:rsidR="00273943" w:rsidRPr="00273943" w:rsidRDefault="00273943" w:rsidP="00273943">
      <w:pPr>
        <w:spacing w:after="120" w:line="240" w:lineRule="auto"/>
        <w:jc w:val="both"/>
        <w:rPr>
          <w:rFonts w:eastAsia="宋体"/>
          <w:lang w:eastAsia="zh-CN"/>
        </w:rPr>
      </w:pPr>
      <w:r w:rsidRPr="00273943">
        <w:rPr>
          <w:rFonts w:eastAsia="宋体" w:hint="eastAsia"/>
          <w:lang w:eastAsia="zh-CN"/>
        </w:rPr>
        <w:t>I</w:t>
      </w:r>
      <w:r w:rsidRPr="00273943">
        <w:rPr>
          <w:rFonts w:eastAsia="宋体"/>
          <w:lang w:eastAsia="zh-CN"/>
        </w:rPr>
        <w:t xml:space="preserve">n this document, we provide our views </w:t>
      </w:r>
      <w:r w:rsidR="000E6678">
        <w:t>on UE features for NTN-</w:t>
      </w:r>
      <w:r w:rsidR="0003116F">
        <w:t>IoT</w:t>
      </w:r>
      <w:r w:rsidR="000E6678">
        <w:t>.</w:t>
      </w:r>
      <w:r w:rsidRPr="00273943">
        <w:rPr>
          <w:rFonts w:eastAsia="宋体"/>
          <w:lang w:eastAsia="zh-CN"/>
        </w:rPr>
        <w:t xml:space="preserve"> Our proposal </w:t>
      </w:r>
      <w:r w:rsidR="000E6678">
        <w:rPr>
          <w:rFonts w:eastAsia="宋体"/>
          <w:lang w:eastAsia="zh-CN"/>
        </w:rPr>
        <w:t>is</w:t>
      </w:r>
      <w:r w:rsidRPr="00273943">
        <w:rPr>
          <w:rFonts w:eastAsia="宋体"/>
          <w:lang w:eastAsia="zh-CN"/>
        </w:rPr>
        <w:t xml:space="preserve"> made as follows:</w:t>
      </w:r>
    </w:p>
    <w:p w:rsidR="004124FE" w:rsidRPr="00960FF6" w:rsidRDefault="004124FE" w:rsidP="004124FE">
      <w:pPr>
        <w:spacing w:after="120" w:line="240" w:lineRule="auto"/>
        <w:jc w:val="both"/>
        <w:rPr>
          <w:rFonts w:eastAsia="MS Mincho"/>
          <w:b/>
          <w:bCs/>
          <w:color w:val="000000"/>
          <w:szCs w:val="20"/>
        </w:rPr>
      </w:pPr>
      <w:r w:rsidRPr="00960FF6">
        <w:rPr>
          <w:rFonts w:eastAsia="MS Mincho"/>
          <w:b/>
          <w:bCs/>
          <w:color w:val="000000"/>
          <w:szCs w:val="20"/>
        </w:rPr>
        <w:t xml:space="preserve">Proposal: </w:t>
      </w:r>
      <w:r>
        <w:rPr>
          <w:rFonts w:eastAsia="MS Mincho"/>
          <w:b/>
          <w:bCs/>
          <w:color w:val="000000"/>
          <w:szCs w:val="20"/>
        </w:rPr>
        <w:t xml:space="preserve">Clarify that the single UE capability should be an optional UE feature and update the UE features for NTN-IoT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993"/>
        <w:gridCol w:w="708"/>
        <w:gridCol w:w="567"/>
        <w:gridCol w:w="567"/>
        <w:gridCol w:w="567"/>
        <w:gridCol w:w="851"/>
        <w:gridCol w:w="567"/>
        <w:gridCol w:w="425"/>
        <w:gridCol w:w="425"/>
        <w:gridCol w:w="993"/>
        <w:gridCol w:w="1268"/>
      </w:tblGrid>
      <w:tr w:rsidR="004124FE" w:rsidRPr="008A7EC5" w:rsidTr="00A2173D">
        <w:tc>
          <w:tcPr>
            <w:tcW w:w="704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2-1d</w:t>
            </w:r>
          </w:p>
        </w:tc>
        <w:tc>
          <w:tcPr>
            <w:tcW w:w="993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Segmented UL transmission for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2-1, 2-1a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Release 17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eMTC</w:t>
            </w:r>
            <w:proofErr w:type="spellEnd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UE cannot communicate via GEO and NGSO NTNs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 xml:space="preserve">For UEs supporting communication via GEO and NGSO NTNs, it 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may </w:t>
            </w:r>
            <w:r w:rsidRPr="001C2B52">
              <w:rPr>
                <w:rFonts w:ascii="Arial" w:eastAsia="Malgun Gothic" w:hAnsi="Arial" w:cs="Arial"/>
                <w:strike/>
                <w:color w:val="FF0000"/>
                <w:sz w:val="16"/>
                <w:szCs w:val="16"/>
                <w:lang w:val="en-GB" w:eastAsia="zh-CN"/>
              </w:rPr>
              <w:t>must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>indicate this FG is supported.</w:t>
            </w:r>
          </w:p>
        </w:tc>
        <w:tc>
          <w:tcPr>
            <w:tcW w:w="1268" w:type="dxa"/>
            <w:shd w:val="clear" w:color="auto" w:fill="auto"/>
          </w:tcPr>
          <w:p w:rsidR="004124FE" w:rsidRPr="00106EE9" w:rsidRDefault="004124FE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t>Optional with capability signalling</w:t>
            </w:r>
          </w:p>
          <w:p w:rsidR="004124FE" w:rsidRPr="00106EE9" w:rsidRDefault="004124FE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</w:pPr>
          </w:p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IoT-NTN cell, for terrestrial cell this feature is not supported</w:t>
            </w:r>
          </w:p>
        </w:tc>
      </w:tr>
      <w:tr w:rsidR="004124FE" w:rsidRPr="008A7EC5" w:rsidTr="00A2173D">
        <w:tc>
          <w:tcPr>
            <w:tcW w:w="704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proofErr w:type="spellStart"/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LTE_NBIOT_eMTC_NTN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2-1e</w:t>
            </w:r>
          </w:p>
        </w:tc>
        <w:tc>
          <w:tcPr>
            <w:tcW w:w="993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Segmented UL transmission for NB-IoT</w:t>
            </w:r>
          </w:p>
        </w:tc>
        <w:tc>
          <w:tcPr>
            <w:tcW w:w="708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Single UE capability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2-1b, 2-1c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Yes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Release 17 NB-IoT UE cannot communicate via NGSO NTNs</w:t>
            </w:r>
          </w:p>
        </w:tc>
        <w:tc>
          <w:tcPr>
            <w:tcW w:w="567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 UE</w:t>
            </w:r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425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</w:t>
            </w:r>
          </w:p>
        </w:tc>
        <w:tc>
          <w:tcPr>
            <w:tcW w:w="993" w:type="dxa"/>
            <w:shd w:val="clear" w:color="auto" w:fill="auto"/>
          </w:tcPr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 xml:space="preserve">For UEs supporting communication via NGSO NTNs, it 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may </w:t>
            </w:r>
            <w:r w:rsidRPr="001C2B52">
              <w:rPr>
                <w:rFonts w:ascii="Arial" w:eastAsia="Malgun Gothic" w:hAnsi="Arial" w:cs="Arial"/>
                <w:strike/>
                <w:color w:val="FF0000"/>
                <w:sz w:val="16"/>
                <w:szCs w:val="16"/>
                <w:lang w:val="en-GB" w:eastAsia="zh-CN"/>
              </w:rPr>
              <w:t>must</w:t>
            </w:r>
            <w:r w:rsidRPr="001C2B52">
              <w:rPr>
                <w:rFonts w:ascii="Arial" w:eastAsia="Malgun Gothic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t xml:space="preserve">indicate 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zh-CN"/>
              </w:rPr>
              <w:lastRenderedPageBreak/>
              <w:t>this FG is supported.</w:t>
            </w:r>
          </w:p>
        </w:tc>
        <w:tc>
          <w:tcPr>
            <w:tcW w:w="1268" w:type="dxa"/>
            <w:shd w:val="clear" w:color="auto" w:fill="auto"/>
          </w:tcPr>
          <w:p w:rsidR="004124FE" w:rsidRPr="00106EE9" w:rsidRDefault="004124FE" w:rsidP="00A217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val="en-GB" w:eastAsia="ja-JP"/>
              </w:rPr>
            </w:pPr>
            <w:r w:rsidRPr="00106EE9">
              <w:rPr>
                <w:rFonts w:ascii="Arial" w:hAnsi="Arial"/>
                <w:color w:val="000000"/>
                <w:sz w:val="16"/>
                <w:szCs w:val="16"/>
                <w:lang w:val="en-GB" w:eastAsia="ja-JP"/>
              </w:rPr>
              <w:lastRenderedPageBreak/>
              <w:t>Optional with capability signalling</w:t>
            </w:r>
          </w:p>
          <w:p w:rsidR="004124FE" w:rsidRPr="00106EE9" w:rsidRDefault="004124FE" w:rsidP="00A2173D">
            <w:pPr>
              <w:spacing w:before="60" w:after="60" w:line="288" w:lineRule="auto"/>
              <w:ind w:firstLineChars="200" w:firstLine="320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:rsidR="004124FE" w:rsidRPr="00106EE9" w:rsidRDefault="004124FE" w:rsidP="00A2173D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Note: This UE feature group is applicable only for IoT-</w:t>
            </w:r>
            <w:r w:rsidRPr="00106EE9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lastRenderedPageBreak/>
              <w:t>NTN cell, for terrestrial cell this feature is not supported</w:t>
            </w:r>
          </w:p>
        </w:tc>
      </w:tr>
    </w:tbl>
    <w:p w:rsidR="004124FE" w:rsidRPr="00960FF6" w:rsidRDefault="004124FE" w:rsidP="004124FE">
      <w:pPr>
        <w:spacing w:after="120" w:line="240" w:lineRule="auto"/>
        <w:jc w:val="both"/>
        <w:rPr>
          <w:rFonts w:eastAsia="MS Mincho"/>
          <w:color w:val="000000"/>
          <w:szCs w:val="20"/>
        </w:rPr>
      </w:pPr>
    </w:p>
    <w:p w:rsidR="000E6678" w:rsidRPr="0003116F" w:rsidRDefault="000E6678" w:rsidP="000E6678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bookmarkStart w:id="2" w:name="_GoBack"/>
      <w:bookmarkEnd w:id="2"/>
    </w:p>
    <w:p w:rsidR="00273943" w:rsidRDefault="00273943" w:rsidP="00273943">
      <w:pPr>
        <w:pStyle w:val="1"/>
      </w:pPr>
      <w:r>
        <w:t>Reference</w:t>
      </w:r>
    </w:p>
    <w:p w:rsidR="00273943" w:rsidRPr="00273943" w:rsidRDefault="007D1416" w:rsidP="00273943">
      <w:pPr>
        <w:numPr>
          <w:ilvl w:val="0"/>
          <w:numId w:val="29"/>
        </w:numPr>
        <w:spacing w:after="120" w:line="240" w:lineRule="auto"/>
        <w:contextualSpacing/>
        <w:rPr>
          <w:rFonts w:eastAsia="宋体"/>
          <w:szCs w:val="20"/>
          <w:lang w:eastAsia="zh-CN"/>
        </w:rPr>
      </w:pPr>
      <w:r w:rsidRPr="007D1416">
        <w:rPr>
          <w:rFonts w:eastAsia="宋体"/>
          <w:lang w:eastAsia="zh-CN"/>
        </w:rPr>
        <w:t>R1-220485</w:t>
      </w:r>
      <w:r>
        <w:rPr>
          <w:rFonts w:eastAsia="宋体"/>
          <w:lang w:eastAsia="zh-CN"/>
        </w:rPr>
        <w:t>5</w:t>
      </w:r>
      <w:r w:rsidR="00B2251B">
        <w:rPr>
          <w:color w:val="000000"/>
          <w:szCs w:val="20"/>
        </w:rPr>
        <w:t xml:space="preserve">, </w:t>
      </w:r>
      <w:r w:rsidRPr="007D1416">
        <w:rPr>
          <w:color w:val="000000"/>
          <w:szCs w:val="20"/>
        </w:rPr>
        <w:t>Summary of UE features for IoT over NTN</w:t>
      </w:r>
      <w:r w:rsidR="00684B4B">
        <w:rPr>
          <w:rFonts w:eastAsia="宋体"/>
          <w:szCs w:val="20"/>
          <w:lang w:eastAsia="zh-CN"/>
        </w:rPr>
        <w:t xml:space="preserve">, </w:t>
      </w:r>
      <w:r w:rsidR="00684B4B" w:rsidRPr="00484347">
        <w:rPr>
          <w:rFonts w:eastAsia="宋体"/>
          <w:lang w:eastAsia="zh-CN"/>
        </w:rPr>
        <w:t>Moderator (AT&amp;T)</w:t>
      </w:r>
      <w:r w:rsidR="00684B4B">
        <w:rPr>
          <w:rFonts w:eastAsia="宋体"/>
          <w:szCs w:val="20"/>
          <w:lang w:eastAsia="zh-CN"/>
        </w:rPr>
        <w:t>.</w:t>
      </w:r>
    </w:p>
    <w:p w:rsidR="00273943" w:rsidRPr="00273943" w:rsidRDefault="00273943" w:rsidP="00C554C6">
      <w:pPr>
        <w:tabs>
          <w:tab w:val="left" w:pos="567"/>
        </w:tabs>
        <w:spacing w:after="120" w:line="240" w:lineRule="auto"/>
        <w:contextualSpacing/>
        <w:rPr>
          <w:rFonts w:eastAsia="宋体"/>
          <w:szCs w:val="20"/>
          <w:lang w:eastAsia="zh-CN"/>
        </w:rPr>
      </w:pPr>
    </w:p>
    <w:p w:rsidR="00912C06" w:rsidRDefault="00912C06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912C06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31B" w:rsidRDefault="004D031B">
      <w:pPr>
        <w:spacing w:line="240" w:lineRule="auto"/>
      </w:pPr>
      <w:r>
        <w:separator/>
      </w:r>
    </w:p>
  </w:endnote>
  <w:endnote w:type="continuationSeparator" w:id="0">
    <w:p w:rsidR="004D031B" w:rsidRDefault="004D03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31B" w:rsidRDefault="004D031B">
      <w:pPr>
        <w:spacing w:after="0"/>
      </w:pPr>
      <w:r>
        <w:separator/>
      </w:r>
    </w:p>
  </w:footnote>
  <w:footnote w:type="continuationSeparator" w:id="0">
    <w:p w:rsidR="004D031B" w:rsidRDefault="004D03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2FA3"/>
    <w:multiLevelType w:val="multilevel"/>
    <w:tmpl w:val="070A2FA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E3570"/>
    <w:multiLevelType w:val="multilevel"/>
    <w:tmpl w:val="08FE357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741164"/>
    <w:multiLevelType w:val="multilevel"/>
    <w:tmpl w:val="1D74116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A545AA"/>
    <w:multiLevelType w:val="multilevel"/>
    <w:tmpl w:val="1FA545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AA06E5C"/>
    <w:multiLevelType w:val="multilevel"/>
    <w:tmpl w:val="5AA06E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0F0BB2"/>
    <w:multiLevelType w:val="multilevel"/>
    <w:tmpl w:val="5F0F0BB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833DB9"/>
    <w:multiLevelType w:val="multilevel"/>
    <w:tmpl w:val="6C833DB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2950AA6"/>
    <w:multiLevelType w:val="hybridMultilevel"/>
    <w:tmpl w:val="7898C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740E0580"/>
    <w:multiLevelType w:val="multilevel"/>
    <w:tmpl w:val="740E058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9" w15:restartNumberingAfterBreak="0">
    <w:nsid w:val="7BFA0B93"/>
    <w:multiLevelType w:val="multilevel"/>
    <w:tmpl w:val="7BFA0B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7"/>
  </w:num>
  <w:num w:numId="4">
    <w:abstractNumId w:val="20"/>
  </w:num>
  <w:num w:numId="5">
    <w:abstractNumId w:val="13"/>
  </w:num>
  <w:num w:numId="6">
    <w:abstractNumId w:val="26"/>
  </w:num>
  <w:num w:numId="7">
    <w:abstractNumId w:val="12"/>
  </w:num>
  <w:num w:numId="8">
    <w:abstractNumId w:val="17"/>
  </w:num>
  <w:num w:numId="9">
    <w:abstractNumId w:val="7"/>
  </w:num>
  <w:num w:numId="10">
    <w:abstractNumId w:val="6"/>
  </w:num>
  <w:num w:numId="11">
    <w:abstractNumId w:val="21"/>
  </w:num>
  <w:num w:numId="12">
    <w:abstractNumId w:val="15"/>
  </w:num>
  <w:num w:numId="13">
    <w:abstractNumId w:val="9"/>
  </w:num>
  <w:num w:numId="14">
    <w:abstractNumId w:val="25"/>
  </w:num>
  <w:num w:numId="15">
    <w:abstractNumId w:val="10"/>
  </w:num>
  <w:num w:numId="16">
    <w:abstractNumId w:val="2"/>
  </w:num>
  <w:num w:numId="17">
    <w:abstractNumId w:val="18"/>
  </w:num>
  <w:num w:numId="18">
    <w:abstractNumId w:val="3"/>
  </w:num>
  <w:num w:numId="19">
    <w:abstractNumId w:val="0"/>
  </w:num>
  <w:num w:numId="20">
    <w:abstractNumId w:val="14"/>
  </w:num>
  <w:num w:numId="21">
    <w:abstractNumId w:val="16"/>
  </w:num>
  <w:num w:numId="22">
    <w:abstractNumId w:val="5"/>
  </w:num>
  <w:num w:numId="23">
    <w:abstractNumId w:val="29"/>
  </w:num>
  <w:num w:numId="24">
    <w:abstractNumId w:val="24"/>
  </w:num>
  <w:num w:numId="25">
    <w:abstractNumId w:val="1"/>
  </w:num>
  <w:num w:numId="26">
    <w:abstractNumId w:val="19"/>
  </w:num>
  <w:num w:numId="27">
    <w:abstractNumId w:val="4"/>
  </w:num>
  <w:num w:numId="28">
    <w:abstractNumId w:val="11"/>
  </w:num>
  <w:num w:numId="29">
    <w:abstractNumId w:val="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16F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C5D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040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E88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4F6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21E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9F0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678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58D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C3"/>
    <w:rsid w:val="000F63D8"/>
    <w:rsid w:val="000F6569"/>
    <w:rsid w:val="000F66DA"/>
    <w:rsid w:val="000F68A2"/>
    <w:rsid w:val="000F6F0E"/>
    <w:rsid w:val="000F6FD6"/>
    <w:rsid w:val="000F7057"/>
    <w:rsid w:val="000F7112"/>
    <w:rsid w:val="000F742E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56C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6EE9"/>
    <w:rsid w:val="00107891"/>
    <w:rsid w:val="00107ABF"/>
    <w:rsid w:val="00107B77"/>
    <w:rsid w:val="00107F0B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3A7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05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4D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B45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1F3D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B52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26B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8FD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5A"/>
    <w:rsid w:val="0027298D"/>
    <w:rsid w:val="00272AA2"/>
    <w:rsid w:val="00272BE0"/>
    <w:rsid w:val="00272C1A"/>
    <w:rsid w:val="002732F6"/>
    <w:rsid w:val="00273943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3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2F4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A66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6B"/>
    <w:rsid w:val="002A068E"/>
    <w:rsid w:val="002A0746"/>
    <w:rsid w:val="002A07FF"/>
    <w:rsid w:val="002A0EFA"/>
    <w:rsid w:val="002A1546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384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C72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2F2F"/>
    <w:rsid w:val="002F3045"/>
    <w:rsid w:val="002F30EB"/>
    <w:rsid w:val="002F3281"/>
    <w:rsid w:val="002F32CD"/>
    <w:rsid w:val="002F3457"/>
    <w:rsid w:val="002F3532"/>
    <w:rsid w:val="002F3718"/>
    <w:rsid w:val="002F397F"/>
    <w:rsid w:val="002F3D7D"/>
    <w:rsid w:val="002F3D8B"/>
    <w:rsid w:val="002F3E3B"/>
    <w:rsid w:val="002F441B"/>
    <w:rsid w:val="002F4476"/>
    <w:rsid w:val="002F454A"/>
    <w:rsid w:val="002F473A"/>
    <w:rsid w:val="002F4B8D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989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67F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9D2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169A"/>
    <w:rsid w:val="00352041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2BE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73C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66E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4FE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1A2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5F70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545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14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E2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31B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520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4800"/>
    <w:rsid w:val="004E50F4"/>
    <w:rsid w:val="004E5127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7B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88B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0AF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2CB1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546"/>
    <w:rsid w:val="005E19DD"/>
    <w:rsid w:val="005E2010"/>
    <w:rsid w:val="005E2194"/>
    <w:rsid w:val="005E252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AAC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2A3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BD1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269"/>
    <w:rsid w:val="006733EB"/>
    <w:rsid w:val="0067373A"/>
    <w:rsid w:val="00673C53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B4B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179"/>
    <w:rsid w:val="006C058F"/>
    <w:rsid w:val="006C0BB2"/>
    <w:rsid w:val="006C0E44"/>
    <w:rsid w:val="006C1261"/>
    <w:rsid w:val="006C14C5"/>
    <w:rsid w:val="006C165F"/>
    <w:rsid w:val="006C17BF"/>
    <w:rsid w:val="006C1AD5"/>
    <w:rsid w:val="006C1C5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3F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2E4F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9D4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8EE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416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5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0DD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6C7E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3A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096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0F14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AED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A7EC5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620"/>
    <w:rsid w:val="008C79E2"/>
    <w:rsid w:val="008C7F4D"/>
    <w:rsid w:val="008D02D2"/>
    <w:rsid w:val="008D0356"/>
    <w:rsid w:val="008D0AD7"/>
    <w:rsid w:val="008D11AD"/>
    <w:rsid w:val="008D1233"/>
    <w:rsid w:val="008D130A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11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2C06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33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0FF6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4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25B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1C12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6B73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3CE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6DE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5E7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801"/>
    <w:rsid w:val="00A22998"/>
    <w:rsid w:val="00A22B97"/>
    <w:rsid w:val="00A22C0A"/>
    <w:rsid w:val="00A22DB6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9EC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193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02A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2F5B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51B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8BB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50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71A"/>
    <w:rsid w:val="00B909D4"/>
    <w:rsid w:val="00B90BCF"/>
    <w:rsid w:val="00B91039"/>
    <w:rsid w:val="00B91497"/>
    <w:rsid w:val="00B918D8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4A46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4E3A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A52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174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29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4C6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2A5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ED4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561"/>
    <w:rsid w:val="00D036C2"/>
    <w:rsid w:val="00D043CB"/>
    <w:rsid w:val="00D0446A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949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683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58F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945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AD3"/>
    <w:rsid w:val="00DA5B01"/>
    <w:rsid w:val="00DA5FA5"/>
    <w:rsid w:val="00DA602E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1E4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001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37F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725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486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7A7"/>
    <w:rsid w:val="00E67A5A"/>
    <w:rsid w:val="00E67FC9"/>
    <w:rsid w:val="00E70632"/>
    <w:rsid w:val="00E70AAE"/>
    <w:rsid w:val="00E70CD9"/>
    <w:rsid w:val="00E70CFB"/>
    <w:rsid w:val="00E70E8C"/>
    <w:rsid w:val="00E7104F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5F4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3CC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2F1D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569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93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9CC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1580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D90"/>
    <w:rsid w:val="00F40E34"/>
    <w:rsid w:val="00F40E41"/>
    <w:rsid w:val="00F40F75"/>
    <w:rsid w:val="00F4100E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633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7C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BBB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174"/>
    <w:rsid w:val="00F80331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5DEC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703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52C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D0CB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298BD5-0663-4E77-B3CE-1406FC81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3</Pages>
  <Words>711</Words>
  <Characters>4059</Characters>
  <Application>Microsoft Office Word</Application>
  <DocSecurity>0</DocSecurity>
  <Lines>33</Lines>
  <Paragraphs>9</Paragraphs>
  <ScaleCrop>false</ScaleCrop>
  <Company>OPPO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195</cp:revision>
  <cp:lastPrinted>2019-08-11T16:10:00Z</cp:lastPrinted>
  <dcterms:created xsi:type="dcterms:W3CDTF">2020-10-23T06:35:00Z</dcterms:created>
  <dcterms:modified xsi:type="dcterms:W3CDTF">2022-08-11T16:34:00Z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