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A0D8" w14:textId="2F25AB44" w:rsidR="00274471" w:rsidRPr="00DE5B89" w:rsidRDefault="00274471" w:rsidP="00274471">
      <w:pPr>
        <w:pStyle w:val="Header"/>
        <w:tabs>
          <w:tab w:val="left" w:pos="8222"/>
        </w:tabs>
        <w:rPr>
          <w:bCs/>
          <w:sz w:val="24"/>
        </w:rPr>
      </w:pPr>
      <w:bookmarkStart w:id="0" w:name="_Hlk772559"/>
      <w:bookmarkStart w:id="1" w:name="_Hlk4135959"/>
      <w:r w:rsidRPr="00DE5B89">
        <w:rPr>
          <w:bCs/>
          <w:sz w:val="24"/>
        </w:rPr>
        <w:t>3GPP TSG RAN WG1 Meeting #</w:t>
      </w:r>
      <w:r w:rsidR="00354093">
        <w:rPr>
          <w:bCs/>
          <w:sz w:val="24"/>
        </w:rPr>
        <w:t>11</w:t>
      </w:r>
      <w:r w:rsidR="00C521CC">
        <w:rPr>
          <w:bCs/>
          <w:sz w:val="24"/>
        </w:rPr>
        <w:t>0</w:t>
      </w:r>
      <w:r w:rsidRPr="00DE5B89">
        <w:rPr>
          <w:bCs/>
          <w:sz w:val="24"/>
        </w:rPr>
        <w:tab/>
      </w:r>
      <w:r w:rsidR="00DA5B89">
        <w:rPr>
          <w:bCs/>
          <w:sz w:val="24"/>
        </w:rPr>
        <w:t>R1-2206443</w:t>
      </w:r>
    </w:p>
    <w:bookmarkEnd w:id="0"/>
    <w:p w14:paraId="58CA4679" w14:textId="128C8E55" w:rsidR="00274471" w:rsidRDefault="00A415F7" w:rsidP="00274471">
      <w:pPr>
        <w:pStyle w:val="Header"/>
        <w:rPr>
          <w:bCs/>
          <w:sz w:val="24"/>
        </w:rPr>
      </w:pPr>
      <w:r w:rsidRPr="00A415F7">
        <w:rPr>
          <w:bCs/>
          <w:sz w:val="24"/>
        </w:rPr>
        <w:t>Toulouse, France</w:t>
      </w:r>
      <w:r w:rsidR="00274471" w:rsidRPr="00A31EF1">
        <w:rPr>
          <w:bCs/>
          <w:sz w:val="24"/>
        </w:rPr>
        <w:t xml:space="preserve">, </w:t>
      </w:r>
      <w:r w:rsidR="00354093">
        <w:rPr>
          <w:bCs/>
          <w:sz w:val="24"/>
        </w:rPr>
        <w:t>Au</w:t>
      </w:r>
      <w:r>
        <w:rPr>
          <w:bCs/>
          <w:sz w:val="24"/>
        </w:rPr>
        <w:t>gust</w:t>
      </w:r>
      <w:r w:rsidR="00274471" w:rsidRPr="009C5BDF">
        <w:rPr>
          <w:bCs/>
          <w:sz w:val="24"/>
        </w:rPr>
        <w:t xml:space="preserve"> </w:t>
      </w:r>
      <w:r w:rsidR="00354093">
        <w:rPr>
          <w:bCs/>
          <w:sz w:val="24"/>
        </w:rPr>
        <w:t>22</w:t>
      </w:r>
      <w:r w:rsidR="00354093">
        <w:rPr>
          <w:bCs/>
          <w:sz w:val="24"/>
          <w:vertAlign w:val="superscript"/>
        </w:rPr>
        <w:t>nd</w:t>
      </w:r>
      <w:r w:rsidR="00274471" w:rsidRPr="009C5BDF">
        <w:rPr>
          <w:bCs/>
          <w:sz w:val="24"/>
        </w:rPr>
        <w:t xml:space="preserve"> – 2</w:t>
      </w:r>
      <w:r w:rsidR="00354093">
        <w:rPr>
          <w:bCs/>
          <w:sz w:val="24"/>
        </w:rPr>
        <w:t>6</w:t>
      </w:r>
      <w:r w:rsidR="00274471" w:rsidRPr="009C5BDF">
        <w:rPr>
          <w:bCs/>
          <w:sz w:val="24"/>
          <w:vertAlign w:val="superscript"/>
        </w:rPr>
        <w:t>th</w:t>
      </w:r>
      <w:r w:rsidR="00274471" w:rsidRPr="009C5BDF">
        <w:rPr>
          <w:bCs/>
          <w:sz w:val="24"/>
        </w:rPr>
        <w:t>, 2022</w:t>
      </w:r>
    </w:p>
    <w:p w14:paraId="62FE7F26" w14:textId="77777777" w:rsidR="00C7199C" w:rsidRPr="00DE5B89" w:rsidRDefault="00C7199C" w:rsidP="00C7199C">
      <w:pPr>
        <w:pStyle w:val="Header"/>
        <w:rPr>
          <w:bCs/>
          <w:noProof w:val="0"/>
          <w:sz w:val="24"/>
          <w:lang w:eastAsia="ja-JP"/>
        </w:rPr>
      </w:pPr>
    </w:p>
    <w:p w14:paraId="5860C3EC"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A20F8B">
        <w:rPr>
          <w:rFonts w:cs="Arial"/>
          <w:b/>
          <w:bCs/>
          <w:sz w:val="24"/>
          <w:lang w:val="en-US"/>
        </w:rPr>
        <w:t>9</w:t>
      </w:r>
      <w:r w:rsidR="00E02820">
        <w:rPr>
          <w:rFonts w:cs="Arial"/>
          <w:b/>
          <w:bCs/>
          <w:sz w:val="24"/>
          <w:lang w:val="en-US"/>
        </w:rPr>
        <w:t>.</w:t>
      </w:r>
      <w:r w:rsidR="00211792">
        <w:rPr>
          <w:rFonts w:cs="Arial"/>
          <w:b/>
          <w:bCs/>
          <w:sz w:val="24"/>
          <w:lang w:val="en-US"/>
        </w:rPr>
        <w:t>6</w:t>
      </w:r>
      <w:r w:rsidR="00E02820">
        <w:rPr>
          <w:rFonts w:cs="Arial"/>
          <w:b/>
          <w:bCs/>
          <w:sz w:val="24"/>
          <w:lang w:val="en-US"/>
        </w:rPr>
        <w:t>.1</w:t>
      </w:r>
    </w:p>
    <w:p w14:paraId="13491CE3"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76E5F65F" w14:textId="77777777"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A20F8B">
        <w:rPr>
          <w:rFonts w:ascii="Arial" w:hAnsi="Arial" w:cs="Arial"/>
          <w:b/>
          <w:bCs/>
          <w:sz w:val="24"/>
          <w:lang w:val="en-US"/>
        </w:rPr>
        <w:t xml:space="preserve">Further </w:t>
      </w:r>
      <w:r w:rsidR="00AB4AE2">
        <w:rPr>
          <w:rFonts w:ascii="Arial" w:hAnsi="Arial" w:cs="Arial"/>
          <w:b/>
          <w:bCs/>
          <w:sz w:val="24"/>
          <w:lang w:val="en-US"/>
        </w:rPr>
        <w:t>UE Complexity Reduction</w:t>
      </w:r>
    </w:p>
    <w:p w14:paraId="6F298668"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27163334"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19B70944" w14:textId="2BA76B0F" w:rsidR="009E2DDD" w:rsidRDefault="009E2DDD" w:rsidP="0026536D">
      <w:pPr>
        <w:pStyle w:val="ListParagraph"/>
        <w:spacing w:before="120" w:after="120" w:line="259" w:lineRule="auto"/>
        <w:ind w:left="0" w:right="-96"/>
        <w:jc w:val="both"/>
        <w:rPr>
          <w:lang w:val="en-US"/>
        </w:rPr>
      </w:pPr>
      <w:bookmarkStart w:id="4" w:name="_Hlk525462591"/>
      <w:r>
        <w:rPr>
          <w:lang w:val="en-US"/>
        </w:rPr>
        <w:t xml:space="preserve">In Rel-18, a study item on further UE complexity reduction has been agreed </w:t>
      </w:r>
      <w:r>
        <w:rPr>
          <w:lang w:val="en-US"/>
        </w:rPr>
        <w:fldChar w:fldCharType="begin"/>
      </w:r>
      <w:r>
        <w:rPr>
          <w:lang w:val="en-US"/>
        </w:rPr>
        <w:instrText xml:space="preserve"> REF _Ref3999986 \n \h </w:instrText>
      </w:r>
      <w:r>
        <w:rPr>
          <w:lang w:val="en-US"/>
        </w:rPr>
      </w:r>
      <w:r>
        <w:rPr>
          <w:lang w:val="en-US"/>
        </w:rPr>
        <w:fldChar w:fldCharType="separate"/>
      </w:r>
      <w:r w:rsidR="00034224">
        <w:rPr>
          <w:lang w:val="en-US"/>
        </w:rPr>
        <w:t>[1]</w:t>
      </w:r>
      <w:r>
        <w:rPr>
          <w:lang w:val="en-US"/>
        </w:rPr>
        <w:fldChar w:fldCharType="end"/>
      </w:r>
      <w:r w:rsidR="00354093">
        <w:rPr>
          <w:lang w:val="en-US"/>
        </w:rPr>
        <w:t xml:space="preserve">. In RAN1#109-e, the following agreements were reached </w:t>
      </w:r>
      <w:r>
        <w:rPr>
          <w:lang w:val="en-US"/>
        </w:rPr>
        <w:t>–</w:t>
      </w:r>
    </w:p>
    <w:p w14:paraId="1DEB3219" w14:textId="77777777" w:rsidR="00354093" w:rsidRPr="003F6BC8" w:rsidRDefault="00354093" w:rsidP="00354093">
      <w:pPr>
        <w:spacing w:after="0"/>
        <w:rPr>
          <w:rFonts w:eastAsia="Microsoft YaHei UI"/>
          <w:color w:val="000000"/>
          <w:highlight w:val="green"/>
          <w:lang w:val="en-US" w:eastAsia="zh-CN"/>
        </w:rPr>
      </w:pPr>
      <w:r w:rsidRPr="003F6BC8">
        <w:rPr>
          <w:rFonts w:eastAsia="Microsoft YaHei UI"/>
          <w:color w:val="000000"/>
          <w:highlight w:val="green"/>
          <w:shd w:val="clear" w:color="auto" w:fill="FFFF00"/>
          <w:lang w:val="en-US" w:eastAsia="zh-CN"/>
        </w:rPr>
        <w:t>Agreement</w:t>
      </w:r>
    </w:p>
    <w:p w14:paraId="62EDABFE" w14:textId="77777777" w:rsidR="00354093" w:rsidRDefault="00354093" w:rsidP="00354093">
      <w:pPr>
        <w:spacing w:after="0"/>
        <w:rPr>
          <w:rFonts w:eastAsia="Microsoft YaHei UI"/>
          <w:color w:val="000000"/>
          <w:lang w:val="en-US" w:eastAsia="zh-CN"/>
        </w:rPr>
      </w:pPr>
      <w:r w:rsidRPr="003F6BC8">
        <w:rPr>
          <w:rFonts w:eastAsia="Microsoft YaHei UI"/>
          <w:color w:val="000000"/>
          <w:lang w:val="en-US" w:eastAsia="zh-CN"/>
        </w:rPr>
        <w:t>For cost reduction estimation, the detailed cost breakdown for the Rel-15 reference NR devices (as provided in Table 6.1-1 in TR 38.875) is reused.</w:t>
      </w:r>
    </w:p>
    <w:p w14:paraId="52EC10FB" w14:textId="77777777" w:rsidR="00354093" w:rsidRDefault="00354093" w:rsidP="00354093">
      <w:pPr>
        <w:spacing w:after="0"/>
        <w:rPr>
          <w:rFonts w:eastAsia="Microsoft YaHei UI"/>
          <w:color w:val="000000"/>
          <w:highlight w:val="green"/>
          <w:shd w:val="clear" w:color="auto" w:fill="FFFF00"/>
          <w:lang w:val="en-US" w:eastAsia="zh-CN"/>
        </w:rPr>
      </w:pPr>
    </w:p>
    <w:p w14:paraId="455441A1" w14:textId="77777777" w:rsidR="00354093" w:rsidRPr="003F6BC8" w:rsidRDefault="00354093" w:rsidP="00354093">
      <w:pPr>
        <w:spacing w:after="0"/>
        <w:rPr>
          <w:rFonts w:eastAsia="Microsoft YaHei UI"/>
          <w:color w:val="000000"/>
          <w:highlight w:val="green"/>
          <w:lang w:val="en-US" w:eastAsia="zh-CN"/>
        </w:rPr>
      </w:pPr>
      <w:r w:rsidRPr="003F6BC8">
        <w:rPr>
          <w:rFonts w:eastAsia="Microsoft YaHei UI"/>
          <w:color w:val="000000"/>
          <w:highlight w:val="green"/>
          <w:shd w:val="clear" w:color="auto" w:fill="FFFF00"/>
          <w:lang w:val="en-US" w:eastAsia="zh-CN"/>
        </w:rPr>
        <w:t>Agreement</w:t>
      </w:r>
    </w:p>
    <w:p w14:paraId="4C668C2A" w14:textId="77777777" w:rsidR="00354093" w:rsidRPr="003F6BC8" w:rsidRDefault="00354093" w:rsidP="00354093">
      <w:pPr>
        <w:spacing w:after="0"/>
        <w:rPr>
          <w:rFonts w:eastAsia="Microsoft YaHei UI"/>
          <w:color w:val="000000"/>
          <w:lang w:val="en-US" w:eastAsia="zh-CN"/>
        </w:rPr>
      </w:pPr>
      <w:r w:rsidRPr="003F6BC8">
        <w:rPr>
          <w:rFonts w:eastAsia="Microsoft YaHei UI"/>
          <w:color w:val="000000"/>
          <w:lang w:val="en-US" w:eastAsia="zh-CN"/>
        </w:rPr>
        <w:t>For comparison with a Rel-17 baseline when evaluating the potential Rel-18 UE complexity reduction features,</w:t>
      </w:r>
    </w:p>
    <w:p w14:paraId="151BF676" w14:textId="77777777" w:rsidR="00354093" w:rsidRPr="003F6BC8" w:rsidRDefault="00354093" w:rsidP="00354093">
      <w:pPr>
        <w:numPr>
          <w:ilvl w:val="0"/>
          <w:numId w:val="23"/>
        </w:numPr>
        <w:overflowPunct/>
        <w:autoSpaceDE/>
        <w:autoSpaceDN/>
        <w:adjustRightInd/>
        <w:spacing w:after="0"/>
        <w:textAlignment w:val="auto"/>
        <w:rPr>
          <w:rFonts w:eastAsia="Microsoft YaHei UI"/>
          <w:color w:val="000000"/>
          <w:lang w:val="en-US" w:eastAsia="zh-CN"/>
        </w:rPr>
      </w:pPr>
      <w:r w:rsidRPr="003F6BC8">
        <w:rPr>
          <w:rFonts w:eastAsia="Microsoft YaHei UI"/>
          <w:color w:val="000000"/>
          <w:lang w:val="en-US" w:eastAsia="zh-CN"/>
        </w:rPr>
        <w:t>The Rel-17 RedCap UE supports 20 MHz, 1 Rx, 1 layer, DL 64QAM, UL 64QAM, FDD or TDD.</w:t>
      </w:r>
    </w:p>
    <w:p w14:paraId="6CCAC01E" w14:textId="77777777" w:rsidR="00354093" w:rsidRPr="003F6BC8" w:rsidRDefault="00354093" w:rsidP="00354093">
      <w:pPr>
        <w:numPr>
          <w:ilvl w:val="0"/>
          <w:numId w:val="23"/>
        </w:numPr>
        <w:overflowPunct/>
        <w:autoSpaceDE/>
        <w:autoSpaceDN/>
        <w:adjustRightInd/>
        <w:spacing w:after="0"/>
        <w:textAlignment w:val="auto"/>
        <w:rPr>
          <w:rFonts w:eastAsia="Microsoft YaHei UI"/>
          <w:color w:val="000000"/>
          <w:lang w:val="en-US" w:eastAsia="zh-CN"/>
        </w:rPr>
      </w:pPr>
      <w:r w:rsidRPr="003F6BC8">
        <w:rPr>
          <w:rFonts w:eastAsia="Microsoft YaHei UI"/>
          <w:color w:val="000000"/>
          <w:lang w:val="en-US" w:eastAsia="zh-CN"/>
        </w:rPr>
        <w:t>In addition, optional results for the following comparisons can also be reported:</w:t>
      </w:r>
    </w:p>
    <w:p w14:paraId="39392208" w14:textId="77777777" w:rsidR="00354093" w:rsidRPr="003F6BC8" w:rsidRDefault="00354093" w:rsidP="00354093">
      <w:pPr>
        <w:numPr>
          <w:ilvl w:val="1"/>
          <w:numId w:val="23"/>
        </w:numPr>
        <w:overflowPunct/>
        <w:autoSpaceDE/>
        <w:autoSpaceDN/>
        <w:adjustRightInd/>
        <w:spacing w:after="0"/>
        <w:textAlignment w:val="auto"/>
        <w:rPr>
          <w:rFonts w:eastAsia="Microsoft YaHei UI"/>
          <w:color w:val="000000"/>
          <w:lang w:val="en-US" w:eastAsia="zh-CN"/>
        </w:rPr>
      </w:pPr>
      <w:r w:rsidRPr="003F6BC8">
        <w:rPr>
          <w:rFonts w:eastAsia="Microsoft YaHei UI"/>
          <w:color w:val="000000"/>
          <w:lang w:val="en-US" w:eastAsia="zh-CN"/>
        </w:rPr>
        <w:t>Results for HD-FDD UEs</w:t>
      </w:r>
    </w:p>
    <w:p w14:paraId="5FDB4C5E" w14:textId="77777777" w:rsidR="00354093" w:rsidRPr="003F6BC8" w:rsidRDefault="00354093" w:rsidP="00354093">
      <w:pPr>
        <w:numPr>
          <w:ilvl w:val="1"/>
          <w:numId w:val="23"/>
        </w:numPr>
        <w:overflowPunct/>
        <w:autoSpaceDE/>
        <w:autoSpaceDN/>
        <w:adjustRightInd/>
        <w:spacing w:after="0"/>
        <w:textAlignment w:val="auto"/>
        <w:rPr>
          <w:rFonts w:eastAsia="Microsoft YaHei UI"/>
          <w:color w:val="000000"/>
          <w:lang w:val="en-US" w:eastAsia="zh-CN"/>
        </w:rPr>
      </w:pPr>
      <w:r w:rsidRPr="003F6BC8">
        <w:rPr>
          <w:rFonts w:eastAsia="Microsoft YaHei UI"/>
          <w:color w:val="000000"/>
          <w:lang w:val="en-US" w:eastAsia="zh-CN"/>
        </w:rPr>
        <w:t>Results for UEs with 2 Rx</w:t>
      </w:r>
    </w:p>
    <w:p w14:paraId="7B0DAC94" w14:textId="77777777" w:rsidR="00354093" w:rsidRPr="003F6BC8" w:rsidRDefault="00354093" w:rsidP="00354093">
      <w:pPr>
        <w:numPr>
          <w:ilvl w:val="0"/>
          <w:numId w:val="23"/>
        </w:numPr>
        <w:overflowPunct/>
        <w:autoSpaceDE/>
        <w:autoSpaceDN/>
        <w:adjustRightInd/>
        <w:spacing w:after="0"/>
        <w:textAlignment w:val="auto"/>
        <w:rPr>
          <w:rFonts w:eastAsia="Microsoft YaHei UI"/>
          <w:color w:val="000000"/>
          <w:lang w:val="en-US" w:eastAsia="zh-CN"/>
        </w:rPr>
      </w:pPr>
      <w:r w:rsidRPr="003F6BC8">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56A2A253" w14:textId="77777777" w:rsidR="00354093" w:rsidRDefault="00354093" w:rsidP="00354093">
      <w:pPr>
        <w:spacing w:after="0"/>
        <w:rPr>
          <w:rFonts w:eastAsia="Microsoft YaHei UI"/>
          <w:color w:val="000000"/>
          <w:lang w:val="en-US" w:eastAsia="zh-CN"/>
        </w:rPr>
      </w:pPr>
    </w:p>
    <w:p w14:paraId="383A2E08" w14:textId="77777777" w:rsidR="00354093" w:rsidRPr="00DD028D" w:rsidRDefault="00354093" w:rsidP="00354093">
      <w:pPr>
        <w:spacing w:after="0"/>
        <w:rPr>
          <w:rFonts w:eastAsia="Microsoft YaHei UI"/>
          <w:color w:val="000000"/>
          <w:highlight w:val="green"/>
          <w:lang w:val="en-US" w:eastAsia="zh-CN"/>
        </w:rPr>
      </w:pPr>
      <w:r w:rsidRPr="00DD028D">
        <w:rPr>
          <w:rFonts w:eastAsia="Microsoft YaHei UI" w:hint="eastAsia"/>
          <w:color w:val="000000"/>
          <w:highlight w:val="green"/>
          <w:lang w:val="en-US" w:eastAsia="zh-CN"/>
        </w:rPr>
        <w:t>Agreement</w:t>
      </w:r>
    </w:p>
    <w:p w14:paraId="2B04C79E" w14:textId="77777777" w:rsidR="00354093" w:rsidRPr="00DD028D" w:rsidRDefault="00354093" w:rsidP="00354093">
      <w:pPr>
        <w:pStyle w:val="ListParagraph"/>
        <w:numPr>
          <w:ilvl w:val="0"/>
          <w:numId w:val="25"/>
        </w:numPr>
        <w:tabs>
          <w:tab w:val="left" w:pos="772"/>
        </w:tabs>
        <w:overflowPunct/>
        <w:autoSpaceDE/>
        <w:autoSpaceDN/>
        <w:adjustRightInd/>
        <w:spacing w:after="0"/>
        <w:textAlignment w:val="auto"/>
        <w:rPr>
          <w:lang w:val="en-US"/>
        </w:rPr>
      </w:pPr>
      <w:r w:rsidRPr="00DD028D">
        <w:rPr>
          <w:lang w:val="en-US"/>
        </w:rPr>
        <w:t>The following options for relaxed UE processing timeline will be studied:</w:t>
      </w:r>
    </w:p>
    <w:p w14:paraId="716AC2A6" w14:textId="77777777" w:rsidR="00354093" w:rsidRPr="00DD028D" w:rsidRDefault="00354093" w:rsidP="00354093">
      <w:pPr>
        <w:pStyle w:val="ListParagraph"/>
        <w:numPr>
          <w:ilvl w:val="1"/>
          <w:numId w:val="25"/>
        </w:numPr>
        <w:overflowPunct/>
        <w:autoSpaceDE/>
        <w:autoSpaceDN/>
        <w:adjustRightInd/>
        <w:spacing w:after="0"/>
        <w:textAlignment w:val="auto"/>
        <w:rPr>
          <w:lang w:val="en-US"/>
        </w:rPr>
      </w:pPr>
      <w:r w:rsidRPr="00DD028D">
        <w:rPr>
          <w:lang w:val="en-US"/>
        </w:rPr>
        <w:t>Option PT1: Relaxation of UE processing time for PDSCH</w:t>
      </w:r>
      <w:r w:rsidRPr="00DD028D">
        <w:rPr>
          <w:rFonts w:eastAsia="DengXian"/>
          <w:lang w:val="en-US" w:eastAsia="zh-CN"/>
        </w:rPr>
        <w:t xml:space="preserve">/PUSCH </w:t>
      </w:r>
      <w:r w:rsidRPr="00DD028D">
        <w:rPr>
          <w:lang w:val="en-US"/>
        </w:rPr>
        <w:t>in terms of N</w:t>
      </w:r>
      <w:r w:rsidRPr="00DD028D">
        <w:rPr>
          <w:vertAlign w:val="subscript"/>
          <w:lang w:val="en-US"/>
        </w:rPr>
        <w:t>1</w:t>
      </w:r>
      <w:r w:rsidRPr="00DD028D">
        <w:rPr>
          <w:lang w:val="en-US"/>
        </w:rPr>
        <w:t xml:space="preserve"> and N</w:t>
      </w:r>
      <w:r w:rsidRPr="00DD028D">
        <w:rPr>
          <w:vertAlign w:val="subscript"/>
          <w:lang w:val="en-US"/>
        </w:rPr>
        <w:t>2</w:t>
      </w:r>
    </w:p>
    <w:p w14:paraId="27BA5ABC" w14:textId="77777777" w:rsidR="00354093" w:rsidRPr="00DD028D" w:rsidRDefault="00354093" w:rsidP="00354093">
      <w:pPr>
        <w:pStyle w:val="ListParagraph"/>
        <w:numPr>
          <w:ilvl w:val="1"/>
          <w:numId w:val="25"/>
        </w:numPr>
        <w:overflowPunct/>
        <w:autoSpaceDE/>
        <w:autoSpaceDN/>
        <w:adjustRightInd/>
        <w:spacing w:after="0"/>
        <w:textAlignment w:val="auto"/>
        <w:rPr>
          <w:lang w:val="en-US"/>
        </w:rPr>
      </w:pPr>
      <w:r w:rsidRPr="00DD028D">
        <w:rPr>
          <w:lang w:val="en-US"/>
        </w:rPr>
        <w:t xml:space="preserve">Option PT2: Relaxation of UE processing time for CSI in terms of Z and </w:t>
      </w:r>
      <w:r w:rsidRPr="0048784B">
        <w:rPr>
          <w:lang w:val="en-US"/>
        </w:rPr>
        <w:t>Z’</w:t>
      </w:r>
    </w:p>
    <w:p w14:paraId="33379EA9" w14:textId="77777777" w:rsidR="00354093" w:rsidRPr="00DD028D" w:rsidRDefault="00354093" w:rsidP="00354093">
      <w:pPr>
        <w:pStyle w:val="ListParagraph"/>
        <w:numPr>
          <w:ilvl w:val="0"/>
          <w:numId w:val="25"/>
        </w:numPr>
        <w:tabs>
          <w:tab w:val="left" w:pos="772"/>
        </w:tabs>
        <w:overflowPunct/>
        <w:autoSpaceDE/>
        <w:autoSpaceDN/>
        <w:adjustRightInd/>
        <w:spacing w:after="0"/>
        <w:textAlignment w:val="auto"/>
        <w:rPr>
          <w:lang w:val="en-US"/>
        </w:rPr>
      </w:pPr>
      <w:r w:rsidRPr="00DD028D">
        <w:rPr>
          <w:lang w:val="en-US"/>
        </w:rPr>
        <w:t>UE complexity reduction estimates for relaxed UE processing timeline are only reported for combinations with UE bandwidth reduction or UE peak rate reduction.</w:t>
      </w:r>
    </w:p>
    <w:p w14:paraId="7ADDBF4A" w14:textId="77777777" w:rsidR="00640E88" w:rsidRDefault="00640E88" w:rsidP="00354093">
      <w:pPr>
        <w:shd w:val="clear" w:color="auto" w:fill="FFFFFF"/>
        <w:spacing w:after="0"/>
        <w:jc w:val="both"/>
        <w:rPr>
          <w:highlight w:val="green"/>
          <w:shd w:val="clear" w:color="auto" w:fill="FFFF00"/>
          <w:lang w:val="en-US" w:eastAsia="zh-CN"/>
        </w:rPr>
      </w:pPr>
    </w:p>
    <w:p w14:paraId="4B1E5487" w14:textId="44A7F7E4" w:rsidR="00354093" w:rsidRPr="00EF0EBD" w:rsidRDefault="00354093" w:rsidP="00354093">
      <w:pPr>
        <w:shd w:val="clear" w:color="auto" w:fill="FFFFFF"/>
        <w:spacing w:after="0"/>
        <w:jc w:val="both"/>
        <w:rPr>
          <w:highlight w:val="green"/>
          <w:lang w:val="en-US" w:eastAsia="zh-CN"/>
        </w:rPr>
      </w:pPr>
      <w:r w:rsidRPr="00EF0EBD">
        <w:rPr>
          <w:highlight w:val="green"/>
          <w:shd w:val="clear" w:color="auto" w:fill="FFFF00"/>
          <w:lang w:val="en-US" w:eastAsia="zh-CN"/>
        </w:rPr>
        <w:t>Agreement</w:t>
      </w:r>
    </w:p>
    <w:p w14:paraId="659DA76B" w14:textId="77777777" w:rsidR="00354093" w:rsidRPr="00EF0EBD" w:rsidRDefault="00354093" w:rsidP="00354093">
      <w:pPr>
        <w:numPr>
          <w:ilvl w:val="0"/>
          <w:numId w:val="26"/>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following options for further UE bandwidth reduction can be studied:</w:t>
      </w:r>
    </w:p>
    <w:p w14:paraId="6C2C8EAF"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BW1: Both RF and BB bandwidths are 5 MHz for UL and DL.</w:t>
      </w:r>
    </w:p>
    <w:p w14:paraId="046AAF1D"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BCC8F6E" w14:textId="77777777" w:rsidR="00354093" w:rsidRPr="00EF0EBD" w:rsidRDefault="00354093" w:rsidP="00354093">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In addition, optional results for the following option can also be reported:</w:t>
      </w:r>
    </w:p>
    <w:p w14:paraId="41A722A9"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BW2: 5 MHz BB bandwidth for all signals and channels with 20 MHz RF bandwidth for UL and DL.</w:t>
      </w:r>
    </w:p>
    <w:p w14:paraId="43E993F9" w14:textId="77777777" w:rsidR="00354093" w:rsidRPr="00EF0EBD" w:rsidRDefault="00354093" w:rsidP="00354093">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At least the following cases are studied:</w:t>
      </w:r>
    </w:p>
    <w:p w14:paraId="72DE847B"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resource allocation spans a bandwidth of maximum 5 MHz.</w:t>
      </w:r>
    </w:p>
    <w:p w14:paraId="5D8D5865"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same option is used for UL and DL.</w:t>
      </w:r>
    </w:p>
    <w:p w14:paraId="12850252"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same option is used for idle/inactive and connected mode.</w:t>
      </w:r>
    </w:p>
    <w:p w14:paraId="13B6BF49" w14:textId="77777777" w:rsidR="00354093" w:rsidRPr="00EF0EBD" w:rsidRDefault="00354093" w:rsidP="00354093">
      <w:pPr>
        <w:numPr>
          <w:ilvl w:val="1"/>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It is FFS whether to study other cases.</w:t>
      </w:r>
    </w:p>
    <w:p w14:paraId="64D50F89" w14:textId="77777777" w:rsidR="00354093" w:rsidRPr="00EF0EBD" w:rsidRDefault="00354093" w:rsidP="00354093">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Note: As part of study of above options, it is not precluded to indicate that an observation is relevant for UL only or DL only.</w:t>
      </w:r>
    </w:p>
    <w:p w14:paraId="5CC1E790" w14:textId="77777777" w:rsidR="00354093" w:rsidRPr="00EF0EBD" w:rsidRDefault="00354093" w:rsidP="00354093">
      <w:pPr>
        <w:shd w:val="clear" w:color="auto" w:fill="FFFFFF"/>
        <w:spacing w:after="0"/>
        <w:jc w:val="both"/>
        <w:rPr>
          <w:lang w:val="en-US" w:eastAsia="zh-CN"/>
        </w:rPr>
      </w:pPr>
    </w:p>
    <w:p w14:paraId="15DD75A1" w14:textId="77777777" w:rsidR="00354093" w:rsidRPr="00EF0EBD" w:rsidRDefault="00354093" w:rsidP="00354093">
      <w:pPr>
        <w:shd w:val="clear" w:color="auto" w:fill="FFFFFF"/>
        <w:spacing w:after="0"/>
        <w:jc w:val="both"/>
        <w:rPr>
          <w:highlight w:val="green"/>
          <w:lang w:val="en-US" w:eastAsia="zh-CN"/>
        </w:rPr>
      </w:pPr>
      <w:r w:rsidRPr="00EF0EBD">
        <w:rPr>
          <w:highlight w:val="green"/>
          <w:shd w:val="clear" w:color="auto" w:fill="FFFF00"/>
          <w:lang w:val="en-US" w:eastAsia="zh-CN"/>
        </w:rPr>
        <w:t>Agreement</w:t>
      </w:r>
    </w:p>
    <w:p w14:paraId="6BF64DB2" w14:textId="77777777" w:rsidR="00354093" w:rsidRPr="00EF0EBD" w:rsidRDefault="00354093" w:rsidP="00354093">
      <w:pPr>
        <w:numPr>
          <w:ilvl w:val="0"/>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lastRenderedPageBreak/>
        <w:t>The following options for further UE peak rate reduction can be studied:</w:t>
      </w:r>
    </w:p>
    <w:p w14:paraId="630F85F2" w14:textId="5685841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sidRPr="00EF0EBD">
        <w:rPr>
          <w:iCs/>
          <w:lang w:val="en-US"/>
        </w:rPr>
        <w:t xml:space="preserve"> </w:t>
      </w:r>
      <w:r w:rsidRPr="00EF0EBD">
        <w:rPr>
          <w:rFonts w:eastAsia="Microsoft YaHei UI"/>
          <w:lang w:val="en-US" w:eastAsia="zh-CN"/>
        </w:rPr>
        <w:t>for peak data rate reduction.</w:t>
      </w:r>
    </w:p>
    <w:p w14:paraId="65927E7C"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PR2: Restriction of maximum TBS for PDSCH and PUSCH.</w:t>
      </w:r>
    </w:p>
    <w:p w14:paraId="400B58A1"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Option PR3: Restriction of maximum number of PRBs for PDSCH and PUSCH.</w:t>
      </w:r>
    </w:p>
    <w:p w14:paraId="0E53DC74" w14:textId="77777777" w:rsidR="00354093" w:rsidRPr="00EF0EBD" w:rsidRDefault="00354093" w:rsidP="00354093">
      <w:pPr>
        <w:numPr>
          <w:ilvl w:val="0"/>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At least the following cases are studied:</w:t>
      </w:r>
    </w:p>
    <w:p w14:paraId="423CF7F3"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studied peak rate reduction applies to both UE-specific (unicast) and common (broadcast) channels.</w:t>
      </w:r>
    </w:p>
    <w:p w14:paraId="38010CC1"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resource allocation spans a bandwidth of maximum 20 MHz (maximum UE channel bandwidth).</w:t>
      </w:r>
    </w:p>
    <w:p w14:paraId="1B531C09"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same option is used for UL and DL.</w:t>
      </w:r>
    </w:p>
    <w:p w14:paraId="5E674987"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The same option is used for idle/inactive and connected mode.</w:t>
      </w:r>
    </w:p>
    <w:p w14:paraId="3B7CAC17" w14:textId="77777777" w:rsidR="00354093" w:rsidRPr="00EF0EBD" w:rsidRDefault="00354093" w:rsidP="00354093">
      <w:pPr>
        <w:numPr>
          <w:ilvl w:val="1"/>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It is FFS whether to study other cases.</w:t>
      </w:r>
    </w:p>
    <w:p w14:paraId="38E2C559" w14:textId="77777777" w:rsidR="00354093" w:rsidRPr="00EF0EBD" w:rsidRDefault="00354093" w:rsidP="00354093">
      <w:pPr>
        <w:numPr>
          <w:ilvl w:val="0"/>
          <w:numId w:val="28"/>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Note: As part of study of above options, it is not precluded to indicate that an observation is relevant for UL only or DL only.</w:t>
      </w:r>
    </w:p>
    <w:p w14:paraId="6EB9BCBF" w14:textId="77777777" w:rsidR="00354093" w:rsidRPr="00EF0EBD" w:rsidRDefault="00354093" w:rsidP="00354093">
      <w:pPr>
        <w:spacing w:after="0"/>
        <w:rPr>
          <w:rFonts w:eastAsia="Microsoft YaHei UI"/>
          <w:lang w:val="en-US" w:eastAsia="zh-CN"/>
        </w:rPr>
      </w:pPr>
    </w:p>
    <w:p w14:paraId="668AEE49" w14:textId="77777777" w:rsidR="00354093" w:rsidRPr="00DD028D" w:rsidRDefault="00354093" w:rsidP="00354093">
      <w:pPr>
        <w:spacing w:after="0"/>
        <w:rPr>
          <w:rFonts w:eastAsia="Microsoft YaHei UI"/>
          <w:color w:val="000000"/>
          <w:highlight w:val="green"/>
          <w:lang w:val="en-US" w:eastAsia="zh-CN"/>
        </w:rPr>
      </w:pPr>
      <w:r w:rsidRPr="00DD028D">
        <w:rPr>
          <w:rFonts w:eastAsia="Microsoft YaHei UI" w:hint="eastAsia"/>
          <w:color w:val="000000"/>
          <w:highlight w:val="green"/>
          <w:lang w:val="en-US" w:eastAsia="zh-CN"/>
        </w:rPr>
        <w:t>Agreement</w:t>
      </w:r>
    </w:p>
    <w:p w14:paraId="7AE44CF1" w14:textId="77777777" w:rsidR="00354093" w:rsidRPr="00776062" w:rsidRDefault="00354093" w:rsidP="00354093">
      <w:pPr>
        <w:pStyle w:val="ListParagraph"/>
        <w:numPr>
          <w:ilvl w:val="0"/>
          <w:numId w:val="24"/>
        </w:numPr>
        <w:spacing w:after="0"/>
        <w:rPr>
          <w:rFonts w:ascii="Times" w:hAnsi="Times" w:cs="Times"/>
        </w:rPr>
      </w:pPr>
      <w:r w:rsidRPr="00776062">
        <w:rPr>
          <w:lang w:val="en-US" w:eastAsia="zh-CN"/>
        </w:rPr>
        <w:t>The impact on memory size/cost/complexity (external to the RF and BB parts) from the studied UE complexity reduction features can be considered in the study.</w:t>
      </w:r>
    </w:p>
    <w:p w14:paraId="2368C55E" w14:textId="77777777" w:rsidR="00354093" w:rsidRPr="00776062" w:rsidRDefault="00354093" w:rsidP="00354093">
      <w:pPr>
        <w:pStyle w:val="ListParagraph"/>
        <w:numPr>
          <w:ilvl w:val="1"/>
          <w:numId w:val="24"/>
        </w:numPr>
        <w:spacing w:after="0"/>
        <w:rPr>
          <w:rFonts w:ascii="Times" w:hAnsi="Times" w:cs="Times"/>
        </w:rPr>
      </w:pPr>
      <w:r w:rsidRPr="00776062">
        <w:rPr>
          <w:lang w:val="en-US" w:eastAsia="zh-CN"/>
        </w:rPr>
        <w:t>This potential impact will not be included in the quantitative UE complexity reduction estimates.</w:t>
      </w:r>
    </w:p>
    <w:p w14:paraId="05687EE5" w14:textId="77777777" w:rsidR="00354093" w:rsidRPr="00776062" w:rsidRDefault="00354093" w:rsidP="00354093">
      <w:pPr>
        <w:pStyle w:val="ListParagraph"/>
        <w:numPr>
          <w:ilvl w:val="1"/>
          <w:numId w:val="24"/>
        </w:numPr>
        <w:spacing w:after="0"/>
        <w:rPr>
          <w:rFonts w:ascii="Times" w:hAnsi="Times" w:cs="Times"/>
        </w:rPr>
      </w:pPr>
      <w:r w:rsidRPr="00776062">
        <w:rPr>
          <w:lang w:val="en-US" w:eastAsia="zh-CN"/>
        </w:rPr>
        <w:t>L2 buffer size assumptions can be based on TS 38.306 clause 4.1.4 (“Total layer 2 buffer size for DL/UL”).</w:t>
      </w:r>
    </w:p>
    <w:p w14:paraId="14D8BF35" w14:textId="77777777" w:rsidR="00354093" w:rsidRPr="00776062" w:rsidRDefault="00354093" w:rsidP="00354093">
      <w:pPr>
        <w:pStyle w:val="ListParagraph"/>
        <w:numPr>
          <w:ilvl w:val="1"/>
          <w:numId w:val="24"/>
        </w:numPr>
        <w:spacing w:after="0"/>
        <w:rPr>
          <w:rFonts w:ascii="Times" w:hAnsi="Times" w:cs="Times"/>
        </w:rPr>
      </w:pPr>
      <w:r w:rsidRPr="00776062">
        <w:rPr>
          <w:lang w:val="en-US" w:eastAsia="zh-CN"/>
        </w:rPr>
        <w:t>FFS whether/how to capture in the TR</w:t>
      </w:r>
    </w:p>
    <w:p w14:paraId="5A2C0794" w14:textId="77777777" w:rsidR="00354093" w:rsidRDefault="00354093" w:rsidP="00354093">
      <w:pPr>
        <w:spacing w:after="0"/>
        <w:rPr>
          <w:rFonts w:eastAsia="Microsoft YaHei UI"/>
          <w:color w:val="000000"/>
          <w:highlight w:val="green"/>
          <w:lang w:val="en-US" w:eastAsia="zh-CN"/>
        </w:rPr>
      </w:pPr>
    </w:p>
    <w:p w14:paraId="662BA2DD" w14:textId="77777777" w:rsidR="00354093" w:rsidRPr="00DD028D" w:rsidRDefault="00354093" w:rsidP="00354093">
      <w:pPr>
        <w:spacing w:after="0"/>
        <w:rPr>
          <w:rFonts w:eastAsia="Microsoft YaHei UI"/>
          <w:color w:val="000000"/>
          <w:highlight w:val="green"/>
          <w:lang w:val="en-US" w:eastAsia="zh-CN"/>
        </w:rPr>
      </w:pPr>
      <w:r w:rsidRPr="00DD028D">
        <w:rPr>
          <w:rFonts w:eastAsia="Microsoft YaHei UI" w:hint="eastAsia"/>
          <w:color w:val="000000"/>
          <w:highlight w:val="green"/>
          <w:lang w:val="en-US" w:eastAsia="zh-CN"/>
        </w:rPr>
        <w:t>Agreement</w:t>
      </w:r>
    </w:p>
    <w:p w14:paraId="3313D9EB" w14:textId="77777777" w:rsidR="00354093" w:rsidRDefault="00354093" w:rsidP="00354093">
      <w:pPr>
        <w:spacing w:after="0"/>
        <w:rPr>
          <w:rFonts w:cs="Times"/>
        </w:rPr>
      </w:pPr>
      <w:r>
        <w:rPr>
          <w:lang w:val="en-US" w:eastAsia="zh-CN"/>
        </w:rPr>
        <w:t>For each potential Rel-18 further UE complexity reduction feature, at least the following aspects will be studied:</w:t>
      </w:r>
    </w:p>
    <w:p w14:paraId="1B9BD9D9" w14:textId="77777777" w:rsidR="00354093" w:rsidRPr="00776062" w:rsidRDefault="00354093" w:rsidP="00354093">
      <w:pPr>
        <w:pStyle w:val="ListParagraph"/>
        <w:numPr>
          <w:ilvl w:val="0"/>
          <w:numId w:val="24"/>
        </w:numPr>
        <w:spacing w:after="0"/>
        <w:rPr>
          <w:rFonts w:ascii="Times" w:hAnsi="Times" w:cs="Times"/>
        </w:rPr>
      </w:pPr>
      <w:r w:rsidRPr="00776062">
        <w:rPr>
          <w:lang w:val="en-US" w:eastAsia="zh-CN"/>
        </w:rPr>
        <w:t>UE complexity reduction</w:t>
      </w:r>
    </w:p>
    <w:p w14:paraId="45012CA1" w14:textId="77777777" w:rsidR="00354093" w:rsidRPr="00776062" w:rsidRDefault="00354093" w:rsidP="00354093">
      <w:pPr>
        <w:pStyle w:val="ListParagraph"/>
        <w:numPr>
          <w:ilvl w:val="0"/>
          <w:numId w:val="24"/>
        </w:numPr>
        <w:spacing w:after="0"/>
        <w:rPr>
          <w:rFonts w:ascii="Times" w:hAnsi="Times" w:cs="Times"/>
        </w:rPr>
      </w:pPr>
      <w:r w:rsidRPr="00776062">
        <w:rPr>
          <w:lang w:val="en-US" w:eastAsia="zh-CN"/>
        </w:rPr>
        <w:t>Performance impacts [details FFS]</w:t>
      </w:r>
    </w:p>
    <w:p w14:paraId="5919EB50" w14:textId="77777777" w:rsidR="00354093" w:rsidRPr="00776062" w:rsidRDefault="00354093" w:rsidP="00354093">
      <w:pPr>
        <w:pStyle w:val="ListParagraph"/>
        <w:numPr>
          <w:ilvl w:val="0"/>
          <w:numId w:val="24"/>
        </w:numPr>
        <w:spacing w:after="0"/>
        <w:rPr>
          <w:rFonts w:ascii="Times" w:hAnsi="Times" w:cs="Times"/>
        </w:rPr>
      </w:pPr>
      <w:r w:rsidRPr="00776062">
        <w:rPr>
          <w:lang w:val="en-US" w:eastAsia="zh-CN"/>
        </w:rPr>
        <w:t>Network deployment and coexistence impacts [details FFS]</w:t>
      </w:r>
    </w:p>
    <w:p w14:paraId="52653933" w14:textId="77777777" w:rsidR="00354093" w:rsidRPr="00776062" w:rsidRDefault="00354093" w:rsidP="00354093">
      <w:pPr>
        <w:pStyle w:val="ListParagraph"/>
        <w:numPr>
          <w:ilvl w:val="0"/>
          <w:numId w:val="24"/>
        </w:numPr>
        <w:spacing w:after="0"/>
        <w:rPr>
          <w:rFonts w:ascii="Times" w:hAnsi="Times" w:cs="Times"/>
        </w:rPr>
      </w:pPr>
      <w:r w:rsidRPr="00776062">
        <w:rPr>
          <w:lang w:val="en-US" w:eastAsia="zh-CN"/>
        </w:rPr>
        <w:t>Specification impacts</w:t>
      </w:r>
    </w:p>
    <w:p w14:paraId="7426B5A4" w14:textId="77777777" w:rsidR="00640E88" w:rsidRDefault="00640E88" w:rsidP="00354093">
      <w:pPr>
        <w:spacing w:after="0"/>
        <w:rPr>
          <w:highlight w:val="green"/>
          <w:lang w:val="en-US" w:eastAsia="zh-CN"/>
        </w:rPr>
      </w:pPr>
    </w:p>
    <w:p w14:paraId="6E8A9D6E" w14:textId="4D7DF4D7" w:rsidR="00354093" w:rsidRPr="00776062" w:rsidRDefault="00354093" w:rsidP="00354093">
      <w:pPr>
        <w:spacing w:after="0"/>
        <w:rPr>
          <w:highlight w:val="green"/>
          <w:lang w:val="en-US" w:eastAsia="zh-CN"/>
        </w:rPr>
      </w:pPr>
      <w:r w:rsidRPr="00776062">
        <w:rPr>
          <w:rFonts w:hint="eastAsia"/>
          <w:highlight w:val="green"/>
          <w:lang w:val="en-US" w:eastAsia="zh-CN"/>
        </w:rPr>
        <w:t>Agreement</w:t>
      </w:r>
    </w:p>
    <w:p w14:paraId="56C68A08" w14:textId="77777777" w:rsidR="00354093" w:rsidRDefault="00354093" w:rsidP="00354093">
      <w:pPr>
        <w:pStyle w:val="ListParagraph"/>
        <w:numPr>
          <w:ilvl w:val="0"/>
          <w:numId w:val="30"/>
        </w:numPr>
        <w:spacing w:after="0"/>
      </w:pPr>
      <w:r w:rsidRPr="00776062">
        <w:rPr>
          <w:lang w:val="en-US"/>
        </w:rPr>
        <w:t>The restricted number of PRBs in Option PR3 is a hardcoded limit.</w:t>
      </w:r>
    </w:p>
    <w:p w14:paraId="19AA4587" w14:textId="77777777" w:rsidR="00354093" w:rsidRDefault="00354093" w:rsidP="00354093">
      <w:pPr>
        <w:spacing w:after="0"/>
        <w:rPr>
          <w:highlight w:val="green"/>
          <w:lang w:val="en-US" w:eastAsia="zh-CN"/>
        </w:rPr>
      </w:pPr>
    </w:p>
    <w:p w14:paraId="5D016A78" w14:textId="77777777" w:rsidR="00640E88" w:rsidRDefault="00640E88" w:rsidP="00354093">
      <w:pPr>
        <w:spacing w:after="0"/>
        <w:rPr>
          <w:highlight w:val="green"/>
          <w:lang w:val="en-US" w:eastAsia="zh-CN"/>
        </w:rPr>
      </w:pPr>
    </w:p>
    <w:p w14:paraId="3439FFBF" w14:textId="0C13571B" w:rsidR="00354093" w:rsidRPr="00776062" w:rsidRDefault="00354093" w:rsidP="00354093">
      <w:pPr>
        <w:spacing w:after="0"/>
        <w:rPr>
          <w:highlight w:val="green"/>
          <w:lang w:val="en-US" w:eastAsia="zh-CN"/>
        </w:rPr>
      </w:pPr>
      <w:r w:rsidRPr="00776062">
        <w:rPr>
          <w:rFonts w:hint="eastAsia"/>
          <w:highlight w:val="green"/>
          <w:lang w:val="en-US" w:eastAsia="zh-CN"/>
        </w:rPr>
        <w:t>Agreement</w:t>
      </w:r>
    </w:p>
    <w:p w14:paraId="3015029A" w14:textId="77777777" w:rsidR="00354093" w:rsidRDefault="00354093" w:rsidP="00354093">
      <w:pPr>
        <w:numPr>
          <w:ilvl w:val="0"/>
          <w:numId w:val="29"/>
        </w:numPr>
        <w:overflowPunct/>
        <w:autoSpaceDE/>
        <w:autoSpaceDN/>
        <w:adjustRightInd/>
        <w:spacing w:after="0"/>
        <w:textAlignment w:val="auto"/>
        <w:rPr>
          <w:rFonts w:eastAsia="Microsoft YaHei UI" w:cs="Times"/>
          <w:color w:val="000000"/>
        </w:rPr>
      </w:pPr>
      <w:r>
        <w:rPr>
          <w:rFonts w:eastAsia="Microsoft YaHei UI"/>
          <w:color w:val="000000"/>
          <w:lang w:val="en-US" w:eastAsia="x-none"/>
        </w:rPr>
        <w:t>In Option PT1, the relaxation factor for N1 and N2 is 2.</w:t>
      </w:r>
    </w:p>
    <w:p w14:paraId="31119AF9" w14:textId="77777777" w:rsidR="00354093" w:rsidRDefault="00354093" w:rsidP="00354093">
      <w:pPr>
        <w:numPr>
          <w:ilvl w:val="0"/>
          <w:numId w:val="29"/>
        </w:numPr>
        <w:overflowPunct/>
        <w:autoSpaceDE/>
        <w:autoSpaceDN/>
        <w:adjustRightInd/>
        <w:spacing w:after="0"/>
        <w:textAlignment w:val="auto"/>
        <w:rPr>
          <w:rFonts w:eastAsia="Microsoft YaHei UI" w:cs="Times"/>
          <w:color w:val="000000"/>
        </w:rPr>
      </w:pPr>
      <w:r>
        <w:rPr>
          <w:rFonts w:eastAsia="Microsoft YaHei UI"/>
          <w:color w:val="000000"/>
          <w:lang w:val="en-US" w:eastAsia="x-none"/>
        </w:rPr>
        <w:t>In Option PT2, the relaxation factor for Z and Z’ is 2.</w:t>
      </w:r>
    </w:p>
    <w:p w14:paraId="0B7311CF" w14:textId="77777777" w:rsidR="00354093" w:rsidRDefault="00354093" w:rsidP="00354093">
      <w:pPr>
        <w:numPr>
          <w:ilvl w:val="0"/>
          <w:numId w:val="29"/>
        </w:numPr>
        <w:overflowPunct/>
        <w:autoSpaceDE/>
        <w:autoSpaceDN/>
        <w:adjustRightInd/>
        <w:spacing w:after="0"/>
        <w:textAlignment w:val="auto"/>
        <w:rPr>
          <w:rFonts w:eastAsia="Microsoft YaHei UI" w:cs="Times"/>
          <w:color w:val="000000"/>
        </w:rPr>
      </w:pPr>
      <w:r>
        <w:rPr>
          <w:rFonts w:eastAsia="Microsoft YaHei UI"/>
          <w:color w:val="000000"/>
          <w:lang w:val="en-US" w:eastAsia="x-none"/>
        </w:rPr>
        <w:t>The combination of Options PT1 and PT2 is also studied.</w:t>
      </w:r>
    </w:p>
    <w:p w14:paraId="306CAD93" w14:textId="77777777" w:rsidR="00640E88" w:rsidRDefault="00640E88" w:rsidP="00354093">
      <w:pPr>
        <w:spacing w:after="0"/>
        <w:rPr>
          <w:highlight w:val="green"/>
          <w:shd w:val="clear" w:color="auto" w:fill="FFFF00"/>
          <w:lang w:val="en-US" w:eastAsia="zh-CN"/>
        </w:rPr>
      </w:pPr>
    </w:p>
    <w:p w14:paraId="194BF7DB" w14:textId="1A5E5842" w:rsidR="00354093" w:rsidRPr="00776062" w:rsidRDefault="00354093" w:rsidP="00354093">
      <w:pPr>
        <w:spacing w:after="0"/>
        <w:rPr>
          <w:highlight w:val="green"/>
          <w:lang w:val="en-US" w:eastAsia="zh-CN"/>
        </w:rPr>
      </w:pPr>
      <w:r w:rsidRPr="00776062">
        <w:rPr>
          <w:highlight w:val="green"/>
          <w:shd w:val="clear" w:color="auto" w:fill="FFFF00"/>
          <w:lang w:val="en-US" w:eastAsia="zh-CN"/>
        </w:rPr>
        <w:t>Agreement</w:t>
      </w:r>
    </w:p>
    <w:p w14:paraId="12704CB3" w14:textId="77777777" w:rsidR="00354093" w:rsidRPr="00776062" w:rsidRDefault="00354093" w:rsidP="00354093">
      <w:pPr>
        <w:pStyle w:val="ListParagraph"/>
        <w:numPr>
          <w:ilvl w:val="0"/>
          <w:numId w:val="30"/>
        </w:numPr>
        <w:spacing w:after="0"/>
        <w:rPr>
          <w:lang w:val="en-US" w:eastAsia="zh-CN"/>
        </w:rPr>
      </w:pPr>
      <w:r w:rsidRPr="00776062">
        <w:rPr>
          <w:lang w:val="en-US" w:eastAsia="zh-CN"/>
        </w:rPr>
        <w:t>For Options BW1,</w:t>
      </w:r>
    </w:p>
    <w:p w14:paraId="793B3515" w14:textId="77777777" w:rsidR="00354093" w:rsidRPr="00776062" w:rsidRDefault="00354093" w:rsidP="00354093">
      <w:pPr>
        <w:pStyle w:val="ListParagraph"/>
        <w:numPr>
          <w:ilvl w:val="1"/>
          <w:numId w:val="30"/>
        </w:numPr>
        <w:spacing w:after="0"/>
        <w:rPr>
          <w:lang w:val="en-US" w:eastAsia="zh-CN"/>
        </w:rPr>
      </w:pPr>
      <w:bookmarkStart w:id="5" w:name="_Hlk110255192"/>
      <w:r w:rsidRPr="00776062">
        <w:rPr>
          <w:lang w:val="en-US" w:eastAsia="zh-CN"/>
        </w:rPr>
        <w:t>For 15 kHz SCS, 25 contiguous RBs are assumed to fit within the 5 MHz.</w:t>
      </w:r>
    </w:p>
    <w:p w14:paraId="6F706076"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For 30 kHz SCS, 11 contiguous RBs are assumed to fit within the 5 MHz.</w:t>
      </w:r>
    </w:p>
    <w:bookmarkEnd w:id="5"/>
    <w:p w14:paraId="45317631"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Larger number of RBs that fit within 5 MHz can optionally be studied.</w:t>
      </w:r>
    </w:p>
    <w:p w14:paraId="1590223A" w14:textId="77777777" w:rsidR="00354093" w:rsidRPr="00776062" w:rsidRDefault="00354093" w:rsidP="00354093">
      <w:pPr>
        <w:pStyle w:val="ListParagraph"/>
        <w:numPr>
          <w:ilvl w:val="0"/>
          <w:numId w:val="30"/>
        </w:numPr>
        <w:spacing w:after="0"/>
        <w:rPr>
          <w:lang w:val="en-US" w:eastAsia="zh-CN"/>
        </w:rPr>
      </w:pPr>
      <w:r w:rsidRPr="00776062">
        <w:rPr>
          <w:lang w:val="en-US" w:eastAsia="zh-CN"/>
        </w:rPr>
        <w:t>For Options BW2,</w:t>
      </w:r>
    </w:p>
    <w:p w14:paraId="557DB82D"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For 15 kHz SCS, 25 contiguous RBs are assumed to fit within the 5 MHz.</w:t>
      </w:r>
    </w:p>
    <w:p w14:paraId="530F7D86"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For 30 kHz SCS, 11 contiguous RBs are assumed to fit within the 5 MHz.</w:t>
      </w:r>
    </w:p>
    <w:p w14:paraId="144F5C18"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Larger number of RBs that fit within 5 MHz can optionally be studied.</w:t>
      </w:r>
    </w:p>
    <w:p w14:paraId="438CB319" w14:textId="77777777" w:rsidR="00354093" w:rsidRPr="00776062" w:rsidRDefault="00354093" w:rsidP="00354093">
      <w:pPr>
        <w:pStyle w:val="ListParagraph"/>
        <w:numPr>
          <w:ilvl w:val="0"/>
          <w:numId w:val="30"/>
        </w:numPr>
        <w:spacing w:after="0"/>
        <w:rPr>
          <w:lang w:val="en-US" w:eastAsia="zh-CN"/>
        </w:rPr>
      </w:pPr>
      <w:r w:rsidRPr="00776062">
        <w:rPr>
          <w:lang w:val="en-US" w:eastAsia="zh-CN"/>
        </w:rPr>
        <w:t>For Options BW3,</w:t>
      </w:r>
    </w:p>
    <w:p w14:paraId="07BFB0A2"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For 15 kHz SCS, 25 contiguous RBs are assumed to fit within the 5 MHz.</w:t>
      </w:r>
    </w:p>
    <w:p w14:paraId="5FE7F591"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For 30 kHz SCS, 11 contiguous RBs are assumed to fit within the 5 MHz.</w:t>
      </w:r>
    </w:p>
    <w:p w14:paraId="60C496C9" w14:textId="77777777" w:rsidR="00354093" w:rsidRPr="00776062" w:rsidRDefault="00354093" w:rsidP="00354093">
      <w:pPr>
        <w:pStyle w:val="ListParagraph"/>
        <w:numPr>
          <w:ilvl w:val="1"/>
          <w:numId w:val="30"/>
        </w:numPr>
        <w:spacing w:after="0"/>
        <w:rPr>
          <w:lang w:val="en-US" w:eastAsia="zh-CN"/>
        </w:rPr>
      </w:pPr>
      <w:r w:rsidRPr="00776062">
        <w:rPr>
          <w:lang w:val="en-US" w:eastAsia="zh-CN"/>
        </w:rPr>
        <w:t>Larger number of RBs that fit within 5 MHz can optionally be studied.</w:t>
      </w:r>
    </w:p>
    <w:p w14:paraId="70D9986C" w14:textId="77777777" w:rsidR="00354093" w:rsidRPr="00776062" w:rsidRDefault="00354093" w:rsidP="00354093">
      <w:pPr>
        <w:pStyle w:val="ListParagraph"/>
        <w:numPr>
          <w:ilvl w:val="0"/>
          <w:numId w:val="30"/>
        </w:numPr>
        <w:spacing w:after="0"/>
        <w:rPr>
          <w:lang w:val="en-US" w:eastAsia="zh-CN"/>
        </w:rPr>
      </w:pPr>
      <w:r w:rsidRPr="00776062">
        <w:rPr>
          <w:lang w:val="en-US" w:eastAsia="zh-CN"/>
        </w:rPr>
        <w:t>Relevant assumptions (e.g., regarding potential scheduling restrictions) should be reported.</w:t>
      </w:r>
    </w:p>
    <w:p w14:paraId="0853AFAF" w14:textId="77777777" w:rsidR="00640E88" w:rsidRDefault="00640E88" w:rsidP="00354093">
      <w:pPr>
        <w:spacing w:after="0"/>
        <w:rPr>
          <w:highlight w:val="green"/>
          <w:shd w:val="clear" w:color="auto" w:fill="FFFF00"/>
          <w:lang w:val="en-US" w:eastAsia="zh-CN"/>
        </w:rPr>
      </w:pPr>
    </w:p>
    <w:p w14:paraId="66B96DA7" w14:textId="47830495" w:rsidR="00354093" w:rsidRPr="00776062" w:rsidRDefault="00354093" w:rsidP="00354093">
      <w:pPr>
        <w:spacing w:after="0"/>
        <w:rPr>
          <w:highlight w:val="green"/>
          <w:lang w:val="en-US" w:eastAsia="zh-CN"/>
        </w:rPr>
      </w:pPr>
      <w:r w:rsidRPr="00776062">
        <w:rPr>
          <w:highlight w:val="green"/>
          <w:shd w:val="clear" w:color="auto" w:fill="FFFF00"/>
          <w:lang w:val="en-US" w:eastAsia="zh-CN"/>
        </w:rPr>
        <w:t>Agreement</w:t>
      </w:r>
    </w:p>
    <w:p w14:paraId="72B09AC6" w14:textId="77777777" w:rsidR="00354093" w:rsidRPr="00776062" w:rsidRDefault="00354093" w:rsidP="00354093">
      <w:pPr>
        <w:pStyle w:val="ListParagraph"/>
        <w:numPr>
          <w:ilvl w:val="0"/>
          <w:numId w:val="31"/>
        </w:numPr>
        <w:spacing w:after="0"/>
        <w:rPr>
          <w:lang w:val="en-US" w:eastAsia="zh-CN"/>
        </w:rPr>
      </w:pPr>
      <w:r w:rsidRPr="00776062">
        <w:rPr>
          <w:lang w:val="en-US" w:eastAsia="zh-CN"/>
        </w:rPr>
        <w:t>For Option PR1,</w:t>
      </w:r>
    </w:p>
    <w:p w14:paraId="7C2E8879"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The relaxed constraint is 1 (instead of 4).</w:t>
      </w:r>
    </w:p>
    <w:p w14:paraId="2036958D"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Other values for the relaxed constraint that meet the 10-Mbps peak rate target can optionally be studied.</w:t>
      </w:r>
    </w:p>
    <w:p w14:paraId="691404FB" w14:textId="68F6013F" w:rsidR="00354093" w:rsidRPr="00776062" w:rsidRDefault="00354093" w:rsidP="00354093">
      <w:pPr>
        <w:pStyle w:val="ListParagraph"/>
        <w:numPr>
          <w:ilvl w:val="1"/>
          <w:numId w:val="31"/>
        </w:numPr>
        <w:spacing w:after="0"/>
        <w:rPr>
          <w:lang w:val="en-US" w:eastAsia="zh-CN"/>
        </w:rPr>
      </w:pPr>
      <w:r w:rsidRPr="00776062">
        <w:rPr>
          <w:lang w:val="en-US" w:eastAsia="zh-CN"/>
        </w:rPr>
        <w:lastRenderedPageBreak/>
        <w:t>The parameters (</w:t>
      </w:r>
      <w:r w:rsidR="00631175">
        <w:rPr>
          <w:noProof/>
          <w:lang w:val="en-US"/>
        </w:rPr>
        <w:drawing>
          <wp:inline distT="0" distB="0" distL="0" distR="0" wp14:anchorId="4D8E737A" wp14:editId="0F7A7C0F">
            <wp:extent cx="3524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776062">
        <w:rPr>
          <w:lang w:val="en-US" w:eastAsia="zh-CN"/>
        </w:rPr>
        <w:t>, </w:t>
      </w:r>
      <w:r w:rsidR="00631175">
        <w:rPr>
          <w:noProof/>
          <w:lang w:val="en-US"/>
        </w:rPr>
        <w:drawing>
          <wp:inline distT="0" distB="0" distL="0" distR="0" wp14:anchorId="6CF0E2B7" wp14:editId="269F5905">
            <wp:extent cx="219075" cy="18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776062">
        <w:rPr>
          <w:lang w:val="en-US" w:eastAsia="zh-CN"/>
        </w:rPr>
        <w:t>, </w:t>
      </w:r>
      <w:r w:rsidR="00631175">
        <w:rPr>
          <w:noProof/>
          <w:lang w:val="en-US"/>
        </w:rPr>
        <w:drawing>
          <wp:inline distT="0" distB="0" distL="0" distR="0" wp14:anchorId="703666B0" wp14:editId="2EDB5310">
            <wp:extent cx="200025"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776062">
        <w:rPr>
          <w:lang w:val="en-US" w:eastAsia="zh-CN"/>
        </w:rPr>
        <w:t>) [38.306] can be as in Rel-17 RedCap.</w:t>
      </w:r>
    </w:p>
    <w:p w14:paraId="40100B51" w14:textId="77777777" w:rsidR="00354093" w:rsidRPr="00776062" w:rsidRDefault="00354093" w:rsidP="00354093">
      <w:pPr>
        <w:pStyle w:val="ListParagraph"/>
        <w:numPr>
          <w:ilvl w:val="0"/>
          <w:numId w:val="31"/>
        </w:numPr>
        <w:spacing w:after="0"/>
        <w:rPr>
          <w:lang w:val="en-US" w:eastAsia="zh-CN"/>
        </w:rPr>
      </w:pPr>
      <w:r w:rsidRPr="00776062">
        <w:rPr>
          <w:lang w:val="en-US" w:eastAsia="zh-CN"/>
        </w:rPr>
        <w:t>For Option PR2,</w:t>
      </w:r>
    </w:p>
    <w:p w14:paraId="428EFF1D"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For 15 kHz SCS, the maximum TBS is 10000 bits per TB and per slot.</w:t>
      </w:r>
    </w:p>
    <w:p w14:paraId="02DDC977"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For 30 kHz SCS, the maximum TBS is 5000 bits per TB and per slot.</w:t>
      </w:r>
    </w:p>
    <w:p w14:paraId="11868A1D" w14:textId="77777777" w:rsidR="00354093" w:rsidRPr="00776062" w:rsidRDefault="00354093" w:rsidP="00354093">
      <w:pPr>
        <w:pStyle w:val="ListParagraph"/>
        <w:numPr>
          <w:ilvl w:val="0"/>
          <w:numId w:val="31"/>
        </w:numPr>
        <w:spacing w:after="0"/>
        <w:rPr>
          <w:lang w:val="en-US" w:eastAsia="zh-CN"/>
        </w:rPr>
      </w:pPr>
      <w:r w:rsidRPr="00776062">
        <w:rPr>
          <w:lang w:val="en-US" w:eastAsia="zh-CN"/>
        </w:rPr>
        <w:t>For Option PR3,</w:t>
      </w:r>
    </w:p>
    <w:p w14:paraId="716D30A2"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For 15 kHz SCS, the maximum number of RBs is 25.</w:t>
      </w:r>
    </w:p>
    <w:p w14:paraId="04EFAD3E"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For 30 kHz SCS, the maximum number of RBs is 11.</w:t>
      </w:r>
    </w:p>
    <w:p w14:paraId="79D5D6B2" w14:textId="77777777" w:rsidR="00354093" w:rsidRPr="00776062" w:rsidRDefault="00354093" w:rsidP="00354093">
      <w:pPr>
        <w:pStyle w:val="ListParagraph"/>
        <w:numPr>
          <w:ilvl w:val="1"/>
          <w:numId w:val="31"/>
        </w:numPr>
        <w:spacing w:after="0"/>
        <w:rPr>
          <w:lang w:val="en-US" w:eastAsia="zh-CN"/>
        </w:rPr>
      </w:pPr>
      <w:r w:rsidRPr="00776062">
        <w:rPr>
          <w:lang w:val="en-US" w:eastAsia="zh-CN"/>
        </w:rPr>
        <w:t>Other number of RBs that meet the 10-Mbps peak rate target can optionally be studied.</w:t>
      </w:r>
    </w:p>
    <w:p w14:paraId="1B9A6D31" w14:textId="77777777" w:rsidR="00354093" w:rsidRPr="00776062" w:rsidRDefault="00354093" w:rsidP="00354093">
      <w:pPr>
        <w:pStyle w:val="ListParagraph"/>
        <w:numPr>
          <w:ilvl w:val="0"/>
          <w:numId w:val="31"/>
        </w:numPr>
        <w:spacing w:after="0"/>
        <w:rPr>
          <w:lang w:val="en-US" w:eastAsia="zh-CN"/>
        </w:rPr>
      </w:pPr>
      <w:r w:rsidRPr="00776062">
        <w:rPr>
          <w:lang w:val="en-US" w:eastAsia="zh-CN"/>
        </w:rPr>
        <w:t>Note: It is not precluded to report results also for other values.</w:t>
      </w:r>
    </w:p>
    <w:p w14:paraId="0E5BB477" w14:textId="77777777" w:rsidR="00354093" w:rsidRPr="00776062" w:rsidRDefault="00354093" w:rsidP="00354093">
      <w:pPr>
        <w:pStyle w:val="ListParagraph"/>
        <w:numPr>
          <w:ilvl w:val="0"/>
          <w:numId w:val="31"/>
        </w:numPr>
        <w:spacing w:after="0"/>
        <w:rPr>
          <w:lang w:val="en-US" w:eastAsia="zh-CN"/>
        </w:rPr>
      </w:pPr>
      <w:r w:rsidRPr="00776062">
        <w:rPr>
          <w:lang w:val="en-US" w:eastAsia="zh-CN"/>
        </w:rPr>
        <w:t>Relevant assumptions (e.g., regarding potential limitations of the TBS sum in case of more than one simultaneous TB) should be reported.</w:t>
      </w:r>
    </w:p>
    <w:p w14:paraId="22708296" w14:textId="77777777" w:rsidR="00640E88" w:rsidRDefault="00640E88" w:rsidP="00354093">
      <w:pPr>
        <w:spacing w:after="0"/>
        <w:rPr>
          <w:highlight w:val="green"/>
          <w:lang w:val="en-US" w:eastAsia="zh-CN"/>
        </w:rPr>
      </w:pPr>
    </w:p>
    <w:p w14:paraId="6F26ED87" w14:textId="0D87811A" w:rsidR="00354093" w:rsidRPr="00776062" w:rsidRDefault="00354093" w:rsidP="00354093">
      <w:pPr>
        <w:spacing w:after="0"/>
        <w:rPr>
          <w:highlight w:val="green"/>
          <w:lang w:val="en-US" w:eastAsia="zh-CN"/>
        </w:rPr>
      </w:pPr>
      <w:r w:rsidRPr="00776062">
        <w:rPr>
          <w:highlight w:val="green"/>
          <w:lang w:val="en-US" w:eastAsia="zh-CN"/>
        </w:rPr>
        <w:t>Agreement</w:t>
      </w:r>
    </w:p>
    <w:p w14:paraId="43734C01" w14:textId="77777777" w:rsidR="00354093" w:rsidRPr="00776062" w:rsidRDefault="00354093" w:rsidP="00354093">
      <w:pPr>
        <w:pStyle w:val="ListParagraph"/>
        <w:numPr>
          <w:ilvl w:val="0"/>
          <w:numId w:val="32"/>
        </w:numPr>
        <w:spacing w:after="0"/>
        <w:rPr>
          <w:lang w:val="en-US" w:eastAsia="zh-CN"/>
        </w:rPr>
      </w:pPr>
      <w:r w:rsidRPr="00776062">
        <w:rPr>
          <w:lang w:val="en-US" w:eastAsia="zh-CN"/>
        </w:rPr>
        <w:t>UE complexity reduction is studied for the following combinations:</w:t>
      </w:r>
    </w:p>
    <w:p w14:paraId="393794DC" w14:textId="77777777" w:rsidR="00354093" w:rsidRPr="00776062" w:rsidRDefault="00354093" w:rsidP="00354093">
      <w:pPr>
        <w:pStyle w:val="ListParagraph"/>
        <w:numPr>
          <w:ilvl w:val="1"/>
          <w:numId w:val="32"/>
        </w:numPr>
        <w:spacing w:after="0"/>
        <w:rPr>
          <w:lang w:val="en-US" w:eastAsia="zh-CN"/>
        </w:rPr>
      </w:pPr>
      <w:r w:rsidRPr="00776062">
        <w:rPr>
          <w:lang w:val="en-US" w:eastAsia="zh-CN"/>
        </w:rPr>
        <w:t>Reference case (Rel-17 RedCap UE)</w:t>
      </w:r>
    </w:p>
    <w:p w14:paraId="2456953D" w14:textId="77777777" w:rsidR="00354093" w:rsidRPr="00776062" w:rsidRDefault="00354093" w:rsidP="00354093">
      <w:pPr>
        <w:pStyle w:val="ListParagraph"/>
        <w:numPr>
          <w:ilvl w:val="1"/>
          <w:numId w:val="32"/>
        </w:numPr>
        <w:spacing w:after="0"/>
        <w:rPr>
          <w:lang w:val="en-US" w:eastAsia="zh-CN"/>
        </w:rPr>
      </w:pPr>
      <w:r w:rsidRPr="00776062">
        <w:rPr>
          <w:lang w:eastAsia="zh-CN"/>
        </w:rPr>
        <w:t>BW1 + PT1 + PT2</w:t>
      </w:r>
    </w:p>
    <w:p w14:paraId="28A80C6B" w14:textId="77777777" w:rsidR="00354093" w:rsidRPr="00776062" w:rsidRDefault="00354093" w:rsidP="00354093">
      <w:pPr>
        <w:pStyle w:val="ListParagraph"/>
        <w:numPr>
          <w:ilvl w:val="1"/>
          <w:numId w:val="32"/>
        </w:numPr>
        <w:spacing w:after="0"/>
        <w:rPr>
          <w:lang w:val="en-US" w:eastAsia="zh-CN"/>
        </w:rPr>
      </w:pPr>
      <w:r w:rsidRPr="00776062">
        <w:rPr>
          <w:lang w:eastAsia="zh-CN"/>
        </w:rPr>
        <w:t>BW3 + PT1 + PT2</w:t>
      </w:r>
    </w:p>
    <w:p w14:paraId="51F134BE" w14:textId="77777777" w:rsidR="00354093" w:rsidRPr="00776062" w:rsidRDefault="00354093" w:rsidP="00354093">
      <w:pPr>
        <w:pStyle w:val="ListParagraph"/>
        <w:numPr>
          <w:ilvl w:val="1"/>
          <w:numId w:val="32"/>
        </w:numPr>
        <w:spacing w:after="0"/>
        <w:rPr>
          <w:lang w:val="en-US" w:eastAsia="zh-CN"/>
        </w:rPr>
      </w:pPr>
      <w:r w:rsidRPr="00776062">
        <w:rPr>
          <w:lang w:eastAsia="zh-CN"/>
        </w:rPr>
        <w:t>PR1 + PT1 + PT2</w:t>
      </w:r>
    </w:p>
    <w:p w14:paraId="2D814EFE" w14:textId="77777777" w:rsidR="00354093" w:rsidRPr="00776062" w:rsidRDefault="00354093" w:rsidP="00354093">
      <w:pPr>
        <w:pStyle w:val="ListParagraph"/>
        <w:numPr>
          <w:ilvl w:val="1"/>
          <w:numId w:val="32"/>
        </w:numPr>
        <w:spacing w:after="0"/>
        <w:rPr>
          <w:lang w:val="en-US" w:eastAsia="zh-CN"/>
        </w:rPr>
      </w:pPr>
      <w:r w:rsidRPr="00776062">
        <w:rPr>
          <w:lang w:eastAsia="zh-CN"/>
        </w:rPr>
        <w:t>PR3 + PT1 + PT2</w:t>
      </w:r>
    </w:p>
    <w:p w14:paraId="54C02450" w14:textId="77777777" w:rsidR="00354093" w:rsidRPr="00776062" w:rsidRDefault="00354093" w:rsidP="00354093">
      <w:pPr>
        <w:pStyle w:val="ListParagraph"/>
        <w:numPr>
          <w:ilvl w:val="0"/>
          <w:numId w:val="32"/>
        </w:numPr>
        <w:spacing w:after="0"/>
        <w:rPr>
          <w:lang w:val="en-US" w:eastAsia="zh-CN"/>
        </w:rPr>
      </w:pPr>
      <w:r w:rsidRPr="00776062">
        <w:rPr>
          <w:lang w:val="en-US" w:eastAsia="zh-CN"/>
        </w:rPr>
        <w:t>In addition, optional results for the following combinations can also be reported:</w:t>
      </w:r>
    </w:p>
    <w:p w14:paraId="6A3DFA2F" w14:textId="77777777" w:rsidR="00354093" w:rsidRPr="00776062" w:rsidRDefault="00354093" w:rsidP="00354093">
      <w:pPr>
        <w:pStyle w:val="ListParagraph"/>
        <w:numPr>
          <w:ilvl w:val="1"/>
          <w:numId w:val="32"/>
        </w:numPr>
        <w:spacing w:after="0"/>
        <w:rPr>
          <w:lang w:val="en-US" w:eastAsia="zh-CN"/>
        </w:rPr>
      </w:pPr>
      <w:r w:rsidRPr="00776062">
        <w:rPr>
          <w:lang w:eastAsia="zh-CN"/>
        </w:rPr>
        <w:t>BW1 + PT1</w:t>
      </w:r>
    </w:p>
    <w:p w14:paraId="66B3D735" w14:textId="77777777" w:rsidR="00354093" w:rsidRPr="00776062" w:rsidRDefault="00354093" w:rsidP="00354093">
      <w:pPr>
        <w:pStyle w:val="ListParagraph"/>
        <w:numPr>
          <w:ilvl w:val="1"/>
          <w:numId w:val="32"/>
        </w:numPr>
        <w:spacing w:after="0"/>
        <w:rPr>
          <w:lang w:val="en-US" w:eastAsia="zh-CN"/>
        </w:rPr>
      </w:pPr>
      <w:r w:rsidRPr="00776062">
        <w:rPr>
          <w:lang w:eastAsia="zh-CN"/>
        </w:rPr>
        <w:t>BW3 + PT1</w:t>
      </w:r>
    </w:p>
    <w:p w14:paraId="1C53E8F1" w14:textId="77777777" w:rsidR="00354093" w:rsidRPr="00776062" w:rsidRDefault="00354093" w:rsidP="00354093">
      <w:pPr>
        <w:pStyle w:val="ListParagraph"/>
        <w:numPr>
          <w:ilvl w:val="1"/>
          <w:numId w:val="32"/>
        </w:numPr>
        <w:spacing w:after="0"/>
        <w:rPr>
          <w:lang w:val="en-US" w:eastAsia="zh-CN"/>
        </w:rPr>
      </w:pPr>
      <w:r w:rsidRPr="00776062">
        <w:rPr>
          <w:lang w:eastAsia="zh-CN"/>
        </w:rPr>
        <w:t>PR1 + PT1</w:t>
      </w:r>
    </w:p>
    <w:p w14:paraId="5A1C337A" w14:textId="77777777" w:rsidR="00354093" w:rsidRPr="00776062" w:rsidRDefault="00354093" w:rsidP="00354093">
      <w:pPr>
        <w:pStyle w:val="ListParagraph"/>
        <w:numPr>
          <w:ilvl w:val="1"/>
          <w:numId w:val="32"/>
        </w:numPr>
        <w:spacing w:after="0"/>
        <w:rPr>
          <w:lang w:val="en-US" w:eastAsia="zh-CN"/>
        </w:rPr>
      </w:pPr>
      <w:r w:rsidRPr="00776062">
        <w:rPr>
          <w:lang w:eastAsia="zh-CN"/>
        </w:rPr>
        <w:t>PR3 + PT1</w:t>
      </w:r>
    </w:p>
    <w:p w14:paraId="06EFA591" w14:textId="77777777" w:rsidR="00354093" w:rsidRDefault="00354093" w:rsidP="00354093">
      <w:pPr>
        <w:pStyle w:val="ListParagraph"/>
        <w:numPr>
          <w:ilvl w:val="1"/>
          <w:numId w:val="32"/>
        </w:numPr>
        <w:spacing w:after="0"/>
        <w:rPr>
          <w:lang w:val="en-US" w:eastAsia="zh-CN"/>
        </w:rPr>
      </w:pPr>
      <w:r w:rsidRPr="00776062">
        <w:rPr>
          <w:lang w:eastAsia="zh-CN"/>
        </w:rPr>
        <w:t>BW2 + PT1 + PT2</w:t>
      </w:r>
    </w:p>
    <w:p w14:paraId="32AF61C6" w14:textId="77777777" w:rsidR="00354093" w:rsidRPr="00354093" w:rsidRDefault="00354093" w:rsidP="00354093">
      <w:pPr>
        <w:pStyle w:val="ListParagraph"/>
        <w:numPr>
          <w:ilvl w:val="1"/>
          <w:numId w:val="32"/>
        </w:numPr>
        <w:spacing w:after="0"/>
        <w:rPr>
          <w:lang w:val="en-US" w:eastAsia="zh-CN"/>
        </w:rPr>
      </w:pPr>
      <w:r w:rsidRPr="00776062">
        <w:rPr>
          <w:lang w:eastAsia="zh-CN"/>
        </w:rPr>
        <w:t>PR2 + PT1 + PT2</w:t>
      </w:r>
    </w:p>
    <w:bookmarkEnd w:id="4"/>
    <w:p w14:paraId="0D46C851" w14:textId="77777777" w:rsidR="00354093" w:rsidRDefault="00354093" w:rsidP="0026536D">
      <w:pPr>
        <w:pStyle w:val="ListParagraph"/>
        <w:spacing w:before="120" w:after="120" w:line="259" w:lineRule="auto"/>
        <w:ind w:left="0" w:right="-96"/>
        <w:jc w:val="both"/>
        <w:rPr>
          <w:rFonts w:ascii="Times" w:eastAsia="MS Mincho" w:hAnsi="Times" w:cs="Times"/>
          <w:lang w:val="en-US"/>
        </w:rPr>
      </w:pPr>
    </w:p>
    <w:p w14:paraId="6F7F87AA" w14:textId="77777777" w:rsidR="009E2DDD" w:rsidRDefault="009E2DDD" w:rsidP="0026536D">
      <w:pPr>
        <w:pStyle w:val="ListParagraph"/>
        <w:spacing w:before="120" w:after="120" w:line="259" w:lineRule="auto"/>
        <w:ind w:left="0" w:right="-96"/>
        <w:jc w:val="both"/>
        <w:rPr>
          <w:rFonts w:ascii="Times" w:eastAsia="MS Mincho" w:hAnsi="Times" w:cs="Times"/>
          <w:lang w:val="en-US"/>
        </w:rPr>
      </w:pPr>
      <w:r>
        <w:rPr>
          <w:rFonts w:ascii="Times" w:eastAsia="MS Mincho" w:hAnsi="Times" w:cs="Times"/>
          <w:lang w:val="en-US"/>
        </w:rPr>
        <w:t xml:space="preserve">In this contribution, we </w:t>
      </w:r>
      <w:r w:rsidR="00247771">
        <w:rPr>
          <w:rFonts w:ascii="Times" w:eastAsia="MS Mincho" w:hAnsi="Times" w:cs="Times"/>
          <w:lang w:val="en-US"/>
        </w:rPr>
        <w:t xml:space="preserve">describe and </w:t>
      </w:r>
      <w:r w:rsidR="00624008">
        <w:rPr>
          <w:rFonts w:ascii="Times" w:eastAsia="MS Mincho" w:hAnsi="Times" w:cs="Times"/>
          <w:lang w:val="en-US"/>
        </w:rPr>
        <w:t>evaluate potential</w:t>
      </w:r>
      <w:r>
        <w:rPr>
          <w:rFonts w:ascii="Times" w:eastAsia="MS Mincho" w:hAnsi="Times" w:cs="Times"/>
          <w:lang w:val="en-US"/>
        </w:rPr>
        <w:t xml:space="preserve"> complexity reduction techniques.</w:t>
      </w:r>
    </w:p>
    <w:p w14:paraId="0A848676" w14:textId="77777777" w:rsidR="005B058D" w:rsidRDefault="00CF3EB3" w:rsidP="005B058D">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Pr>
          <w:lang w:val="en-US"/>
        </w:rPr>
        <w:t>UE Complexity Reduction Features</w:t>
      </w:r>
    </w:p>
    <w:p w14:paraId="19272088" w14:textId="77777777" w:rsidR="00434A6E" w:rsidRDefault="00434A6E" w:rsidP="00434A6E">
      <w:pPr>
        <w:rPr>
          <w:lang w:val="en-US"/>
        </w:rPr>
      </w:pPr>
      <w:r>
        <w:rPr>
          <w:lang w:val="en-US"/>
        </w:rPr>
        <w:t>The following complexity reduction features have been agreed to be evaluated –</w:t>
      </w:r>
    </w:p>
    <w:p w14:paraId="0D17B5B6" w14:textId="77777777" w:rsidR="00434A6E" w:rsidRDefault="00434A6E" w:rsidP="0076268B">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76268B">
        <w:rPr>
          <w:lang w:val="en-US" w:eastAsia="zh-CN"/>
        </w:rPr>
        <w:t>BW1: Both RF</w:t>
      </w:r>
      <w:r w:rsidRPr="00EF0EBD">
        <w:rPr>
          <w:rFonts w:eastAsia="Microsoft YaHei UI"/>
          <w:lang w:val="en-US" w:eastAsia="zh-CN"/>
        </w:rPr>
        <w:t xml:space="preserve"> and BB bandwidths are 5 MHz for UL and DL.</w:t>
      </w:r>
    </w:p>
    <w:p w14:paraId="61A2B259" w14:textId="77777777" w:rsidR="00434A6E" w:rsidRPr="00EF0EBD" w:rsidRDefault="00434A6E" w:rsidP="0076268B">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BW2: 5 MHz BB bandwidth for all signals and channels with 20 MHz RF bandwidth for UL and DL.</w:t>
      </w:r>
    </w:p>
    <w:p w14:paraId="39A0F91E" w14:textId="77777777" w:rsidR="00434A6E" w:rsidRDefault="00434A6E" w:rsidP="0076268B">
      <w:pPr>
        <w:numPr>
          <w:ilvl w:val="0"/>
          <w:numId w:val="27"/>
        </w:numPr>
        <w:shd w:val="clear" w:color="auto" w:fill="FFFFFF"/>
        <w:overflowPunct/>
        <w:autoSpaceDE/>
        <w:autoSpaceDN/>
        <w:adjustRightInd/>
        <w:spacing w:after="120"/>
        <w:jc w:val="both"/>
        <w:textAlignment w:val="auto"/>
        <w:rPr>
          <w:rFonts w:eastAsia="Microsoft YaHei UI"/>
          <w:lang w:val="en-US" w:eastAsia="zh-CN"/>
        </w:rPr>
      </w:pPr>
      <w:r w:rsidRPr="00EF0EBD">
        <w:rPr>
          <w:rFonts w:eastAsia="Microsoft YaHei UI"/>
          <w:lang w:val="en-US" w:eastAsia="zh-CN"/>
        </w:rPr>
        <w:t>BW3: 5 MHz BB bandwidth only for PDSCH (for both unicast and broadcast) and PUSCH with 20 MHz RF bandwidth for UL and DL. The other physical channels and signals are still allowed to use a BWP up to the 20 MHz maximum UE RF+BB bandwidth.</w:t>
      </w:r>
    </w:p>
    <w:p w14:paraId="6F81C63E" w14:textId="42CFCBBF" w:rsidR="00434A6E" w:rsidRPr="00EF0EBD" w:rsidRDefault="00434A6E" w:rsidP="0076268B">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sidRPr="00EF0EBD">
        <w:rPr>
          <w:iCs/>
          <w:lang w:val="en-US"/>
        </w:rPr>
        <w:t xml:space="preserve"> </w:t>
      </w:r>
      <w:r w:rsidRPr="00EF0EBD">
        <w:rPr>
          <w:rFonts w:eastAsia="Microsoft YaHei UI"/>
          <w:lang w:val="en-US" w:eastAsia="zh-CN"/>
        </w:rPr>
        <w:t>for peak data rate reduction.</w:t>
      </w:r>
    </w:p>
    <w:p w14:paraId="609F2A43" w14:textId="77777777" w:rsidR="00434A6E" w:rsidRPr="00EF0EBD" w:rsidRDefault="00434A6E" w:rsidP="0076268B">
      <w:pPr>
        <w:numPr>
          <w:ilvl w:val="0"/>
          <w:numId w:val="27"/>
        </w:numPr>
        <w:shd w:val="clear" w:color="auto" w:fill="FFFFFF"/>
        <w:overflowPunct/>
        <w:autoSpaceDE/>
        <w:autoSpaceDN/>
        <w:adjustRightInd/>
        <w:spacing w:after="0"/>
        <w:jc w:val="both"/>
        <w:textAlignment w:val="auto"/>
        <w:rPr>
          <w:rFonts w:eastAsia="Microsoft YaHei UI"/>
          <w:lang w:val="en-US" w:eastAsia="zh-CN"/>
        </w:rPr>
      </w:pPr>
      <w:r w:rsidRPr="00EF0EBD">
        <w:rPr>
          <w:rFonts w:eastAsia="Microsoft YaHei UI"/>
          <w:lang w:val="en-US" w:eastAsia="zh-CN"/>
        </w:rPr>
        <w:t>PR2: Restriction of maximum TBS for PDSCH and PUSCH.</w:t>
      </w:r>
    </w:p>
    <w:p w14:paraId="5525425A" w14:textId="77777777" w:rsidR="00434A6E" w:rsidRDefault="00434A6E" w:rsidP="0076268B">
      <w:pPr>
        <w:numPr>
          <w:ilvl w:val="0"/>
          <w:numId w:val="27"/>
        </w:numPr>
        <w:shd w:val="clear" w:color="auto" w:fill="FFFFFF"/>
        <w:overflowPunct/>
        <w:autoSpaceDE/>
        <w:autoSpaceDN/>
        <w:adjustRightInd/>
        <w:spacing w:after="120"/>
        <w:jc w:val="both"/>
        <w:textAlignment w:val="auto"/>
        <w:rPr>
          <w:rFonts w:eastAsia="Microsoft YaHei UI"/>
          <w:lang w:val="en-US" w:eastAsia="zh-CN"/>
        </w:rPr>
      </w:pPr>
      <w:r w:rsidRPr="00EF0EBD">
        <w:rPr>
          <w:rFonts w:eastAsia="Microsoft YaHei UI"/>
          <w:lang w:val="en-US" w:eastAsia="zh-CN"/>
        </w:rPr>
        <w:t>PR3: Restriction of maximum number of PRBs for PDSCH and PUSCH.</w:t>
      </w:r>
    </w:p>
    <w:p w14:paraId="116F53C2" w14:textId="77777777" w:rsidR="00434A6E" w:rsidRPr="00DD028D" w:rsidRDefault="00434A6E" w:rsidP="0076268B">
      <w:pPr>
        <w:pStyle w:val="ListParagraph"/>
        <w:numPr>
          <w:ilvl w:val="0"/>
          <w:numId w:val="27"/>
        </w:numPr>
        <w:overflowPunct/>
        <w:autoSpaceDE/>
        <w:autoSpaceDN/>
        <w:adjustRightInd/>
        <w:spacing w:after="0"/>
        <w:textAlignment w:val="auto"/>
        <w:rPr>
          <w:lang w:val="en-US"/>
        </w:rPr>
      </w:pPr>
      <w:r w:rsidRPr="00DD028D">
        <w:rPr>
          <w:lang w:val="en-US"/>
        </w:rPr>
        <w:t>PT1: Relaxation of UE processing time for PDSCH</w:t>
      </w:r>
      <w:r w:rsidRPr="00DD028D">
        <w:rPr>
          <w:rFonts w:eastAsia="DengXian"/>
          <w:lang w:val="en-US" w:eastAsia="zh-CN"/>
        </w:rPr>
        <w:t xml:space="preserve">/PUSCH </w:t>
      </w:r>
      <w:r w:rsidRPr="00DD028D">
        <w:rPr>
          <w:lang w:val="en-US"/>
        </w:rPr>
        <w:t>in terms of N</w:t>
      </w:r>
      <w:r w:rsidRPr="00DD028D">
        <w:rPr>
          <w:vertAlign w:val="subscript"/>
          <w:lang w:val="en-US"/>
        </w:rPr>
        <w:t>1</w:t>
      </w:r>
      <w:r w:rsidRPr="00DD028D">
        <w:rPr>
          <w:lang w:val="en-US"/>
        </w:rPr>
        <w:t xml:space="preserve"> and N</w:t>
      </w:r>
      <w:r w:rsidRPr="00DD028D">
        <w:rPr>
          <w:vertAlign w:val="subscript"/>
          <w:lang w:val="en-US"/>
        </w:rPr>
        <w:t>2</w:t>
      </w:r>
    </w:p>
    <w:p w14:paraId="76ED03E1" w14:textId="77777777" w:rsidR="00434A6E" w:rsidRPr="00EF0EBD" w:rsidRDefault="00434A6E" w:rsidP="0076268B">
      <w:pPr>
        <w:numPr>
          <w:ilvl w:val="0"/>
          <w:numId w:val="27"/>
        </w:numPr>
        <w:shd w:val="clear" w:color="auto" w:fill="FFFFFF"/>
        <w:overflowPunct/>
        <w:autoSpaceDE/>
        <w:autoSpaceDN/>
        <w:adjustRightInd/>
        <w:spacing w:after="120"/>
        <w:jc w:val="both"/>
        <w:textAlignment w:val="auto"/>
        <w:rPr>
          <w:rFonts w:eastAsia="Microsoft YaHei UI"/>
          <w:lang w:val="en-US" w:eastAsia="zh-CN"/>
        </w:rPr>
      </w:pPr>
      <w:r w:rsidRPr="00DD028D">
        <w:rPr>
          <w:lang w:val="en-US"/>
        </w:rPr>
        <w:t xml:space="preserve">PT2: Relaxation of UE processing time for CSI in terms of Z and </w:t>
      </w:r>
      <w:r w:rsidRPr="0048784B">
        <w:rPr>
          <w:lang w:val="en-US"/>
        </w:rPr>
        <w:t>Z’</w:t>
      </w:r>
    </w:p>
    <w:p w14:paraId="33A95201" w14:textId="1915C36C" w:rsidR="0076268B" w:rsidRDefault="00434A6E" w:rsidP="00434A6E">
      <w:pPr>
        <w:rPr>
          <w:lang w:val="en-US"/>
        </w:rPr>
      </w:pPr>
      <w:r>
        <w:rPr>
          <w:lang w:val="en-US"/>
        </w:rPr>
        <w:t>In this section, we analyze the features</w:t>
      </w:r>
      <w:r w:rsidR="0076268B">
        <w:rPr>
          <w:lang w:val="en-US"/>
        </w:rPr>
        <w:t xml:space="preserve"> according to the following aspects –</w:t>
      </w:r>
    </w:p>
    <w:p w14:paraId="72F6D0DD" w14:textId="77777777" w:rsidR="0076268B" w:rsidRPr="00776062" w:rsidRDefault="0076268B" w:rsidP="0076268B">
      <w:pPr>
        <w:pStyle w:val="ListParagraph"/>
        <w:numPr>
          <w:ilvl w:val="0"/>
          <w:numId w:val="24"/>
        </w:numPr>
        <w:spacing w:after="0"/>
        <w:rPr>
          <w:rFonts w:ascii="Times" w:hAnsi="Times" w:cs="Times"/>
        </w:rPr>
      </w:pPr>
      <w:r w:rsidRPr="00776062">
        <w:rPr>
          <w:lang w:val="en-US" w:eastAsia="zh-CN"/>
        </w:rPr>
        <w:t>UE complexity reduction</w:t>
      </w:r>
    </w:p>
    <w:p w14:paraId="01B79BD6" w14:textId="6D5AA96B" w:rsidR="0076268B" w:rsidRPr="00776062" w:rsidRDefault="0076268B" w:rsidP="0076268B">
      <w:pPr>
        <w:pStyle w:val="ListParagraph"/>
        <w:numPr>
          <w:ilvl w:val="0"/>
          <w:numId w:val="24"/>
        </w:numPr>
        <w:spacing w:after="0"/>
        <w:rPr>
          <w:rFonts w:ascii="Times" w:hAnsi="Times" w:cs="Times"/>
        </w:rPr>
      </w:pPr>
      <w:r w:rsidRPr="00776062">
        <w:rPr>
          <w:lang w:val="en-US" w:eastAsia="zh-CN"/>
        </w:rPr>
        <w:t>Performance impact</w:t>
      </w:r>
    </w:p>
    <w:p w14:paraId="38FF0FA4" w14:textId="50D097C1" w:rsidR="0076268B" w:rsidRPr="0076268B" w:rsidRDefault="0076268B" w:rsidP="0076268B">
      <w:pPr>
        <w:pStyle w:val="ListParagraph"/>
        <w:numPr>
          <w:ilvl w:val="0"/>
          <w:numId w:val="24"/>
        </w:numPr>
        <w:spacing w:after="0"/>
        <w:rPr>
          <w:rFonts w:ascii="Times" w:hAnsi="Times" w:cs="Times"/>
        </w:rPr>
      </w:pPr>
      <w:r w:rsidRPr="00776062">
        <w:rPr>
          <w:lang w:val="en-US" w:eastAsia="zh-CN"/>
        </w:rPr>
        <w:t>Network deployment and coexistence impact</w:t>
      </w:r>
    </w:p>
    <w:p w14:paraId="49100E26" w14:textId="4A2253B3" w:rsidR="0076268B" w:rsidRPr="0076268B" w:rsidRDefault="0076268B" w:rsidP="0076268B">
      <w:pPr>
        <w:pStyle w:val="ListParagraph"/>
        <w:numPr>
          <w:ilvl w:val="0"/>
          <w:numId w:val="24"/>
        </w:numPr>
        <w:spacing w:after="0"/>
        <w:rPr>
          <w:rFonts w:ascii="Times" w:hAnsi="Times" w:cs="Times"/>
        </w:rPr>
      </w:pPr>
      <w:r w:rsidRPr="0076268B">
        <w:rPr>
          <w:lang w:val="en-US" w:eastAsia="zh-CN"/>
        </w:rPr>
        <w:t>Specification impact</w:t>
      </w:r>
    </w:p>
    <w:p w14:paraId="7F014EFE" w14:textId="77777777" w:rsidR="00FB01A0" w:rsidRPr="001B74E0" w:rsidRDefault="001C4822" w:rsidP="00FB01A0">
      <w:pPr>
        <w:pStyle w:val="Heading2"/>
        <w:ind w:hanging="1144"/>
        <w:rPr>
          <w:sz w:val="28"/>
          <w:lang w:val="en-US"/>
        </w:rPr>
      </w:pPr>
      <w:bookmarkStart w:id="10" w:name="_Ref101872539"/>
      <w:bookmarkEnd w:id="6"/>
      <w:r w:rsidRPr="001C4822">
        <w:rPr>
          <w:sz w:val="28"/>
          <w:lang w:val="en-US"/>
        </w:rPr>
        <w:lastRenderedPageBreak/>
        <w:t xml:space="preserve">BW1: </w:t>
      </w:r>
      <w:bookmarkEnd w:id="10"/>
      <w:r w:rsidR="001D551D">
        <w:rPr>
          <w:sz w:val="28"/>
          <w:lang w:val="en-US"/>
        </w:rPr>
        <w:t xml:space="preserve">DL/UL </w:t>
      </w:r>
      <w:r w:rsidR="00DE20DE">
        <w:rPr>
          <w:sz w:val="28"/>
          <w:lang w:val="en-US"/>
        </w:rPr>
        <w:t xml:space="preserve">- </w:t>
      </w:r>
      <w:r w:rsidR="001D551D">
        <w:rPr>
          <w:sz w:val="28"/>
          <w:lang w:val="en-US"/>
        </w:rPr>
        <w:t>5 MHz RF</w:t>
      </w:r>
      <w:r w:rsidR="00DE20DE">
        <w:rPr>
          <w:sz w:val="28"/>
          <w:lang w:val="en-US"/>
        </w:rPr>
        <w:t>/</w:t>
      </w:r>
      <w:r w:rsidR="001D551D">
        <w:rPr>
          <w:sz w:val="28"/>
          <w:lang w:val="en-US"/>
        </w:rPr>
        <w:t>BB</w:t>
      </w:r>
    </w:p>
    <w:p w14:paraId="3068ED68" w14:textId="550BD6EC" w:rsidR="003D1825" w:rsidRDefault="00854358" w:rsidP="00C805A9">
      <w:pPr>
        <w:jc w:val="both"/>
        <w:rPr>
          <w:lang w:val="en-US"/>
        </w:rPr>
      </w:pPr>
      <w:r>
        <w:rPr>
          <w:lang w:val="en-US"/>
        </w:rPr>
        <w:t>In BW1, both RF and BB bandwidths are 5 MHz for all channels and signals.</w:t>
      </w:r>
      <w:r w:rsidR="00C41FD4">
        <w:rPr>
          <w:lang w:val="en-US"/>
        </w:rPr>
        <w:t xml:space="preserve"> </w:t>
      </w:r>
      <w:r w:rsidR="00C805A9">
        <w:rPr>
          <w:lang w:val="en-US"/>
        </w:rPr>
        <w:t>Note that the number of contiguous RBs are assumed to be 25 for 15 kHz SCS and 11 for 30 kHz SCS. In addition,</w:t>
      </w:r>
      <w:r w:rsidR="003D1825">
        <w:rPr>
          <w:lang w:val="en-US"/>
        </w:rPr>
        <w:t xml:space="preserve"> the same option is used for DL/UL and for idle/inactive/connected mode.</w:t>
      </w:r>
    </w:p>
    <w:p w14:paraId="6FDC3CC2" w14:textId="1148D927" w:rsidR="00B33CD6" w:rsidRPr="002971DF" w:rsidRDefault="002971DF" w:rsidP="00B33CD6">
      <w:pPr>
        <w:jc w:val="both"/>
        <w:rPr>
          <w:b/>
          <w:bCs/>
          <w:u w:val="single"/>
          <w:lang w:val="en-US"/>
        </w:rPr>
      </w:pPr>
      <w:r w:rsidRPr="002971DF">
        <w:rPr>
          <w:b/>
          <w:bCs/>
          <w:u w:val="single"/>
          <w:lang w:val="en-US"/>
        </w:rPr>
        <w:t xml:space="preserve">UE </w:t>
      </w:r>
      <w:r w:rsidR="00B33CD6" w:rsidRPr="002971DF">
        <w:rPr>
          <w:b/>
          <w:bCs/>
          <w:u w:val="single"/>
          <w:lang w:val="en-US"/>
        </w:rPr>
        <w:t>Complexity reduction</w:t>
      </w:r>
      <w:r w:rsidRPr="002971DF">
        <w:rPr>
          <w:b/>
          <w:bCs/>
          <w:u w:val="single"/>
          <w:lang w:val="en-US"/>
        </w:rPr>
        <w:t>:</w:t>
      </w:r>
    </w:p>
    <w:p w14:paraId="6F13C61A" w14:textId="61A7E9A3" w:rsidR="00D172F9" w:rsidRDefault="00B33CD6" w:rsidP="00B33CD6">
      <w:pPr>
        <w:jc w:val="both"/>
        <w:rPr>
          <w:lang w:val="en-US"/>
        </w:rPr>
      </w:pPr>
      <w:r>
        <w:rPr>
          <w:lang w:val="en-US"/>
        </w:rPr>
        <w:t xml:space="preserve">Reducing the UE RF bandwidth can result in significant complexity reduction with the complexity reduction proportional to the amount of bandwidth reduced. </w:t>
      </w:r>
      <w:r w:rsidR="00AC1250">
        <w:rPr>
          <w:lang w:val="en-US"/>
        </w:rPr>
        <w:t xml:space="preserve">In this case, </w:t>
      </w:r>
      <w:r w:rsidR="005D0A7F">
        <w:rPr>
          <w:lang w:val="en-US"/>
        </w:rPr>
        <w:t xml:space="preserve">the complexity of </w:t>
      </w:r>
      <w:r w:rsidR="00AC1250" w:rsidRPr="00AC1250">
        <w:rPr>
          <w:lang w:eastAsia="ja-JP"/>
        </w:rPr>
        <w:t xml:space="preserve">ADC/DAC, FFT/IFFT, post-FFT data buffering, receiver processing block, LDPC decoding, </w:t>
      </w:r>
      <w:r w:rsidR="003522DB">
        <w:rPr>
          <w:lang w:eastAsia="ja-JP"/>
        </w:rPr>
        <w:t xml:space="preserve">DL control processing, </w:t>
      </w:r>
      <w:r w:rsidR="00AC1250" w:rsidRPr="00AC1250">
        <w:rPr>
          <w:lang w:eastAsia="ja-JP"/>
        </w:rPr>
        <w:t>HARQ buffer, and UL processing block can be reduced</w:t>
      </w:r>
      <w:r w:rsidR="00AC1250">
        <w:rPr>
          <w:lang w:val="en-US"/>
        </w:rPr>
        <w:t xml:space="preserve">. </w:t>
      </w:r>
      <w:r w:rsidR="00E273C8">
        <w:rPr>
          <w:lang w:val="en-US"/>
        </w:rPr>
        <w:fldChar w:fldCharType="begin"/>
      </w:r>
      <w:r w:rsidR="00E273C8">
        <w:rPr>
          <w:lang w:val="en-US"/>
        </w:rPr>
        <w:instrText xml:space="preserve"> REF _Ref110244467 \h </w:instrText>
      </w:r>
      <w:r w:rsidR="00E273C8">
        <w:rPr>
          <w:lang w:val="en-US"/>
        </w:rPr>
      </w:r>
      <w:r w:rsidR="00E273C8">
        <w:rPr>
          <w:lang w:val="en-US"/>
        </w:rPr>
        <w:fldChar w:fldCharType="separate"/>
      </w:r>
      <w:r w:rsidR="00034224">
        <w:t xml:space="preserve">Table </w:t>
      </w:r>
      <w:r w:rsidR="00034224">
        <w:rPr>
          <w:noProof/>
        </w:rPr>
        <w:t>1</w:t>
      </w:r>
      <w:r w:rsidR="00E273C8">
        <w:rPr>
          <w:lang w:val="en-US"/>
        </w:rPr>
        <w:fldChar w:fldCharType="end"/>
      </w:r>
      <w:r w:rsidR="00D172F9">
        <w:rPr>
          <w:lang w:val="en-US"/>
        </w:rPr>
        <w:t xml:space="preserve"> provide</w:t>
      </w:r>
      <w:r w:rsidR="00E273C8">
        <w:rPr>
          <w:lang w:val="en-US"/>
        </w:rPr>
        <w:t>s</w:t>
      </w:r>
      <w:r w:rsidR="00D172F9">
        <w:rPr>
          <w:lang w:val="en-US"/>
        </w:rPr>
        <w:t xml:space="preserve"> </w:t>
      </w:r>
      <w:r w:rsidR="00E273C8">
        <w:rPr>
          <w:lang w:val="en-US"/>
        </w:rPr>
        <w:t xml:space="preserve">estimate complexity reduction estimates </w:t>
      </w:r>
      <w:r w:rsidR="00D172F9">
        <w:rPr>
          <w:lang w:val="en-US"/>
        </w:rPr>
        <w:t>for various UE configurations</w:t>
      </w:r>
      <w:r w:rsidR="00E273C8">
        <w:rPr>
          <w:lang w:val="en-US"/>
        </w:rPr>
        <w:t>.</w:t>
      </w:r>
      <w:r w:rsidR="00D40807">
        <w:rPr>
          <w:lang w:val="en-US"/>
        </w:rPr>
        <w:t xml:space="preserve"> From the table, it can be seen that complexity reduction in the order of 19-22% is possible.</w:t>
      </w:r>
      <w:r w:rsidR="00401727">
        <w:rPr>
          <w:lang w:val="en-US"/>
        </w:rPr>
        <w:t xml:space="preserve"> As expected, the reduction is larger for UE with 2 Rx and also for HD-FDD UE.</w:t>
      </w:r>
    </w:p>
    <w:p w14:paraId="64A3B560" w14:textId="099576F6" w:rsidR="00A963F0" w:rsidRPr="00A963F0" w:rsidRDefault="00A963F0" w:rsidP="00A963F0">
      <w:pPr>
        <w:pStyle w:val="Caption"/>
        <w:keepNext/>
        <w:jc w:val="center"/>
        <w:rPr>
          <w:lang w:val="en-US"/>
        </w:rPr>
      </w:pPr>
      <w:bookmarkStart w:id="11" w:name="_Ref110244467"/>
      <w:r>
        <w:t xml:space="preserve">Table </w:t>
      </w:r>
      <w:r w:rsidR="00731A2A">
        <w:fldChar w:fldCharType="begin"/>
      </w:r>
      <w:r w:rsidR="00731A2A">
        <w:instrText xml:space="preserve"> SEQ Table \* ARABIC </w:instrText>
      </w:r>
      <w:r w:rsidR="00731A2A">
        <w:fldChar w:fldCharType="separate"/>
      </w:r>
      <w:r w:rsidR="00034224">
        <w:rPr>
          <w:noProof/>
        </w:rPr>
        <w:t>1</w:t>
      </w:r>
      <w:r w:rsidR="00731A2A">
        <w:rPr>
          <w:noProof/>
        </w:rPr>
        <w:fldChar w:fldCharType="end"/>
      </w:r>
      <w:bookmarkEnd w:id="11"/>
      <w:r>
        <w:rPr>
          <w:lang w:val="en-US"/>
        </w:rPr>
        <w:t>. C</w:t>
      </w:r>
      <w:r w:rsidRPr="00A963F0">
        <w:rPr>
          <w:lang w:val="en-US"/>
        </w:rPr>
        <w:t>omplexity reduction estimat</w:t>
      </w:r>
      <w:r>
        <w:rPr>
          <w:lang w:val="en-US"/>
        </w:rPr>
        <w:t>es</w:t>
      </w:r>
      <w:r w:rsidRPr="00A963F0">
        <w:rPr>
          <w:lang w:val="en-US"/>
        </w:rPr>
        <w:t xml:space="preserve"> </w:t>
      </w:r>
      <w:r>
        <w:rPr>
          <w:lang w:val="en-US"/>
        </w:rPr>
        <w:t>for BW1</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D172F9" w:rsidRPr="004C0C03" w14:paraId="1242337B" w14:textId="77777777" w:rsidTr="008C4A99">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7720D4C" w14:textId="77777777" w:rsidR="00D172F9" w:rsidRPr="004C0C03" w:rsidRDefault="00D172F9"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6D750C40"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E63E5F7"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97A122B"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B17C280"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98DA242"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9969E43" w14:textId="77777777" w:rsidR="00D172F9" w:rsidRPr="004C0C03" w:rsidRDefault="00D172F9" w:rsidP="008C4A99">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A963F0" w:rsidRPr="004C0C03" w14:paraId="5E5C3E9C" w14:textId="77777777" w:rsidTr="008C4A99">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10BD9F92" w14:textId="77777777" w:rsidR="00A963F0" w:rsidRPr="004C0C03" w:rsidRDefault="00A963F0" w:rsidP="00A963F0">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59F6C1E"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003B10F"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8AC7773"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B6F38F0"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4E837F0"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BB6C97A" w14:textId="77777777" w:rsidR="00A963F0" w:rsidRPr="004C0C03" w:rsidRDefault="00A963F0" w:rsidP="00A963F0">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8C4A99" w:rsidRPr="004C0C03" w14:paraId="64E5B3AB" w14:textId="77777777" w:rsidTr="008C4A99">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13DAD917" w14:textId="77777777" w:rsidR="008C4A99" w:rsidRPr="004C0C03" w:rsidRDefault="008C4A99" w:rsidP="00A963F0">
            <w:pPr>
              <w:overflowPunct/>
              <w:autoSpaceDE/>
              <w:autoSpaceDN/>
              <w:adjustRightInd/>
              <w:spacing w:after="0"/>
              <w:textAlignment w:val="auto"/>
              <w:rPr>
                <w:rFonts w:eastAsia="Times New Roman"/>
                <w:lang w:val="en-US"/>
              </w:rPr>
            </w:pPr>
            <w:r w:rsidRPr="004C0C03">
              <w:rPr>
                <w:rFonts w:eastAsia="Times New Roman"/>
                <w:lang w:val="en-US"/>
              </w:rPr>
              <w:t>BW1</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DC708D8"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38.15%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7AB16DD"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31.75%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99918AB"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24.40%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71541FAD"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56.00%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3501B98"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49.60%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733F77D9" w14:textId="77777777" w:rsidR="008C4A99" w:rsidRPr="004C0C03" w:rsidRDefault="008C4A99" w:rsidP="00A963F0">
            <w:pPr>
              <w:overflowPunct/>
              <w:autoSpaceDE/>
              <w:autoSpaceDN/>
              <w:adjustRightInd/>
              <w:spacing w:after="0"/>
              <w:jc w:val="right"/>
              <w:textAlignment w:val="auto"/>
              <w:rPr>
                <w:rFonts w:eastAsia="Times New Roman"/>
                <w:lang w:val="en-US"/>
              </w:rPr>
            </w:pPr>
            <w:r w:rsidRPr="004C0C03">
              <w:rPr>
                <w:rFonts w:eastAsia="Times New Roman"/>
                <w:lang w:val="en-US"/>
              </w:rPr>
              <w:t>34.91%</w:t>
            </w:r>
          </w:p>
        </w:tc>
      </w:tr>
      <w:tr w:rsidR="008C4A99" w:rsidRPr="004C0C03" w14:paraId="78F05F49" w14:textId="77777777" w:rsidTr="008C4A99">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5B2AA06E" w14:textId="77777777" w:rsidR="008C4A99" w:rsidRPr="004C0C03" w:rsidRDefault="008C4A99" w:rsidP="008C4A99">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0D5978BA"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-18.5%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C79261A"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-21.5%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EB78592"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-18.7%</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18BE883"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-20.1%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F63C573"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-22.1%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19AC125" w14:textId="77777777" w:rsidR="008C4A99" w:rsidRPr="004C0C03" w:rsidRDefault="008C4A99" w:rsidP="008C4A99">
            <w:pPr>
              <w:overflowPunct/>
              <w:autoSpaceDE/>
              <w:autoSpaceDN/>
              <w:adjustRightInd/>
              <w:spacing w:after="0"/>
              <w:jc w:val="right"/>
              <w:textAlignment w:val="auto"/>
              <w:rPr>
                <w:rFonts w:eastAsia="Times New Roman"/>
                <w:lang w:val="en-US"/>
              </w:rPr>
            </w:pPr>
            <w:r w:rsidRPr="004C0C03">
              <w:rPr>
                <w:rFonts w:eastAsia="Times New Roman"/>
                <w:lang w:val="en-US"/>
              </w:rPr>
              <w:t>-19.7%</w:t>
            </w:r>
          </w:p>
        </w:tc>
      </w:tr>
    </w:tbl>
    <w:p w14:paraId="38847239" w14:textId="3A0D157F" w:rsidR="003D2D7F" w:rsidRPr="00A963F0" w:rsidRDefault="00D172F9" w:rsidP="00A963F0">
      <w:pPr>
        <w:spacing w:before="120"/>
        <w:jc w:val="both"/>
        <w:rPr>
          <w:lang w:val="en-US"/>
        </w:rPr>
      </w:pPr>
      <w:r>
        <w:rPr>
          <w:lang w:val="en-US"/>
        </w:rPr>
        <w:t xml:space="preserve">Note that the analysis considered here did not </w:t>
      </w:r>
      <w:r w:rsidR="00C44221">
        <w:rPr>
          <w:lang w:val="en-US"/>
        </w:rPr>
        <w:t xml:space="preserve">take into account </w:t>
      </w:r>
      <w:r w:rsidR="00C44221">
        <w:rPr>
          <w:bCs/>
          <w:noProof/>
          <w:lang w:val="en-US" w:eastAsia="en-GB"/>
        </w:rPr>
        <w:t xml:space="preserve">potential RF cost reduction for components suitable for 5 MHz UE, in particular for the power amplifier and RF transceiver. </w:t>
      </w:r>
      <w:r w:rsidR="00A963F0">
        <w:rPr>
          <w:bCs/>
          <w:noProof/>
          <w:lang w:val="en-US" w:eastAsia="en-GB"/>
        </w:rPr>
        <w:t xml:space="preserve">Note that RF reduction depends on the actual component cost and there is no consensus whether RF component cost can be reduced with BW reduction, in particular for the power amplifier and RF transceiver. </w:t>
      </w:r>
      <w:r w:rsidR="00C44221">
        <w:rPr>
          <w:bCs/>
          <w:noProof/>
          <w:lang w:val="en-US" w:eastAsia="en-GB"/>
        </w:rPr>
        <w:t>If RF cost reduction is possible, it is estimated that additional 5-8% saving can be achieved.</w:t>
      </w:r>
    </w:p>
    <w:p w14:paraId="0CD3554A" w14:textId="21487ACC" w:rsidR="009736AA" w:rsidRPr="002971DF" w:rsidRDefault="009736AA" w:rsidP="00B33CD6">
      <w:pPr>
        <w:jc w:val="both"/>
        <w:rPr>
          <w:b/>
          <w:bCs/>
          <w:u w:val="single"/>
          <w:lang w:val="en-US"/>
        </w:rPr>
      </w:pPr>
      <w:r w:rsidRPr="002971DF">
        <w:rPr>
          <w:b/>
          <w:bCs/>
          <w:u w:val="single"/>
          <w:lang w:val="en-US"/>
        </w:rPr>
        <w:t>Performance impact</w:t>
      </w:r>
      <w:r w:rsidR="002971DF">
        <w:rPr>
          <w:b/>
          <w:bCs/>
          <w:u w:val="single"/>
          <w:lang w:val="en-US"/>
        </w:rPr>
        <w:t>:</w:t>
      </w:r>
    </w:p>
    <w:p w14:paraId="4C1ED48A" w14:textId="4C7703A3" w:rsidR="00B33CD6" w:rsidRPr="00D92EE7" w:rsidRDefault="00B33CD6" w:rsidP="00B33CD6">
      <w:pPr>
        <w:jc w:val="both"/>
        <w:rPr>
          <w:i/>
          <w:iCs/>
          <w:u w:val="single"/>
          <w:lang w:val="en-US"/>
        </w:rPr>
      </w:pPr>
      <w:r w:rsidRPr="00D92EE7">
        <w:rPr>
          <w:i/>
          <w:iCs/>
          <w:u w:val="single"/>
          <w:lang w:val="en-US"/>
        </w:rPr>
        <w:t>Coverage analysis</w:t>
      </w:r>
    </w:p>
    <w:p w14:paraId="43A5A3CA" w14:textId="679880EE" w:rsidR="006E0A1C" w:rsidRDefault="006E0A1C" w:rsidP="00590E29">
      <w:pPr>
        <w:jc w:val="both"/>
        <w:rPr>
          <w:lang w:val="en-US"/>
        </w:rPr>
      </w:pPr>
      <w:r>
        <w:rPr>
          <w:lang w:val="en-US"/>
        </w:rPr>
        <w:t>In our companion contribution</w:t>
      </w:r>
      <w:r w:rsidR="0030287A">
        <w:rPr>
          <w:lang w:val="en-US"/>
        </w:rPr>
        <w:t xml:space="preserve"> </w:t>
      </w:r>
      <w:r w:rsidR="0030287A">
        <w:rPr>
          <w:lang w:val="en-US"/>
        </w:rPr>
        <w:fldChar w:fldCharType="begin"/>
      </w:r>
      <w:r w:rsidR="0030287A">
        <w:rPr>
          <w:lang w:val="en-US"/>
        </w:rPr>
        <w:instrText xml:space="preserve"> REF _Ref111044486 \n \h </w:instrText>
      </w:r>
      <w:r w:rsidR="0030287A">
        <w:rPr>
          <w:lang w:val="en-US"/>
        </w:rPr>
      </w:r>
      <w:r w:rsidR="0030287A">
        <w:rPr>
          <w:lang w:val="en-US"/>
        </w:rPr>
        <w:fldChar w:fldCharType="separate"/>
      </w:r>
      <w:r w:rsidR="0030287A">
        <w:rPr>
          <w:lang w:val="en-US"/>
        </w:rPr>
        <w:t>[2]</w:t>
      </w:r>
      <w:r w:rsidR="0030287A">
        <w:rPr>
          <w:lang w:val="en-US"/>
        </w:rPr>
        <w:fldChar w:fldCharType="end"/>
      </w:r>
      <w:r>
        <w:rPr>
          <w:lang w:val="en-US"/>
        </w:rPr>
        <w:t>, we provide coverage evaluations for the RedCap UE with reduced bandwidth. The coverage study includes broadcast channels and unicast channels. Broadcast channels are common to both legacy UEs and the RedCap UE with reduced bandwidth and therefore significant impact to reception of these channels for the UE with reduced bandwidth can present some new challenges. Thus, PBCH and SIB1 are listed among the channels that are mandatory for coverage evaluations.</w:t>
      </w:r>
    </w:p>
    <w:p w14:paraId="3961B48E" w14:textId="7BE46767" w:rsidR="00590E29" w:rsidRPr="00590E29" w:rsidRDefault="00590E29" w:rsidP="00590E29">
      <w:pPr>
        <w:jc w:val="both"/>
        <w:rPr>
          <w:rFonts w:eastAsia="MS Mincho"/>
          <w:lang w:val="en-US" w:eastAsia="ja-JP"/>
        </w:rPr>
      </w:pPr>
      <w:r w:rsidRPr="00590E29">
        <w:rPr>
          <w:rFonts w:eastAsia="MS Mincho"/>
          <w:lang w:val="en-US" w:eastAsia="ja-JP"/>
        </w:rPr>
        <w:t>The SSB includes the PSS</w:t>
      </w:r>
      <w:r w:rsidR="00744601">
        <w:rPr>
          <w:rFonts w:eastAsia="MS Mincho"/>
          <w:lang w:val="en-US" w:eastAsia="ja-JP"/>
        </w:rPr>
        <w:t xml:space="preserve">, the </w:t>
      </w:r>
      <w:r w:rsidRPr="00590E29">
        <w:rPr>
          <w:rFonts w:eastAsia="MS Mincho"/>
          <w:lang w:val="en-US" w:eastAsia="ja-JP"/>
        </w:rPr>
        <w:t>SSS, and the PBCH. The structure of the SSB is shown in</w:t>
      </w:r>
      <w:r w:rsidR="00744601">
        <w:rPr>
          <w:rFonts w:eastAsia="MS Mincho"/>
          <w:lang w:val="en-US" w:eastAsia="ja-JP"/>
        </w:rPr>
        <w:t xml:space="preserve"> </w:t>
      </w:r>
      <w:r w:rsidR="00744601">
        <w:rPr>
          <w:rFonts w:eastAsia="MS Mincho"/>
          <w:lang w:val="en-US" w:eastAsia="ja-JP"/>
        </w:rPr>
        <w:fldChar w:fldCharType="begin"/>
      </w:r>
      <w:r w:rsidR="00744601">
        <w:rPr>
          <w:rFonts w:eastAsia="MS Mincho"/>
          <w:lang w:val="en-US" w:eastAsia="ja-JP"/>
        </w:rPr>
        <w:instrText xml:space="preserve"> REF _Ref101522548 \h </w:instrText>
      </w:r>
      <w:r w:rsidR="00744601">
        <w:rPr>
          <w:rFonts w:eastAsia="MS Mincho"/>
          <w:lang w:val="en-US" w:eastAsia="ja-JP"/>
        </w:rPr>
      </w:r>
      <w:r w:rsidR="00744601">
        <w:rPr>
          <w:rFonts w:eastAsia="MS Mincho"/>
          <w:lang w:val="en-US" w:eastAsia="ja-JP"/>
        </w:rPr>
        <w:fldChar w:fldCharType="separate"/>
      </w:r>
      <w:r w:rsidR="00034224">
        <w:t xml:space="preserve">Figure </w:t>
      </w:r>
      <w:r w:rsidR="00034224">
        <w:rPr>
          <w:noProof/>
        </w:rPr>
        <w:t>1</w:t>
      </w:r>
      <w:r w:rsidR="00744601">
        <w:rPr>
          <w:rFonts w:eastAsia="MS Mincho"/>
          <w:lang w:val="en-US" w:eastAsia="ja-JP"/>
        </w:rPr>
        <w:fldChar w:fldCharType="end"/>
      </w:r>
      <w:r w:rsidRPr="00590E29">
        <w:rPr>
          <w:rFonts w:eastAsia="MS Mincho"/>
          <w:lang w:val="en-US" w:eastAsia="ja-JP"/>
        </w:rPr>
        <w:t xml:space="preserve">. </w:t>
      </w:r>
      <w:r w:rsidR="00744601">
        <w:rPr>
          <w:rFonts w:eastAsia="MS Mincho"/>
          <w:lang w:val="en-US" w:eastAsia="ja-JP"/>
        </w:rPr>
        <w:t>The PSS and the SSS</w:t>
      </w:r>
      <w:r w:rsidRPr="00590E29">
        <w:rPr>
          <w:rFonts w:eastAsia="MS Mincho"/>
          <w:lang w:val="en-US" w:eastAsia="ja-JP"/>
        </w:rPr>
        <w:t xml:space="preserve"> comprise 127 subcarriers </w:t>
      </w:r>
      <w:r w:rsidR="00744601">
        <w:rPr>
          <w:rFonts w:eastAsia="MS Mincho"/>
          <w:lang w:val="en-US" w:eastAsia="ja-JP"/>
        </w:rPr>
        <w:t>each</w:t>
      </w:r>
      <w:r w:rsidRPr="00590E29">
        <w:rPr>
          <w:rFonts w:eastAsia="MS Mincho"/>
          <w:lang w:val="en-US" w:eastAsia="ja-JP"/>
        </w:rPr>
        <w:t>. The PBCH is transmitted in the second, third, and fourth OFDM symbols of the SSB, occupying a maximum of 240 subcarriers. In the third OFDM symbol, the PBCH is mapped to 48 subcarriers on either side of the SSS with a small gap separating the SSS from the PBCH.</w:t>
      </w:r>
    </w:p>
    <w:p w14:paraId="74589083" w14:textId="5FBA021F" w:rsidR="00590E29" w:rsidRPr="00590E29" w:rsidRDefault="00631175" w:rsidP="006D03CF">
      <w:pPr>
        <w:jc w:val="center"/>
        <w:rPr>
          <w:rFonts w:eastAsia="MS Mincho"/>
          <w:lang w:val="en-US" w:eastAsia="ja-JP"/>
        </w:rPr>
      </w:pPr>
      <w:r>
        <w:rPr>
          <w:noProof/>
        </w:rPr>
        <mc:AlternateContent>
          <mc:Choice Requires="wpc">
            <w:drawing>
              <wp:anchor distT="0" distB="0" distL="114300" distR="114300" simplePos="0" relativeHeight="251658240" behindDoc="0" locked="0" layoutInCell="1" allowOverlap="1" wp14:anchorId="566CAE62" wp14:editId="40282902">
                <wp:simplePos x="0" y="0"/>
                <wp:positionH relativeFrom="character">
                  <wp:posOffset>1931670</wp:posOffset>
                </wp:positionH>
                <wp:positionV relativeFrom="line">
                  <wp:posOffset>0</wp:posOffset>
                </wp:positionV>
                <wp:extent cx="2506345" cy="1593850"/>
                <wp:effectExtent l="0" t="0" r="635" b="0"/>
                <wp:wrapNone/>
                <wp:docPr id="54"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a:noFill/>
                        </a:ln>
                      </wpc:whole>
                      <wps:wsp>
                        <wps:cNvPr id="30" name="Rectangle 27"/>
                        <wps:cNvSpPr>
                          <a:spLocks noChangeArrowheads="1"/>
                        </wps:cNvSpPr>
                        <wps:spPr bwMode="auto">
                          <a:xfrm>
                            <a:off x="1852135" y="437889"/>
                            <a:ext cx="107577" cy="726141"/>
                          </a:xfrm>
                          <a:prstGeom prst="rect">
                            <a:avLst/>
                          </a:prstGeom>
                          <a:solidFill>
                            <a:srgbClr val="DEEAF6"/>
                          </a:solidFill>
                          <a:ln w="12700" algn="ctr">
                            <a:solidFill>
                              <a:srgbClr val="080808"/>
                            </a:solidFill>
                            <a:miter lim="800000"/>
                            <a:headEnd/>
                            <a:tailEnd/>
                          </a:ln>
                        </wps:spPr>
                        <wps:txbx>
                          <w:txbxContent>
                            <w:p w14:paraId="2B963CFA"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PSS</w:t>
                              </w:r>
                            </w:p>
                          </w:txbxContent>
                        </wps:txbx>
                        <wps:bodyPr rot="0" vert="horz" wrap="square" lIns="0" tIns="72000" rIns="0" bIns="72000" anchor="ctr" anchorCtr="0" upright="1">
                          <a:noAutofit/>
                        </wps:bodyPr>
                      </wps:wsp>
                      <wps:wsp>
                        <wps:cNvPr id="31" name="Rectangle 28"/>
                        <wps:cNvSpPr>
                          <a:spLocks noChangeArrowheads="1"/>
                        </wps:cNvSpPr>
                        <wps:spPr bwMode="auto">
                          <a:xfrm>
                            <a:off x="1959712" y="121882"/>
                            <a:ext cx="107577" cy="1358153"/>
                          </a:xfrm>
                          <a:prstGeom prst="rect">
                            <a:avLst/>
                          </a:prstGeom>
                          <a:solidFill>
                            <a:srgbClr val="FFE599"/>
                          </a:solidFill>
                          <a:ln w="12700" algn="ctr">
                            <a:solidFill>
                              <a:srgbClr val="080808"/>
                            </a:solidFill>
                            <a:miter lim="800000"/>
                            <a:headEnd/>
                            <a:tailEnd/>
                          </a:ln>
                        </wps:spPr>
                        <wps:txbx>
                          <w:txbxContent>
                            <w:p w14:paraId="5735E31D"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PBCH</w:t>
                              </w:r>
                            </w:p>
                          </w:txbxContent>
                        </wps:txbx>
                        <wps:bodyPr rot="0" vert="horz" wrap="square" lIns="0" tIns="72000" rIns="0" bIns="72000" anchor="ctr" anchorCtr="0" upright="1">
                          <a:noAutofit/>
                        </wps:bodyPr>
                      </wps:wsp>
                      <wps:wsp>
                        <wps:cNvPr id="32" name="Rectangle 29"/>
                        <wps:cNvSpPr>
                          <a:spLocks noChangeArrowheads="1"/>
                        </wps:cNvSpPr>
                        <wps:spPr bwMode="auto">
                          <a:xfrm>
                            <a:off x="2067289" y="437889"/>
                            <a:ext cx="107577" cy="726141"/>
                          </a:xfrm>
                          <a:prstGeom prst="rect">
                            <a:avLst/>
                          </a:prstGeom>
                          <a:solidFill>
                            <a:srgbClr val="AEAAAA"/>
                          </a:solidFill>
                          <a:ln w="12700" algn="ctr">
                            <a:solidFill>
                              <a:srgbClr val="080808"/>
                            </a:solidFill>
                            <a:miter lim="800000"/>
                            <a:headEnd/>
                            <a:tailEnd/>
                          </a:ln>
                        </wps:spPr>
                        <wps:txbx>
                          <w:txbxContent>
                            <w:p w14:paraId="1FE5946F"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SSS</w:t>
                              </w:r>
                            </w:p>
                          </w:txbxContent>
                        </wps:txbx>
                        <wps:bodyPr rot="0" vert="horz" wrap="square" lIns="0" tIns="72000" rIns="0" bIns="72000" anchor="ctr" anchorCtr="0" upright="1">
                          <a:noAutofit/>
                        </wps:bodyPr>
                      </wps:wsp>
                      <wps:wsp>
                        <wps:cNvPr id="33" name="Rectangle 30"/>
                        <wps:cNvSpPr>
                          <a:spLocks noChangeArrowheads="1"/>
                        </wps:cNvSpPr>
                        <wps:spPr bwMode="auto">
                          <a:xfrm>
                            <a:off x="2067289" y="121881"/>
                            <a:ext cx="107577" cy="262220"/>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34" name="Rectangle 31"/>
                        <wps:cNvSpPr>
                          <a:spLocks noChangeArrowheads="1"/>
                        </wps:cNvSpPr>
                        <wps:spPr bwMode="auto">
                          <a:xfrm>
                            <a:off x="2067291" y="1220924"/>
                            <a:ext cx="107577" cy="259111"/>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35" name="Rectangle 32"/>
                        <wps:cNvSpPr>
                          <a:spLocks noChangeArrowheads="1"/>
                        </wps:cNvSpPr>
                        <wps:spPr bwMode="auto">
                          <a:xfrm>
                            <a:off x="2174866" y="121882"/>
                            <a:ext cx="107577" cy="1358153"/>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36" name="Straight Arrow Connector 33"/>
                        <wps:cNvCnPr>
                          <a:cxnSpLocks noChangeShapeType="1"/>
                        </wps:cNvCnPr>
                        <wps:spPr bwMode="auto">
                          <a:xfrm flipV="1">
                            <a:off x="1752546" y="437889"/>
                            <a:ext cx="0" cy="726141"/>
                          </a:xfrm>
                          <a:prstGeom prst="straightConnector1">
                            <a:avLst/>
                          </a:prstGeom>
                          <a:noFill/>
                          <a:ln w="3175"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7" name="TextBox 28"/>
                        <wps:cNvSpPr txBox="1">
                          <a:spLocks noChangeArrowheads="1"/>
                        </wps:cNvSpPr>
                        <wps:spPr bwMode="auto">
                          <a:xfrm>
                            <a:off x="913955" y="683330"/>
                            <a:ext cx="864222" cy="285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F74AB"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127 subcarriers</w:t>
                              </w:r>
                            </w:p>
                          </w:txbxContent>
                        </wps:txbx>
                        <wps:bodyPr rot="0" vert="horz" wrap="square" lIns="72000" tIns="72000" rIns="72000" bIns="72000" anchor="t" anchorCtr="0" upright="1">
                          <a:noAutofit/>
                        </wps:bodyPr>
                      </wps:wsp>
                      <wps:wsp>
                        <wps:cNvPr id="38" name="Straight Arrow Connector 35"/>
                        <wps:cNvCnPr>
                          <a:cxnSpLocks/>
                        </wps:cNvCnPr>
                        <wps:spPr bwMode="auto">
                          <a:xfrm flipV="1">
                            <a:off x="888329" y="121881"/>
                            <a:ext cx="0" cy="1358154"/>
                          </a:xfrm>
                          <a:prstGeom prst="straightConnector1">
                            <a:avLst/>
                          </a:prstGeom>
                          <a:noFill/>
                          <a:ln w="3175"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9" name="Straight Connector 36"/>
                        <wps:cNvCnPr>
                          <a:cxnSpLocks/>
                        </wps:cNvCnPr>
                        <wps:spPr bwMode="auto">
                          <a:xfrm flipH="1">
                            <a:off x="829039" y="1480035"/>
                            <a:ext cx="758851"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0" name="Straight Connector 37"/>
                        <wps:cNvCnPr>
                          <a:cxnSpLocks/>
                        </wps:cNvCnPr>
                        <wps:spPr bwMode="auto">
                          <a:xfrm flipH="1">
                            <a:off x="767128" y="129724"/>
                            <a:ext cx="717146"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1" name="TextBox 32"/>
                        <wps:cNvSpPr txBox="1">
                          <a:spLocks noChangeArrowheads="1"/>
                        </wps:cNvSpPr>
                        <wps:spPr bwMode="auto">
                          <a:xfrm>
                            <a:off x="30993" y="670350"/>
                            <a:ext cx="956918" cy="28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E4508"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240 subcarriers</w:t>
                              </w:r>
                            </w:p>
                          </w:txbxContent>
                        </wps:txbx>
                        <wps:bodyPr rot="0" vert="horz" wrap="square" lIns="72000" tIns="72000" rIns="72000" bIns="72000" anchor="t" anchorCtr="0" upright="1">
                          <a:noAutofit/>
                        </wps:bodyPr>
                      </wps:wsp>
                      <wps:wsp>
                        <wps:cNvPr id="42" name="Straight Connector 39"/>
                        <wps:cNvCnPr>
                          <a:cxnSpLocks/>
                        </wps:cNvCnPr>
                        <wps:spPr bwMode="auto">
                          <a:xfrm flipH="1">
                            <a:off x="1686288" y="1220924"/>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3" name="Straight Connector 40"/>
                        <wps:cNvCnPr>
                          <a:cxnSpLocks/>
                        </wps:cNvCnPr>
                        <wps:spPr bwMode="auto">
                          <a:xfrm flipH="1">
                            <a:off x="1686288" y="384101"/>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4" name="Straight Connector 41"/>
                        <wps:cNvCnPr>
                          <a:cxnSpLocks/>
                        </wps:cNvCnPr>
                        <wps:spPr bwMode="auto">
                          <a:xfrm flipH="1">
                            <a:off x="1686288" y="437889"/>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5" name="Straight Connector 42"/>
                        <wps:cNvCnPr>
                          <a:cxnSpLocks/>
                        </wps:cNvCnPr>
                        <wps:spPr bwMode="auto">
                          <a:xfrm flipH="1">
                            <a:off x="1686287" y="1167221"/>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6" name="Straight Connector 43"/>
                        <wps:cNvCnPr>
                          <a:cxnSpLocks/>
                        </wps:cNvCnPr>
                        <wps:spPr bwMode="auto">
                          <a:xfrm flipH="1">
                            <a:off x="1704218" y="1480845"/>
                            <a:ext cx="255494"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7" name="Straight Connector 44"/>
                        <wps:cNvCnPr>
                          <a:cxnSpLocks/>
                        </wps:cNvCnPr>
                        <wps:spPr bwMode="auto">
                          <a:xfrm flipH="1">
                            <a:off x="1686287" y="129724"/>
                            <a:ext cx="255494"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48" name="TextBox 45"/>
                        <wps:cNvSpPr txBox="1">
                          <a:spLocks noChangeArrowheads="1"/>
                        </wps:cNvSpPr>
                        <wps:spPr bwMode="auto">
                          <a:xfrm>
                            <a:off x="1536092" y="1383259"/>
                            <a:ext cx="204325"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38F36"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0</w:t>
                              </w:r>
                            </w:p>
                          </w:txbxContent>
                        </wps:txbx>
                        <wps:bodyPr rot="0" vert="horz" wrap="none" lIns="72000" tIns="0" rIns="72000" bIns="0" anchor="t" anchorCtr="0" upright="1">
                          <a:noAutofit/>
                        </wps:bodyPr>
                      </wps:wsp>
                      <wps:wsp>
                        <wps:cNvPr id="49" name="TextBox 46"/>
                        <wps:cNvSpPr txBox="1">
                          <a:spLocks noChangeArrowheads="1"/>
                        </wps:cNvSpPr>
                        <wps:spPr bwMode="auto">
                          <a:xfrm>
                            <a:off x="1488019" y="1169362"/>
                            <a:ext cx="264650"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A44FE"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47</w:t>
                              </w:r>
                            </w:p>
                          </w:txbxContent>
                        </wps:txbx>
                        <wps:bodyPr rot="0" vert="horz" wrap="none" lIns="72000" tIns="0" rIns="72000" bIns="0" anchor="t" anchorCtr="0" upright="1">
                          <a:noAutofit/>
                        </wps:bodyPr>
                      </wps:wsp>
                      <wps:wsp>
                        <wps:cNvPr id="50" name="TextBox 47"/>
                        <wps:cNvSpPr txBox="1">
                          <a:spLocks noChangeArrowheads="1"/>
                        </wps:cNvSpPr>
                        <wps:spPr bwMode="auto">
                          <a:xfrm>
                            <a:off x="1484274" y="1056309"/>
                            <a:ext cx="264650"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63827"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56</w:t>
                              </w:r>
                            </w:p>
                          </w:txbxContent>
                        </wps:txbx>
                        <wps:bodyPr rot="0" vert="horz" wrap="none" lIns="72000" tIns="0" rIns="72000" bIns="0" anchor="t" anchorCtr="0" upright="1">
                          <a:noAutofit/>
                        </wps:bodyPr>
                      </wps:wsp>
                      <wps:wsp>
                        <wps:cNvPr id="51" name="TextBox 48"/>
                        <wps:cNvSpPr txBox="1">
                          <a:spLocks noChangeArrowheads="1"/>
                        </wps:cNvSpPr>
                        <wps:spPr bwMode="auto">
                          <a:xfrm>
                            <a:off x="1415442" y="385457"/>
                            <a:ext cx="324975"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93FE3"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182</w:t>
                              </w:r>
                            </w:p>
                          </w:txbxContent>
                        </wps:txbx>
                        <wps:bodyPr rot="0" vert="horz" wrap="none" lIns="72000" tIns="0" rIns="72000" bIns="0" anchor="t" anchorCtr="0" upright="1">
                          <a:noAutofit/>
                        </wps:bodyPr>
                      </wps:wsp>
                      <wps:wsp>
                        <wps:cNvPr id="52" name="TextBox 49"/>
                        <wps:cNvSpPr txBox="1">
                          <a:spLocks noChangeArrowheads="1"/>
                        </wps:cNvSpPr>
                        <wps:spPr bwMode="auto">
                          <a:xfrm>
                            <a:off x="1415442" y="269826"/>
                            <a:ext cx="324975"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3E73"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192</w:t>
                              </w:r>
                            </w:p>
                          </w:txbxContent>
                        </wps:txbx>
                        <wps:bodyPr rot="0" vert="horz" wrap="none" lIns="72000" tIns="0" rIns="72000" bIns="0" anchor="t" anchorCtr="0" upright="1">
                          <a:noAutofit/>
                        </wps:bodyPr>
                      </wps:wsp>
                      <wps:wsp>
                        <wps:cNvPr id="53" name="TextBox 51"/>
                        <wps:cNvSpPr txBox="1">
                          <a:spLocks noChangeArrowheads="1"/>
                        </wps:cNvSpPr>
                        <wps:spPr bwMode="auto">
                          <a:xfrm>
                            <a:off x="1412696" y="65181"/>
                            <a:ext cx="324975" cy="19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734EF"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239</w:t>
                              </w:r>
                            </w:p>
                          </w:txbxContent>
                        </wps:txbx>
                        <wps:bodyPr rot="0" vert="horz" wrap="none" lIns="72000" tIns="0" rIns="7200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66CAE62" id="Canvas 2" o:spid="_x0000_s1026" editas="canvas" style="position:absolute;margin-left:152.1pt;margin-top:0;width:197.35pt;height:125.5pt;z-index:251658240;mso-position-horizontal-relative:char;mso-position-vertical-relative:line" coordsize="25063,15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063;height:15938;visibility:visible;mso-wrap-style:square" filled="t">
                  <v:fill o:detectmouseclick="t"/>
                  <v:path o:connecttype="none"/>
                </v:shape>
                <v:rect id="Rectangle 27" o:spid="_x0000_s1028" style="position:absolute;left:18521;top:4378;width:1076;height:7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" fillcolor="#deeaf6" strokecolor="#080808" strokeweight="1pt">
                  <v:textbox inset="0,2mm,0,2mm">
                    <w:txbxContent>
                      <w:p w14:paraId="2B963CFA"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PSS</w:t>
                        </w:r>
                      </w:p>
                    </w:txbxContent>
                  </v:textbox>
                </v:rect>
                <v:rect id="Rectangle 28" o:spid="_x0000_s1029" style="position:absolute;left:19597;top:1218;width:1075;height:1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" fillcolor="#ffe599" strokecolor="#080808" strokeweight="1pt">
                  <v:textbox inset="0,2mm,0,2mm">
                    <w:txbxContent>
                      <w:p w14:paraId="5735E31D"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PBCH</w:t>
                        </w:r>
                      </w:p>
                    </w:txbxContent>
                  </v:textbox>
                </v:rect>
                <v:rect id="Rectangle 29" o:spid="_x0000_s1030" style="position:absolute;left:20672;top:4378;width:1076;height:7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" fillcolor="#aeaaaa" strokecolor="#080808" strokeweight="1pt">
                  <v:textbox inset="0,2mm,0,2mm">
                    <w:txbxContent>
                      <w:p w14:paraId="1FE5946F" w14:textId="77777777" w:rsidR="00744601" w:rsidRPr="00744601" w:rsidRDefault="00744601" w:rsidP="00744601">
                        <w:pPr>
                          <w:spacing w:after="60"/>
                          <w:jc w:val="center"/>
                          <w:rPr>
                            <w:b/>
                            <w:bCs/>
                            <w:color w:val="000000"/>
                            <w:sz w:val="24"/>
                            <w:szCs w:val="24"/>
                          </w:rPr>
                        </w:pPr>
                        <w:r w:rsidRPr="00744601">
                          <w:rPr>
                            <w:rFonts w:ascii="Nokia Pure Text Light" w:hAnsi="Nokia Pure Text Light" w:cs="Nokia Pure Text Light"/>
                            <w:b/>
                            <w:bCs/>
                            <w:color w:val="000000"/>
                            <w:kern w:val="24"/>
                            <w:sz w:val="16"/>
                            <w:szCs w:val="16"/>
                          </w:rPr>
                          <w:t>SSS</w:t>
                        </w:r>
                      </w:p>
                    </w:txbxContent>
                  </v:textbox>
                </v:rect>
                <v:rect id="Rectangle 30" o:spid="_x0000_s1031" style="position:absolute;left:20672;top:1218;width:1076;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" fillcolor="#ffe599" strokecolor="#080808" strokeweight="1pt">
                  <v:textbox inset="0,2mm,0,2mm"/>
                </v:rect>
                <v:rect id="Rectangle 31" o:spid="_x0000_s1032" style="position:absolute;left:20672;top:12209;width:1076;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" fillcolor="#ffe599" strokecolor="#080808" strokeweight="1pt">
                  <v:textbox inset="0,2mm,0,2mm"/>
                </v:rect>
                <v:rect id="Rectangle 32" o:spid="_x0000_s1033" style="position:absolute;left:21748;top:1218;width:1076;height:1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" fillcolor="#ffe599" strokecolor="#080808" strokeweight="1pt">
                  <v:textbox inset="0,2mm,0,2mm"/>
                </v:rect>
                <v:shapetype id="_x0000_t32" coordsize="21600,21600" o:spt="32" o:oned="t" path="m,l21600,21600e" filled="f">
                  <v:path arrowok="t" fillok="f" o:connecttype="none"/>
                  <o:lock v:ext="edit" shapetype="t"/>
                </v:shapetype>
                <v:shape id="Straight Arrow Connector 33" o:spid="_x0000_s1034" type="#_x0000_t32" style="position:absolute;left:17525;top:4378;width:0;height:72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" strokeweight=".25pt">
                  <v:stroke startarrow="block" endarrow="block" joinstyle="miter"/>
                </v:shape>
                <v:shapetype id="_x0000_t202" coordsize="21600,21600" o:spt="202" path="m,l,21600r21600,l21600,xe">
                  <v:stroke joinstyle="miter"/>
                  <v:path gradientshapeok="t" o:connecttype="rect"/>
                </v:shapetype>
                <v:shape id="TextBox 28" o:spid="_x0000_s1035" type="#_x0000_t202" style="position:absolute;left:9139;top:6833;width:8642;height:2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" filled="f" stroked="f">
                  <v:textbox inset="2mm,2mm,2mm,2mm">
                    <w:txbxContent>
                      <w:p w14:paraId="45DF74AB"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127 subcarriers</w:t>
                        </w:r>
                      </w:p>
                    </w:txbxContent>
                  </v:textbox>
                </v:shape>
                <v:shape id="Straight Arrow Connector 35" o:spid="_x0000_s1036" type="#_x0000_t32" style="position:absolute;left:8883;top:1218;width:0;height:135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" strokeweight=".25pt">
                  <v:stroke startarrow="block" endarrow="block" joinstyle="miter"/>
                  <o:lock v:ext="edit" shapetype="f"/>
                </v:shape>
                <v:line id="Straight Connector 36" o:spid="_x0000_s1037" style="position:absolute;flip:x;visibility:visible;mso-wrap-style:square" from="8290,14800" to="15878,1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" strokecolor="#98a2ae" strokeweight=".25pt">
                  <v:stroke dashstyle="dash" joinstyle="miter"/>
                  <o:lock v:ext="edit" shapetype="f"/>
                </v:line>
                <v:line id="Straight Connector 37" o:spid="_x0000_s1038" style="position:absolute;flip:x;visibility:visible;mso-wrap-style:square" from="7671,1297" to="14842,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" strokecolor="#98a2ae" strokeweight=".25pt">
                  <v:stroke dashstyle="dash" joinstyle="miter"/>
                  <o:lock v:ext="edit" shapetype="f"/>
                </v:line>
                <v:shape id="TextBox 32" o:spid="_x0000_s1039" type="#_x0000_t202" style="position:absolute;left:309;top:6703;width:957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" filled="f" stroked="f">
                  <v:textbox inset="2mm,2mm,2mm,2mm">
                    <w:txbxContent>
                      <w:p w14:paraId="10DE4508" w14:textId="77777777" w:rsidR="00744601" w:rsidRDefault="00744601" w:rsidP="00744601">
                        <w:pPr>
                          <w:spacing w:after="60"/>
                          <w:jc w:val="center"/>
                          <w:rPr>
                            <w:sz w:val="24"/>
                            <w:szCs w:val="24"/>
                          </w:rPr>
                        </w:pPr>
                        <w:r>
                          <w:rPr>
                            <w:rFonts w:ascii="Nokia Pure Text Light" w:hAnsi="Nokia Pure Text Light" w:cs="Nokia Pure Text Light"/>
                            <w:color w:val="001135"/>
                            <w:kern w:val="24"/>
                            <w:sz w:val="16"/>
                            <w:szCs w:val="16"/>
                          </w:rPr>
                          <w:t>240 subcarriers</w:t>
                        </w:r>
                      </w:p>
                    </w:txbxContent>
                  </v:textbox>
                </v:shape>
                <v:line id="Straight Connector 39" o:spid="_x0000_s1040" style="position:absolute;flip:x;visibility:visible;mso-wrap-style:square" from="16862,12209" to="20672,12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" strokecolor="#98a2ae" strokeweight=".25pt">
                  <v:stroke dashstyle="dash" joinstyle="miter"/>
                  <o:lock v:ext="edit" shapetype="f"/>
                </v:line>
                <v:line id="Straight Connector 40" o:spid="_x0000_s1041" style="position:absolute;flip:x;visibility:visible;mso-wrap-style:square" from="16862,3841" to="20672,3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" strokecolor="#98a2ae" strokeweight=".25pt">
                  <v:stroke dashstyle="dash" joinstyle="miter"/>
                  <o:lock v:ext="edit" shapetype="f"/>
                </v:line>
                <v:line id="Straight Connector 41" o:spid="_x0000_s1042" style="position:absolute;flip:x;visibility:visible;mso-wrap-style:square" from="16862,4378" to="20672,4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" strokecolor="#98a2ae" strokeweight=".25pt">
                  <v:stroke dashstyle="dash" joinstyle="miter"/>
                  <o:lock v:ext="edit" shapetype="f"/>
                </v:line>
                <v:line id="Straight Connector 42" o:spid="_x0000_s1043" style="position:absolute;flip:x;visibility:visible;mso-wrap-style:square" from="16862,11672" to="20672,11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" strokecolor="#98a2ae" strokeweight=".25pt">
                  <v:stroke dashstyle="dash" joinstyle="miter"/>
                  <o:lock v:ext="edit" shapetype="f"/>
                </v:line>
                <v:line id="Straight Connector 43" o:spid="_x0000_s1044" style="position:absolute;flip:x;visibility:visible;mso-wrap-style:square" from="17042,14808" to="19597,14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" strokecolor="#98a2ae" strokeweight=".25pt">
                  <v:stroke dashstyle="dash" joinstyle="miter"/>
                  <o:lock v:ext="edit" shapetype="f"/>
                </v:line>
                <v:line id="Straight Connector 44" o:spid="_x0000_s1045" style="position:absolute;flip:x;visibility:visible;mso-wrap-style:square" from="16862,1297" to="19417,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" strokecolor="#98a2ae" strokeweight=".25pt">
                  <v:stroke dashstyle="dash" joinstyle="miter"/>
                  <o:lock v:ext="edit" shapetype="f"/>
                </v:line>
                <v:shape id="TextBox 45" o:spid="_x0000_s1046" type="#_x0000_t202" style="position:absolute;left:15360;top:13832;width:2044;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" filled="f" stroked="f">
                  <v:textbox inset="2mm,0,2mm,0">
                    <w:txbxContent>
                      <w:p w14:paraId="52E38F36"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0</w:t>
                        </w:r>
                      </w:p>
                    </w:txbxContent>
                  </v:textbox>
                </v:shape>
                <v:shape id="TextBox 46" o:spid="_x0000_s1047" type="#_x0000_t202" style="position:absolute;left:14880;top:11693;width:2646;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" filled="f" stroked="f">
                  <v:textbox inset="2mm,0,2mm,0">
                    <w:txbxContent>
                      <w:p w14:paraId="548A44FE"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47</w:t>
                        </w:r>
                      </w:p>
                    </w:txbxContent>
                  </v:textbox>
                </v:shape>
                <v:shape id="TextBox 47" o:spid="_x0000_s1048" type="#_x0000_t202" style="position:absolute;left:14842;top:10563;width:2647;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" filled="f" stroked="f">
                  <v:textbox inset="2mm,0,2mm,0">
                    <w:txbxContent>
                      <w:p w14:paraId="3E263827"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56</w:t>
                        </w:r>
                      </w:p>
                    </w:txbxContent>
                  </v:textbox>
                </v:shape>
                <v:shape id="TextBox 48" o:spid="_x0000_s1049" type="#_x0000_t202" style="position:absolute;left:14154;top:3854;width:3250;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" filled="f" stroked="f">
                  <v:textbox inset="2mm,0,2mm,0">
                    <w:txbxContent>
                      <w:p w14:paraId="02A93FE3"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182</w:t>
                        </w:r>
                      </w:p>
                    </w:txbxContent>
                  </v:textbox>
                </v:shape>
                <v:shape id="TextBox 49" o:spid="_x0000_s1050" type="#_x0000_t202" style="position:absolute;left:14154;top:2698;width:3250;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" filled="f" stroked="f">
                  <v:textbox inset="2mm,0,2mm,0">
                    <w:txbxContent>
                      <w:p w14:paraId="732F3E73"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192</w:t>
                        </w:r>
                      </w:p>
                    </w:txbxContent>
                  </v:textbox>
                </v:shape>
                <v:shape id="TextBox 51" o:spid="_x0000_s1051" type="#_x0000_t202" style="position:absolute;left:14126;top:651;width:3250;height:1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" filled="f" stroked="f">
                  <v:textbox inset="2mm,0,2mm,0">
                    <w:txbxContent>
                      <w:p w14:paraId="040734EF" w14:textId="77777777" w:rsidR="00744601" w:rsidRDefault="00744601" w:rsidP="00744601">
                        <w:pPr>
                          <w:spacing w:after="60"/>
                          <w:rPr>
                            <w:sz w:val="24"/>
                            <w:szCs w:val="24"/>
                          </w:rPr>
                        </w:pPr>
                        <w:r>
                          <w:rPr>
                            <w:rFonts w:ascii="Nokia Pure Text Light" w:hAnsi="Nokia Pure Text Light" w:cs="Nokia Pure Text Light"/>
                            <w:color w:val="001135"/>
                            <w:kern w:val="24"/>
                            <w:sz w:val="16"/>
                            <w:szCs w:val="16"/>
                          </w:rPr>
                          <w:t>239</w:t>
                        </w:r>
                      </w:p>
                    </w:txbxContent>
                  </v:textbox>
                </v:shape>
                <w10:wrap anchory="line"/>
              </v:group>
            </w:pict>
          </mc:Fallback>
        </mc:AlternateContent>
      </w:r>
      <w:r>
        <w:rPr>
          <w:noProof/>
        </w:rPr>
        <mc:AlternateContent>
          <mc:Choice Requires="wps">
            <w:drawing>
              <wp:inline distT="0" distB="0" distL="0" distR="0" wp14:anchorId="226ABBC5" wp14:editId="2C693B37">
                <wp:extent cx="6019800" cy="159067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198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0947F4" id="AutoShape 8" o:spid="_x0000_s1026" style="width:474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" filled="f" stroked="f">
                <o:lock v:ext="edit" aspectratio="t"/>
                <w10:anchorlock/>
              </v:rect>
            </w:pict>
          </mc:Fallback>
        </mc:AlternateContent>
      </w:r>
    </w:p>
    <w:p w14:paraId="04ACE522" w14:textId="5683C112" w:rsidR="00590E29" w:rsidRPr="00590E29" w:rsidRDefault="00744601" w:rsidP="006D03CF">
      <w:pPr>
        <w:pStyle w:val="Caption"/>
        <w:jc w:val="center"/>
        <w:rPr>
          <w:rFonts w:eastAsia="MS Mincho"/>
          <w:lang w:val="en-US" w:eastAsia="ja-JP"/>
        </w:rPr>
      </w:pPr>
      <w:bookmarkStart w:id="12" w:name="_Ref101522548"/>
      <w:r>
        <w:t xml:space="preserve">Figure </w:t>
      </w:r>
      <w:r w:rsidR="00731A2A">
        <w:fldChar w:fldCharType="begin"/>
      </w:r>
      <w:r w:rsidR="00731A2A">
        <w:instrText xml:space="preserve"> SEQ Figure \* ARABIC </w:instrText>
      </w:r>
      <w:r w:rsidR="00731A2A">
        <w:fldChar w:fldCharType="separate"/>
      </w:r>
      <w:r w:rsidR="00034224">
        <w:rPr>
          <w:noProof/>
        </w:rPr>
        <w:t>1</w:t>
      </w:r>
      <w:r w:rsidR="00731A2A">
        <w:rPr>
          <w:noProof/>
        </w:rPr>
        <w:fldChar w:fldCharType="end"/>
      </w:r>
      <w:bookmarkEnd w:id="12"/>
      <w:r>
        <w:rPr>
          <w:lang w:val="en-US"/>
        </w:rPr>
        <w:t>.</w:t>
      </w:r>
      <w:r w:rsidR="00590E29" w:rsidRPr="00590E29">
        <w:rPr>
          <w:rFonts w:eastAsia="MS Mincho"/>
          <w:lang w:val="en-US" w:eastAsia="ja-JP"/>
        </w:rPr>
        <w:t xml:space="preserve"> SSB structure.</w:t>
      </w:r>
    </w:p>
    <w:p w14:paraId="77DF006C" w14:textId="77777777" w:rsidR="00590E29" w:rsidRPr="00590E29" w:rsidRDefault="00590E29" w:rsidP="00590E29">
      <w:pPr>
        <w:jc w:val="both"/>
        <w:rPr>
          <w:rFonts w:eastAsia="MS Mincho"/>
          <w:lang w:val="en-US" w:eastAsia="ja-JP"/>
        </w:rPr>
      </w:pPr>
      <w:r w:rsidRPr="00590E29">
        <w:rPr>
          <w:rFonts w:eastAsia="MS Mincho"/>
          <w:lang w:val="en-US" w:eastAsia="ja-JP"/>
        </w:rPr>
        <w:t>As seen above, the frequency span of the SSB is fixed in terms of the number of subcarriers. This means that the actual bandwidth depends on the subcarrier spacing (SCS). With 15 kHz SCS:</w:t>
      </w:r>
    </w:p>
    <w:p w14:paraId="41201C7B" w14:textId="77777777" w:rsidR="00590E29" w:rsidRPr="00590E29" w:rsidRDefault="00590E29" w:rsidP="006D03CF">
      <w:pPr>
        <w:numPr>
          <w:ilvl w:val="0"/>
          <w:numId w:val="19"/>
        </w:numPr>
        <w:jc w:val="both"/>
        <w:rPr>
          <w:rFonts w:eastAsia="MS Mincho"/>
          <w:lang w:val="en-US" w:eastAsia="ja-JP"/>
        </w:rPr>
      </w:pPr>
      <w:r w:rsidRPr="00590E29">
        <w:rPr>
          <w:rFonts w:eastAsia="MS Mincho"/>
          <w:lang w:val="en-US" w:eastAsia="ja-JP"/>
        </w:rPr>
        <w:t>PSS and SSS occupy 1.9 MHz;</w:t>
      </w:r>
    </w:p>
    <w:p w14:paraId="07F16E3B" w14:textId="77777777" w:rsidR="00590E29" w:rsidRPr="00590E29" w:rsidRDefault="00590E29" w:rsidP="006D03CF">
      <w:pPr>
        <w:numPr>
          <w:ilvl w:val="0"/>
          <w:numId w:val="19"/>
        </w:numPr>
        <w:jc w:val="both"/>
        <w:rPr>
          <w:rFonts w:eastAsia="MS Mincho"/>
          <w:lang w:val="en-US" w:eastAsia="ja-JP"/>
        </w:rPr>
      </w:pPr>
      <w:r w:rsidRPr="00590E29">
        <w:rPr>
          <w:rFonts w:eastAsia="MS Mincho"/>
          <w:lang w:val="en-US" w:eastAsia="ja-JP"/>
        </w:rPr>
        <w:lastRenderedPageBreak/>
        <w:t>PBCH occupies 3.6 MHz.</w:t>
      </w:r>
    </w:p>
    <w:p w14:paraId="541E9537" w14:textId="77777777" w:rsidR="00590E29" w:rsidRPr="00590E29" w:rsidRDefault="00590E29" w:rsidP="00590E29">
      <w:pPr>
        <w:jc w:val="both"/>
        <w:rPr>
          <w:rFonts w:eastAsia="MS Mincho"/>
          <w:lang w:val="en-US" w:eastAsia="ja-JP"/>
        </w:rPr>
      </w:pPr>
      <w:r w:rsidRPr="00590E29">
        <w:rPr>
          <w:rFonts w:eastAsia="MS Mincho"/>
          <w:lang w:val="en-US" w:eastAsia="ja-JP"/>
        </w:rPr>
        <w:t>With 30 kHz SCS:</w:t>
      </w:r>
    </w:p>
    <w:p w14:paraId="344F3945" w14:textId="77777777" w:rsidR="00590E29" w:rsidRPr="00590E29" w:rsidRDefault="00590E29" w:rsidP="006D03CF">
      <w:pPr>
        <w:numPr>
          <w:ilvl w:val="0"/>
          <w:numId w:val="20"/>
        </w:numPr>
        <w:jc w:val="both"/>
        <w:rPr>
          <w:rFonts w:eastAsia="MS Mincho"/>
          <w:lang w:val="en-US" w:eastAsia="ja-JP"/>
        </w:rPr>
      </w:pPr>
      <w:r w:rsidRPr="00590E29">
        <w:rPr>
          <w:rFonts w:eastAsia="MS Mincho"/>
          <w:lang w:val="en-US" w:eastAsia="ja-JP"/>
        </w:rPr>
        <w:t>PSS and SSS occupy 3.81 MHz;</w:t>
      </w:r>
    </w:p>
    <w:p w14:paraId="5E54E12F" w14:textId="77777777" w:rsidR="00590E29" w:rsidRDefault="00590E29" w:rsidP="006D03CF">
      <w:pPr>
        <w:numPr>
          <w:ilvl w:val="0"/>
          <w:numId w:val="20"/>
        </w:numPr>
        <w:jc w:val="both"/>
        <w:rPr>
          <w:rFonts w:eastAsia="MS Mincho"/>
          <w:lang w:val="en-US" w:eastAsia="ja-JP"/>
        </w:rPr>
      </w:pPr>
      <w:r w:rsidRPr="00590E29">
        <w:rPr>
          <w:rFonts w:eastAsia="MS Mincho"/>
          <w:lang w:val="en-US" w:eastAsia="ja-JP"/>
        </w:rPr>
        <w:t>PBCH occupies 7.2 MHz.</w:t>
      </w:r>
    </w:p>
    <w:p w14:paraId="794FAF19" w14:textId="5883F482" w:rsidR="00B33CD6" w:rsidRDefault="00744601" w:rsidP="00B33CD6">
      <w:pPr>
        <w:jc w:val="both"/>
        <w:rPr>
          <w:rFonts w:eastAsia="MS Mincho"/>
          <w:lang w:val="en-US" w:eastAsia="ja-JP"/>
        </w:rPr>
      </w:pPr>
      <w:r>
        <w:t>It is seen that at 15 kHz SCS, the SSB can b</w:t>
      </w:r>
      <w:r w:rsidR="00925855">
        <w:t>e</w:t>
      </w:r>
      <w:r>
        <w:t xml:space="preserve"> received by a UE with 5 MHz bandwidth. At 30 kHz SCS, however, while the PSS and SSS (with 3.81 MHz) can be received by a 5-MHz UE, the PBCH bandwidth (7.2 MHz) exceeds the UE bandwidth in all three symbols in which the PBCH is transmitted, as depicted in </w:t>
      </w:r>
      <w:r w:rsidR="00844E56">
        <w:fldChar w:fldCharType="begin"/>
      </w:r>
      <w:r w:rsidR="00844E56">
        <w:instrText xml:space="preserve"> REF _Ref101872818 \h </w:instrText>
      </w:r>
      <w:r w:rsidR="00844E56">
        <w:fldChar w:fldCharType="separate"/>
      </w:r>
      <w:r w:rsidR="00034224">
        <w:t xml:space="preserve">Figure </w:t>
      </w:r>
      <w:r w:rsidR="00034224">
        <w:rPr>
          <w:noProof/>
        </w:rPr>
        <w:t>2</w:t>
      </w:r>
      <w:r w:rsidR="00844E56">
        <w:fldChar w:fldCharType="end"/>
      </w:r>
      <w:r>
        <w:t xml:space="preserve">. Therefore, a 5-MHz UE would not be able to receive the </w:t>
      </w:r>
      <w:r w:rsidR="007E6A27">
        <w:t>entire</w:t>
      </w:r>
      <w:r>
        <w:t xml:space="preserve"> PBCH</w:t>
      </w:r>
      <w:r w:rsidR="007E6A27">
        <w:t xml:space="preserve"> within its receive bandwidth</w:t>
      </w:r>
      <w:r>
        <w:t>.</w:t>
      </w:r>
      <w:r w:rsidR="00B33CD6">
        <w:rPr>
          <w:rFonts w:eastAsia="MS Mincho"/>
          <w:lang w:val="en-US" w:eastAsia="ja-JP"/>
        </w:rPr>
        <w:t xml:space="preserve"> </w:t>
      </w:r>
      <w:r w:rsidR="007E6A27">
        <w:rPr>
          <w:rFonts w:eastAsia="MS Mincho"/>
          <w:lang w:val="en-US" w:eastAsia="ja-JP"/>
        </w:rPr>
        <w:t xml:space="preserve">The UE may attempt to decode the PBCH by puncturing the REs outside its reception bandwidth. This </w:t>
      </w:r>
      <w:r w:rsidR="00A21442">
        <w:rPr>
          <w:rFonts w:eastAsia="MS Mincho"/>
          <w:lang w:val="en-US" w:eastAsia="ja-JP"/>
        </w:rPr>
        <w:t xml:space="preserve">degrades the decoding performance </w:t>
      </w:r>
      <w:r w:rsidR="00184752">
        <w:rPr>
          <w:rFonts w:eastAsia="MS Mincho"/>
          <w:lang w:val="en-US" w:eastAsia="ja-JP"/>
        </w:rPr>
        <w:t xml:space="preserve">of PBCH and </w:t>
      </w:r>
      <w:r w:rsidR="00A21442">
        <w:rPr>
          <w:rFonts w:eastAsia="MS Mincho"/>
          <w:lang w:val="en-US" w:eastAsia="ja-JP"/>
        </w:rPr>
        <w:t xml:space="preserve">hence </w:t>
      </w:r>
      <w:r w:rsidR="00A415F7">
        <w:rPr>
          <w:rFonts w:eastAsia="MS Mincho"/>
          <w:lang w:val="en-US" w:eastAsia="ja-JP"/>
        </w:rPr>
        <w:t xml:space="preserve">reduces </w:t>
      </w:r>
      <w:r w:rsidR="00184752">
        <w:rPr>
          <w:rFonts w:eastAsia="MS Mincho"/>
          <w:lang w:val="en-US" w:eastAsia="ja-JP"/>
        </w:rPr>
        <w:t>its coverage</w:t>
      </w:r>
      <w:r w:rsidR="00A21442">
        <w:rPr>
          <w:rFonts w:eastAsia="MS Mincho"/>
          <w:lang w:val="en-US" w:eastAsia="ja-JP"/>
        </w:rPr>
        <w:t>.</w:t>
      </w:r>
      <w:r w:rsidR="00820ED2">
        <w:rPr>
          <w:rFonts w:eastAsia="MS Mincho"/>
          <w:lang w:val="en-US" w:eastAsia="ja-JP"/>
        </w:rPr>
        <w:t xml:space="preserve"> As shown by the coverage evaluations in </w:t>
      </w:r>
      <w:r w:rsidR="00820ED2">
        <w:rPr>
          <w:rFonts w:eastAsia="MS Mincho"/>
          <w:lang w:val="en-US" w:eastAsia="ja-JP"/>
        </w:rPr>
        <w:fldChar w:fldCharType="begin"/>
      </w:r>
      <w:r w:rsidR="00820ED2">
        <w:rPr>
          <w:rFonts w:eastAsia="MS Mincho"/>
          <w:lang w:val="en-US" w:eastAsia="ja-JP"/>
        </w:rPr>
        <w:instrText xml:space="preserve"> REF _Ref111044486 \r \h </w:instrText>
      </w:r>
      <w:r w:rsidR="00820ED2">
        <w:rPr>
          <w:rFonts w:eastAsia="MS Mincho"/>
          <w:lang w:val="en-US" w:eastAsia="ja-JP"/>
        </w:rPr>
      </w:r>
      <w:r w:rsidR="00820ED2">
        <w:rPr>
          <w:rFonts w:eastAsia="MS Mincho"/>
          <w:lang w:val="en-US" w:eastAsia="ja-JP"/>
        </w:rPr>
        <w:fldChar w:fldCharType="separate"/>
      </w:r>
      <w:r w:rsidR="00034224">
        <w:rPr>
          <w:rFonts w:eastAsia="MS Mincho"/>
          <w:lang w:val="en-US" w:eastAsia="ja-JP"/>
        </w:rPr>
        <w:t>[2]</w:t>
      </w:r>
      <w:r w:rsidR="00820ED2">
        <w:rPr>
          <w:rFonts w:eastAsia="MS Mincho"/>
          <w:lang w:val="en-US" w:eastAsia="ja-JP"/>
        </w:rPr>
        <w:fldChar w:fldCharType="end"/>
      </w:r>
      <w:r w:rsidR="00820ED2">
        <w:rPr>
          <w:rFonts w:eastAsia="MS Mincho"/>
          <w:lang w:val="en-US" w:eastAsia="ja-JP"/>
        </w:rPr>
        <w:t>, however, the reduction in PBCH coverage does not impact system coverage since the hardware link budget is still substantially higher than that of the limiting channel in the Urban TDD scenarios.</w:t>
      </w:r>
    </w:p>
    <w:p w14:paraId="00FD48EC" w14:textId="66C71C83" w:rsidR="007E6A27" w:rsidRDefault="00631175" w:rsidP="006D03CF">
      <w:pPr>
        <w:jc w:val="center"/>
      </w:pPr>
      <w:r>
        <w:rPr>
          <w:noProof/>
        </w:rPr>
        <mc:AlternateContent>
          <mc:Choice Requires="wpc">
            <w:drawing>
              <wp:inline distT="0" distB="0" distL="0" distR="0" wp14:anchorId="73B24A0F" wp14:editId="2454DDA1">
                <wp:extent cx="2559050" cy="1862455"/>
                <wp:effectExtent l="0" t="0" r="3175" b="4445"/>
                <wp:docPr id="55" name="Canvas 5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a:noFill/>
                        </a:ln>
                      </wpc:whole>
                      <wps:wsp>
                        <wps:cNvPr id="2" name="Rectangle 172"/>
                        <wps:cNvSpPr>
                          <a:spLocks noChangeArrowheads="1"/>
                        </wps:cNvSpPr>
                        <wps:spPr bwMode="auto">
                          <a:xfrm>
                            <a:off x="1771623" y="554316"/>
                            <a:ext cx="107577" cy="726389"/>
                          </a:xfrm>
                          <a:prstGeom prst="rect">
                            <a:avLst/>
                          </a:prstGeom>
                          <a:solidFill>
                            <a:srgbClr val="DEEAF6"/>
                          </a:solidFill>
                          <a:ln w="12700" algn="ctr">
                            <a:solidFill>
                              <a:srgbClr val="080808"/>
                            </a:solidFill>
                            <a:miter lim="800000"/>
                            <a:headEnd/>
                            <a:tailEnd/>
                          </a:ln>
                        </wps:spPr>
                        <wps:txbx>
                          <w:txbxContent>
                            <w:p w14:paraId="75033329"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PSS</w:t>
                              </w:r>
                            </w:p>
                          </w:txbxContent>
                        </wps:txbx>
                        <wps:bodyPr rot="0" vert="horz" wrap="square" lIns="0" tIns="72000" rIns="0" bIns="72000" anchor="ctr" anchorCtr="0" upright="1">
                          <a:noAutofit/>
                        </wps:bodyPr>
                      </wps:wsp>
                      <wps:wsp>
                        <wps:cNvPr id="6" name="Rectangle 173"/>
                        <wps:cNvSpPr>
                          <a:spLocks noChangeArrowheads="1"/>
                        </wps:cNvSpPr>
                        <wps:spPr bwMode="auto">
                          <a:xfrm>
                            <a:off x="1879200" y="238201"/>
                            <a:ext cx="107577" cy="1358616"/>
                          </a:xfrm>
                          <a:prstGeom prst="rect">
                            <a:avLst/>
                          </a:prstGeom>
                          <a:solidFill>
                            <a:srgbClr val="FFE599"/>
                          </a:solidFill>
                          <a:ln w="12700" algn="ctr">
                            <a:solidFill>
                              <a:srgbClr val="080808"/>
                            </a:solidFill>
                            <a:miter lim="800000"/>
                            <a:headEnd/>
                            <a:tailEnd/>
                          </a:ln>
                        </wps:spPr>
                        <wps:txbx>
                          <w:txbxContent>
                            <w:p w14:paraId="10FAD4DA" w14:textId="77777777" w:rsidR="007E6A27" w:rsidRPr="007E6A27" w:rsidRDefault="007E6A27" w:rsidP="00A21442">
                              <w:pPr>
                                <w:spacing w:after="60"/>
                                <w:jc w:val="center"/>
                                <w:rPr>
                                  <w:b/>
                                  <w:bCs/>
                                  <w:color w:val="000000"/>
                                  <w:sz w:val="24"/>
                                  <w:szCs w:val="24"/>
                                </w:rPr>
                              </w:pPr>
                              <w:r w:rsidRPr="007E6A27">
                                <w:rPr>
                                  <w:rFonts w:ascii="Nokia Pure Text Light" w:hAnsi="Nokia Pure Text Light"/>
                                  <w:b/>
                                  <w:bCs/>
                                  <w:color w:val="000000"/>
                                  <w:sz w:val="16"/>
                                  <w:szCs w:val="16"/>
                                </w:rPr>
                                <w:t>PBCH</w:t>
                              </w:r>
                            </w:p>
                          </w:txbxContent>
                        </wps:txbx>
                        <wps:bodyPr rot="0" vert="horz" wrap="square" lIns="0" tIns="72000" rIns="0" bIns="72000" anchor="ctr" anchorCtr="0" upright="1">
                          <a:noAutofit/>
                        </wps:bodyPr>
                      </wps:wsp>
                      <wps:wsp>
                        <wps:cNvPr id="7" name="Rectangle 174"/>
                        <wps:cNvSpPr>
                          <a:spLocks noChangeArrowheads="1"/>
                        </wps:cNvSpPr>
                        <wps:spPr bwMode="auto">
                          <a:xfrm>
                            <a:off x="1986777" y="554316"/>
                            <a:ext cx="107577" cy="726389"/>
                          </a:xfrm>
                          <a:prstGeom prst="rect">
                            <a:avLst/>
                          </a:prstGeom>
                          <a:solidFill>
                            <a:srgbClr val="AEAAAA"/>
                          </a:solidFill>
                          <a:ln w="12700" algn="ctr">
                            <a:solidFill>
                              <a:srgbClr val="080808"/>
                            </a:solidFill>
                            <a:miter lim="800000"/>
                            <a:headEnd/>
                            <a:tailEnd/>
                          </a:ln>
                        </wps:spPr>
                        <wps:txbx>
                          <w:txbxContent>
                            <w:p w14:paraId="65101D68"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SSS</w:t>
                              </w:r>
                            </w:p>
                          </w:txbxContent>
                        </wps:txbx>
                        <wps:bodyPr rot="0" vert="horz" wrap="square" lIns="0" tIns="72000" rIns="0" bIns="72000" anchor="ctr" anchorCtr="0" upright="1">
                          <a:noAutofit/>
                        </wps:bodyPr>
                      </wps:wsp>
                      <wps:wsp>
                        <wps:cNvPr id="8" name="Rectangle 175"/>
                        <wps:cNvSpPr>
                          <a:spLocks noChangeArrowheads="1"/>
                        </wps:cNvSpPr>
                        <wps:spPr bwMode="auto">
                          <a:xfrm>
                            <a:off x="1986777" y="238200"/>
                            <a:ext cx="107577" cy="262309"/>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9" name="Rectangle 176"/>
                        <wps:cNvSpPr>
                          <a:spLocks noChangeArrowheads="1"/>
                        </wps:cNvSpPr>
                        <wps:spPr bwMode="auto">
                          <a:xfrm>
                            <a:off x="1986779" y="1337618"/>
                            <a:ext cx="107577" cy="259199"/>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15" name="Rectangle 177"/>
                        <wps:cNvSpPr>
                          <a:spLocks noChangeArrowheads="1"/>
                        </wps:cNvSpPr>
                        <wps:spPr bwMode="auto">
                          <a:xfrm>
                            <a:off x="2094354" y="238201"/>
                            <a:ext cx="107577" cy="1358616"/>
                          </a:xfrm>
                          <a:prstGeom prst="rect">
                            <a:avLst/>
                          </a:prstGeom>
                          <a:solidFill>
                            <a:srgbClr val="FFE599"/>
                          </a:solidFill>
                          <a:ln w="12700" algn="ctr">
                            <a:solidFill>
                              <a:srgbClr val="080808"/>
                            </a:solidFill>
                            <a:miter lim="800000"/>
                            <a:headEnd/>
                            <a:tailEnd/>
                          </a:ln>
                        </wps:spPr>
                        <wps:bodyPr rot="0" vert="horz" wrap="square" lIns="0" tIns="72000" rIns="0" bIns="72000" anchor="t" anchorCtr="0" upright="1">
                          <a:noAutofit/>
                        </wps:bodyPr>
                      </wps:wsp>
                      <wps:wsp>
                        <wps:cNvPr id="16" name="Straight Arrow Connector 178"/>
                        <wps:cNvCnPr>
                          <a:cxnSpLocks noChangeShapeType="1"/>
                        </wps:cNvCnPr>
                        <wps:spPr bwMode="auto">
                          <a:xfrm flipV="1">
                            <a:off x="1672034" y="554316"/>
                            <a:ext cx="0" cy="726389"/>
                          </a:xfrm>
                          <a:prstGeom prst="straightConnector1">
                            <a:avLst/>
                          </a:prstGeom>
                          <a:noFill/>
                          <a:ln w="3175"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Box 30"/>
                        <wps:cNvSpPr txBox="1">
                          <a:spLocks noChangeArrowheads="1"/>
                        </wps:cNvSpPr>
                        <wps:spPr bwMode="auto">
                          <a:xfrm>
                            <a:off x="1114561" y="799841"/>
                            <a:ext cx="583103" cy="28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E5E53"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3.81 MHz</w:t>
                              </w:r>
                            </w:p>
                          </w:txbxContent>
                        </wps:txbx>
                        <wps:bodyPr rot="0" vert="horz" wrap="square" lIns="72000" tIns="72000" rIns="72000" bIns="72000" anchor="t" anchorCtr="0" upright="1">
                          <a:noAutofit/>
                        </wps:bodyPr>
                      </wps:wsp>
                      <wps:wsp>
                        <wps:cNvPr id="18" name="Straight Arrow Connector 180"/>
                        <wps:cNvCnPr>
                          <a:cxnSpLocks/>
                        </wps:cNvCnPr>
                        <wps:spPr bwMode="auto">
                          <a:xfrm flipV="1">
                            <a:off x="567682" y="246045"/>
                            <a:ext cx="0" cy="1358617"/>
                          </a:xfrm>
                          <a:prstGeom prst="straightConnector1">
                            <a:avLst/>
                          </a:prstGeom>
                          <a:noFill/>
                          <a:ln w="3175"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9" name="Straight Connector 181"/>
                        <wps:cNvCnPr>
                          <a:cxnSpLocks/>
                          <a:stCxn id="6" idx="2"/>
                        </wps:cNvCnPr>
                        <wps:spPr bwMode="auto">
                          <a:xfrm flipH="1">
                            <a:off x="505215" y="1596817"/>
                            <a:ext cx="1427774"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0" name="Straight Connector 182"/>
                        <wps:cNvCnPr>
                          <a:cxnSpLocks/>
                          <a:stCxn id="6" idx="0"/>
                        </wps:cNvCnPr>
                        <wps:spPr bwMode="auto">
                          <a:xfrm flipH="1">
                            <a:off x="505215" y="238201"/>
                            <a:ext cx="1427774" cy="7844"/>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1" name="TextBox 34"/>
                        <wps:cNvSpPr txBox="1">
                          <a:spLocks noChangeArrowheads="1"/>
                        </wps:cNvSpPr>
                        <wps:spPr bwMode="auto">
                          <a:xfrm>
                            <a:off x="31391" y="778552"/>
                            <a:ext cx="536291" cy="285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9DDD1"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7.2 MHz</w:t>
                              </w:r>
                            </w:p>
                          </w:txbxContent>
                        </wps:txbx>
                        <wps:bodyPr rot="0" vert="horz" wrap="square" lIns="72000" tIns="72000" rIns="72000" bIns="72000" anchor="t" anchorCtr="0" upright="1">
                          <a:noAutofit/>
                        </wps:bodyPr>
                      </wps:wsp>
                      <wps:wsp>
                        <wps:cNvPr id="22" name="Straight Connector 184"/>
                        <wps:cNvCnPr>
                          <a:cxnSpLocks/>
                        </wps:cNvCnPr>
                        <wps:spPr bwMode="auto">
                          <a:xfrm flipH="1">
                            <a:off x="1605776" y="554316"/>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3" name="Straight Connector 185"/>
                        <wps:cNvCnPr>
                          <a:cxnSpLocks/>
                        </wps:cNvCnPr>
                        <wps:spPr bwMode="auto">
                          <a:xfrm flipH="1">
                            <a:off x="1605775" y="1283897"/>
                            <a:ext cx="381002"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4" name="Rectangle 186"/>
                        <wps:cNvSpPr>
                          <a:spLocks noChangeArrowheads="1"/>
                        </wps:cNvSpPr>
                        <wps:spPr bwMode="auto">
                          <a:xfrm>
                            <a:off x="1222139" y="113564"/>
                            <a:ext cx="1111875" cy="355238"/>
                          </a:xfrm>
                          <a:prstGeom prst="rect">
                            <a:avLst/>
                          </a:prstGeom>
                          <a:solidFill>
                            <a:srgbClr val="C45911">
                              <a:alpha val="50195"/>
                            </a:srgbClr>
                          </a:solidFill>
                          <a:ln>
                            <a:noFill/>
                          </a:ln>
                          <a:extLst>
                            <a:ext uri="{91240B29-F687-4F45-9708-019B960494DF}">
                              <a14:hiddenLine xmlns:a14="http://schemas.microsoft.com/office/drawing/2010/main" w="6350" algn="ctr">
                                <a:solidFill>
                                  <a:srgbClr val="000000"/>
                                </a:solidFill>
                                <a:miter lim="800000"/>
                                <a:headEnd/>
                                <a:tailEnd/>
                              </a14:hiddenLine>
                            </a:ext>
                          </a:extLst>
                        </wps:spPr>
                        <wps:bodyPr rot="0" vert="horz" wrap="square" lIns="72000" tIns="72000" rIns="72000" bIns="72000" anchor="t" anchorCtr="0" upright="1">
                          <a:noAutofit/>
                        </wps:bodyPr>
                      </wps:wsp>
                      <wps:wsp>
                        <wps:cNvPr id="25" name="Rectangle 187"/>
                        <wps:cNvSpPr>
                          <a:spLocks noChangeArrowheads="1"/>
                        </wps:cNvSpPr>
                        <wps:spPr bwMode="auto">
                          <a:xfrm>
                            <a:off x="1222138" y="1366219"/>
                            <a:ext cx="1111875" cy="372170"/>
                          </a:xfrm>
                          <a:prstGeom prst="rect">
                            <a:avLst/>
                          </a:prstGeom>
                          <a:solidFill>
                            <a:srgbClr val="C45911">
                              <a:alpha val="50195"/>
                            </a:srgbClr>
                          </a:solidFill>
                          <a:ln>
                            <a:noFill/>
                          </a:ln>
                          <a:extLst>
                            <a:ext uri="{91240B29-F687-4F45-9708-019B960494DF}">
                              <a14:hiddenLine xmlns:a14="http://schemas.microsoft.com/office/drawing/2010/main" w="6350" algn="ctr">
                                <a:solidFill>
                                  <a:srgbClr val="000000"/>
                                </a:solidFill>
                                <a:miter lim="800000"/>
                                <a:headEnd/>
                                <a:tailEnd/>
                              </a14:hiddenLine>
                            </a:ext>
                          </a:extLst>
                        </wps:spPr>
                        <wps:bodyPr rot="0" vert="horz" wrap="square" lIns="72000" tIns="72000" rIns="72000" bIns="72000" anchor="t" anchorCtr="0" upright="1">
                          <a:noAutofit/>
                        </wps:bodyPr>
                      </wps:wsp>
                      <wps:wsp>
                        <wps:cNvPr id="26" name="Straight Connector 188"/>
                        <wps:cNvCnPr>
                          <a:cxnSpLocks/>
                        </wps:cNvCnPr>
                        <wps:spPr bwMode="auto">
                          <a:xfrm flipH="1">
                            <a:off x="1057754" y="1367302"/>
                            <a:ext cx="163396"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7" name="Straight Connector 189"/>
                        <wps:cNvCnPr>
                          <a:cxnSpLocks/>
                        </wps:cNvCnPr>
                        <wps:spPr bwMode="auto">
                          <a:xfrm flipH="1">
                            <a:off x="1055707" y="468802"/>
                            <a:ext cx="165443" cy="0"/>
                          </a:xfrm>
                          <a:prstGeom prst="line">
                            <a:avLst/>
                          </a:prstGeom>
                          <a:noFill/>
                          <a:ln w="3175" algn="ctr">
                            <a:solidFill>
                              <a:srgbClr val="98A2AE"/>
                            </a:solidFill>
                            <a:prstDash val="dash"/>
                            <a:miter lim="800000"/>
                            <a:headEnd/>
                            <a:tailEnd/>
                          </a:ln>
                          <a:extLst>
                            <a:ext uri="{909E8E84-426E-40DD-AFC4-6F175D3DCCD1}">
                              <a14:hiddenFill xmlns:a14="http://schemas.microsoft.com/office/drawing/2010/main">
                                <a:noFill/>
                              </a14:hiddenFill>
                            </a:ext>
                          </a:extLst>
                        </wps:spPr>
                        <wps:bodyPr/>
                      </wps:wsp>
                      <wps:wsp>
                        <wps:cNvPr id="28" name="Straight Connector 190"/>
                        <wps:cNvCnPr>
                          <a:cxnSpLocks/>
                        </wps:cNvCnPr>
                        <wps:spPr bwMode="auto">
                          <a:xfrm flipV="1">
                            <a:off x="1114563" y="468803"/>
                            <a:ext cx="0" cy="897416"/>
                          </a:xfrm>
                          <a:prstGeom prst="line">
                            <a:avLst/>
                          </a:prstGeom>
                          <a:noFill/>
                          <a:ln w="3175" algn="ctr">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9" name="TextBox 42"/>
                        <wps:cNvSpPr txBox="1">
                          <a:spLocks noChangeArrowheads="1"/>
                        </wps:cNvSpPr>
                        <wps:spPr bwMode="auto">
                          <a:xfrm>
                            <a:off x="675257" y="774630"/>
                            <a:ext cx="462148" cy="285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DDB7C"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5 MHz</w:t>
                              </w:r>
                            </w:p>
                          </w:txbxContent>
                        </wps:txbx>
                        <wps:bodyPr rot="0" vert="horz" wrap="square" lIns="72000" tIns="72000" rIns="72000" bIns="72000" anchor="t" anchorCtr="0" upright="1">
                          <a:noAutofit/>
                        </wps:bodyPr>
                      </wps:wsp>
                    </wpc:wpc>
                  </a:graphicData>
                </a:graphic>
              </wp:inline>
            </w:drawing>
          </mc:Choice>
          <mc:Fallback>
            <w:pict>
              <v:group w14:anchorId="73B24A0F" id="Canvas 51" o:spid="_x0000_s1052" editas="canvas" style="width:201.5pt;height:146.65pt;mso-position-horizontal-relative:char;mso-position-vertical-relative:line" coordsize="25590,1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">
                <v:shape id="_x0000_s1053" type="#_x0000_t75" style="position:absolute;width:25590;height:18624;visibility:visible;mso-wrap-style:square" filled="t">
                  <v:fill o:detectmouseclick="t"/>
                  <v:path o:connecttype="none"/>
                </v:shape>
                <v:rect id="Rectangle 172" o:spid="_x0000_s1054" style="position:absolute;left:17716;top:5543;width:1076;height:7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" fillcolor="#deeaf6" strokecolor="#080808" strokeweight="1pt">
                  <v:textbox inset="0,2mm,0,2mm">
                    <w:txbxContent>
                      <w:p w14:paraId="75033329"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PSS</w:t>
                        </w:r>
                      </w:p>
                    </w:txbxContent>
                  </v:textbox>
                </v:rect>
                <v:rect id="Rectangle 173" o:spid="_x0000_s1055" style="position:absolute;left:18792;top:2382;width:1075;height:13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" fillcolor="#ffe599" strokecolor="#080808" strokeweight="1pt">
                  <v:textbox inset="0,2mm,0,2mm">
                    <w:txbxContent>
                      <w:p w14:paraId="10FAD4DA" w14:textId="77777777" w:rsidR="007E6A27" w:rsidRPr="007E6A27" w:rsidRDefault="007E6A27" w:rsidP="00A21442">
                        <w:pPr>
                          <w:spacing w:after="60"/>
                          <w:jc w:val="center"/>
                          <w:rPr>
                            <w:b/>
                            <w:bCs/>
                            <w:color w:val="000000"/>
                            <w:sz w:val="24"/>
                            <w:szCs w:val="24"/>
                          </w:rPr>
                        </w:pPr>
                        <w:r w:rsidRPr="007E6A27">
                          <w:rPr>
                            <w:rFonts w:ascii="Nokia Pure Text Light" w:hAnsi="Nokia Pure Text Light"/>
                            <w:b/>
                            <w:bCs/>
                            <w:color w:val="000000"/>
                            <w:sz w:val="16"/>
                            <w:szCs w:val="16"/>
                          </w:rPr>
                          <w:t>PBCH</w:t>
                        </w:r>
                      </w:p>
                    </w:txbxContent>
                  </v:textbox>
                </v:rect>
                <v:rect id="Rectangle 174" o:spid="_x0000_s1056" style="position:absolute;left:19867;top:5543;width:1076;height:7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" fillcolor="#aeaaaa" strokecolor="#080808" strokeweight="1pt">
                  <v:textbox inset="0,2mm,0,2mm">
                    <w:txbxContent>
                      <w:p w14:paraId="65101D68" w14:textId="77777777" w:rsidR="007E6A27" w:rsidRPr="007E6A27" w:rsidRDefault="007E6A27" w:rsidP="007E6A27">
                        <w:pPr>
                          <w:spacing w:after="60"/>
                          <w:jc w:val="center"/>
                          <w:rPr>
                            <w:b/>
                            <w:bCs/>
                            <w:color w:val="000000"/>
                            <w:sz w:val="24"/>
                            <w:szCs w:val="24"/>
                          </w:rPr>
                        </w:pPr>
                        <w:r w:rsidRPr="007E6A27">
                          <w:rPr>
                            <w:rFonts w:ascii="Nokia Pure Text Light" w:hAnsi="Nokia Pure Text Light"/>
                            <w:b/>
                            <w:bCs/>
                            <w:color w:val="000000"/>
                            <w:sz w:val="16"/>
                            <w:szCs w:val="16"/>
                          </w:rPr>
                          <w:t>SSS</w:t>
                        </w:r>
                      </w:p>
                    </w:txbxContent>
                  </v:textbox>
                </v:rect>
                <v:rect id="Rectangle 175" o:spid="_x0000_s1057" style="position:absolute;left:19867;top:2382;width:1076;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" fillcolor="#ffe599" strokecolor="#080808" strokeweight="1pt">
                  <v:textbox inset="0,2mm,0,2mm"/>
                </v:rect>
                <v:rect id="Rectangle 176" o:spid="_x0000_s1058" style="position:absolute;left:19867;top:13376;width:1076;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" fillcolor="#ffe599" strokecolor="#080808" strokeweight="1pt">
                  <v:textbox inset="0,2mm,0,2mm"/>
                </v:rect>
                <v:rect id="Rectangle 177" o:spid="_x0000_s1059" style="position:absolute;left:20943;top:2382;width:1076;height:13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" fillcolor="#ffe599" strokecolor="#080808" strokeweight="1pt">
                  <v:textbox inset="0,2mm,0,2mm"/>
                </v:rect>
                <v:shape id="Straight Arrow Connector 178" o:spid="_x0000_s1060" type="#_x0000_t32" style="position:absolute;left:16720;top:5543;width:0;height:72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" strokeweight=".25pt">
                  <v:stroke startarrow="block" endarrow="block" joinstyle="miter"/>
                </v:shape>
                <v:shape id="TextBox 30" o:spid="_x0000_s1061" type="#_x0000_t202" style="position:absolute;left:11145;top:7998;width:583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" filled="f" stroked="f">
                  <v:textbox inset="2mm,2mm,2mm,2mm">
                    <w:txbxContent>
                      <w:p w14:paraId="10EE5E53"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3.81 MHz</w:t>
                        </w:r>
                      </w:p>
                    </w:txbxContent>
                  </v:textbox>
                </v:shape>
                <v:shape id="Straight Arrow Connector 180" o:spid="_x0000_s1062" type="#_x0000_t32" style="position:absolute;left:5676;top:2460;width:0;height:135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" strokeweight=".25pt">
                  <v:stroke startarrow="block" endarrow="block" joinstyle="miter"/>
                  <o:lock v:ext="edit" shapetype="f"/>
                </v:shape>
                <v:line id="Straight Connector 181" o:spid="_x0000_s1063" style="position:absolute;flip:x;visibility:visible;mso-wrap-style:square" from="5052,15968" to="19329,15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" strokecolor="#98a2ae" strokeweight=".25pt">
                  <v:stroke dashstyle="dash" joinstyle="miter"/>
                  <o:lock v:ext="edit" shapetype="f"/>
                </v:line>
                <v:line id="Straight Connector 182" o:spid="_x0000_s1064" style="position:absolute;flip:x;visibility:visible;mso-wrap-style:square" from="5052,2382" to="19329,2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" strokecolor="#98a2ae" strokeweight=".25pt">
                  <v:stroke dashstyle="dash" joinstyle="miter"/>
                  <o:lock v:ext="edit" shapetype="f"/>
                </v:line>
                <v:shape id="TextBox 34" o:spid="_x0000_s1065" type="#_x0000_t202" style="position:absolute;left:313;top:7785;width:5363;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" filled="f" stroked="f">
                  <v:textbox inset="2mm,2mm,2mm,2mm">
                    <w:txbxContent>
                      <w:p w14:paraId="1939DDD1"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7.2 MHz</w:t>
                        </w:r>
                      </w:p>
                    </w:txbxContent>
                  </v:textbox>
                </v:shape>
                <v:line id="Straight Connector 184" o:spid="_x0000_s1066" style="position:absolute;flip:x;visibility:visible;mso-wrap-style:square" from="16057,5543" to="19867,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" strokecolor="#98a2ae" strokeweight=".25pt">
                  <v:stroke dashstyle="dash" joinstyle="miter"/>
                  <o:lock v:ext="edit" shapetype="f"/>
                </v:line>
                <v:line id="Straight Connector 185" o:spid="_x0000_s1067" style="position:absolute;flip:x;visibility:visible;mso-wrap-style:square" from="16057,12838" to="19867,12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" strokecolor="#98a2ae" strokeweight=".25pt">
                  <v:stroke dashstyle="dash" joinstyle="miter"/>
                  <o:lock v:ext="edit" shapetype="f"/>
                </v:line>
                <v:rect id="Rectangle 186" o:spid="_x0000_s1068" style="position:absolute;left:12221;top:1135;width:11119;height:3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" fillcolor="#c45911" stroked="f" strokeweight=".5pt">
                  <v:fill opacity="32896f"/>
                  <v:textbox inset="2mm,2mm,2mm,2mm"/>
                </v:rect>
                <v:rect id="Rectangle 187" o:spid="_x0000_s1069" style="position:absolute;left:12221;top:13662;width:11119;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" fillcolor="#c45911" stroked="f" strokeweight=".5pt">
                  <v:fill opacity="32896f"/>
                  <v:textbox inset="2mm,2mm,2mm,2mm"/>
                </v:rect>
                <v:line id="Straight Connector 188" o:spid="_x0000_s1070" style="position:absolute;flip:x;visibility:visible;mso-wrap-style:square" from="10577,13673" to="12211,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" strokecolor="#98a2ae" strokeweight=".25pt">
                  <v:stroke dashstyle="dash" joinstyle="miter"/>
                  <o:lock v:ext="edit" shapetype="f"/>
                </v:line>
                <v:line id="Straight Connector 189" o:spid="_x0000_s1071" style="position:absolute;flip:x;visibility:visible;mso-wrap-style:square" from="10557,4688" to="12211,4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" strokecolor="#98a2ae" strokeweight=".25pt">
                  <v:stroke dashstyle="dash" joinstyle="miter"/>
                  <o:lock v:ext="edit" shapetype="f"/>
                </v:line>
                <v:line id="Straight Connector 190" o:spid="_x0000_s1072" style="position:absolute;flip:y;visibility:visible;mso-wrap-style:square" from="11145,4688" to="11145,1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" strokeweight=".25pt">
                  <v:stroke startarrow="block" endarrow="block" joinstyle="miter"/>
                  <o:lock v:ext="edit" shapetype="f"/>
                </v:line>
                <v:shape id="TextBox 42" o:spid="_x0000_s1073" type="#_x0000_t202" style="position:absolute;left:6752;top:7746;width:462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" filled="f" stroked="f">
                  <v:textbox inset="2mm,2mm,2mm,2mm">
                    <w:txbxContent>
                      <w:p w14:paraId="6C0DDB7C" w14:textId="77777777" w:rsidR="007E6A27" w:rsidRDefault="007E6A27" w:rsidP="007E6A27">
                        <w:pPr>
                          <w:spacing w:after="60"/>
                          <w:jc w:val="center"/>
                          <w:rPr>
                            <w:sz w:val="24"/>
                            <w:szCs w:val="24"/>
                          </w:rPr>
                        </w:pPr>
                        <w:r w:rsidRPr="007E6A27">
                          <w:rPr>
                            <w:rFonts w:ascii="Nokia Pure Text Light" w:hAnsi="Nokia Pure Text Light"/>
                            <w:color w:val="001135"/>
                            <w:kern w:val="24"/>
                            <w:sz w:val="16"/>
                            <w:szCs w:val="16"/>
                          </w:rPr>
                          <w:t>5 MHz</w:t>
                        </w:r>
                      </w:p>
                    </w:txbxContent>
                  </v:textbox>
                </v:shape>
                <w10:anchorlock/>
              </v:group>
            </w:pict>
          </mc:Fallback>
        </mc:AlternateContent>
      </w:r>
    </w:p>
    <w:p w14:paraId="0FE33C83" w14:textId="5B63DEF5" w:rsidR="00DE75CC" w:rsidRPr="00590E29" w:rsidRDefault="00DE75CC" w:rsidP="00DE75CC">
      <w:pPr>
        <w:pStyle w:val="Caption"/>
        <w:jc w:val="center"/>
        <w:rPr>
          <w:rFonts w:eastAsia="MS Mincho"/>
          <w:lang w:val="en-US" w:eastAsia="ja-JP"/>
        </w:rPr>
      </w:pPr>
      <w:bookmarkStart w:id="13" w:name="_Ref101872818"/>
      <w:r>
        <w:t xml:space="preserve">Figure </w:t>
      </w:r>
      <w:r w:rsidR="00731A2A">
        <w:fldChar w:fldCharType="begin"/>
      </w:r>
      <w:r w:rsidR="00731A2A">
        <w:instrText xml:space="preserve"> SEQ Figure \* ARABIC </w:instrText>
      </w:r>
      <w:r w:rsidR="00731A2A">
        <w:fldChar w:fldCharType="separate"/>
      </w:r>
      <w:r w:rsidR="00034224">
        <w:rPr>
          <w:noProof/>
        </w:rPr>
        <w:t>2</w:t>
      </w:r>
      <w:r w:rsidR="00731A2A">
        <w:rPr>
          <w:noProof/>
        </w:rPr>
        <w:fldChar w:fldCharType="end"/>
      </w:r>
      <w:bookmarkEnd w:id="13"/>
      <w:r>
        <w:rPr>
          <w:lang w:val="en-US"/>
        </w:rPr>
        <w:t>.</w:t>
      </w:r>
      <w:r w:rsidRPr="00590E29">
        <w:rPr>
          <w:rFonts w:eastAsia="MS Mincho"/>
          <w:lang w:val="en-US" w:eastAsia="ja-JP"/>
        </w:rPr>
        <w:t xml:space="preserve"> SSB structure</w:t>
      </w:r>
      <w:r>
        <w:rPr>
          <w:rFonts w:eastAsia="MS Mincho"/>
          <w:lang w:val="en-US" w:eastAsia="ja-JP"/>
        </w:rPr>
        <w:t xml:space="preserve"> </w:t>
      </w:r>
      <w:r w:rsidR="00844E56">
        <w:rPr>
          <w:rFonts w:eastAsia="MS Mincho"/>
          <w:lang w:val="en-US" w:eastAsia="ja-JP"/>
        </w:rPr>
        <w:t>for 30 kHz SCS</w:t>
      </w:r>
      <w:r w:rsidRPr="00590E29">
        <w:rPr>
          <w:rFonts w:eastAsia="MS Mincho"/>
          <w:lang w:val="en-US" w:eastAsia="ja-JP"/>
        </w:rPr>
        <w:t>.</w:t>
      </w:r>
    </w:p>
    <w:p w14:paraId="1B95189A" w14:textId="2D421622" w:rsidR="00201630" w:rsidRDefault="00A415F7" w:rsidP="00B33CD6">
      <w:pPr>
        <w:jc w:val="both"/>
        <w:rPr>
          <w:rFonts w:eastAsia="MS Mincho"/>
          <w:lang w:val="en-US" w:eastAsia="ja-JP"/>
        </w:rPr>
      </w:pPr>
      <w:r>
        <w:rPr>
          <w:rFonts w:eastAsia="MS Mincho"/>
          <w:lang w:val="en-US" w:eastAsia="ja-JP"/>
        </w:rPr>
        <w:t>In RAN1 #109-e</w:t>
      </w:r>
      <w:r w:rsidR="00B9713F">
        <w:rPr>
          <w:rFonts w:eastAsia="MS Mincho"/>
          <w:lang w:val="en-US" w:eastAsia="ja-JP"/>
        </w:rPr>
        <w:t>,</w:t>
      </w:r>
      <w:r>
        <w:rPr>
          <w:rFonts w:eastAsia="MS Mincho"/>
          <w:lang w:val="en-US" w:eastAsia="ja-JP"/>
        </w:rPr>
        <w:t xml:space="preserve"> it was agreed that</w:t>
      </w:r>
      <w:r w:rsidR="00B9713F">
        <w:rPr>
          <w:rFonts w:eastAsia="MS Mincho"/>
          <w:lang w:val="en-US" w:eastAsia="ja-JP"/>
        </w:rPr>
        <w:t xml:space="preserve"> a TBS of 1256 bits </w:t>
      </w:r>
      <w:r>
        <w:rPr>
          <w:rFonts w:eastAsia="MS Mincho"/>
          <w:lang w:val="en-US" w:eastAsia="ja-JP"/>
        </w:rPr>
        <w:t>can</w:t>
      </w:r>
      <w:r w:rsidR="00B9713F">
        <w:rPr>
          <w:rFonts w:eastAsia="MS Mincho"/>
          <w:lang w:val="en-US" w:eastAsia="ja-JP"/>
        </w:rPr>
        <w:t xml:space="preserve"> be considered. </w:t>
      </w:r>
      <w:r w:rsidR="008C5849">
        <w:rPr>
          <w:rFonts w:eastAsia="MS Mincho"/>
          <w:lang w:val="en-US" w:eastAsia="ja-JP"/>
        </w:rPr>
        <w:t>Since t</w:t>
      </w:r>
      <w:r w:rsidR="00B9713F">
        <w:rPr>
          <w:rFonts w:eastAsia="MS Mincho"/>
          <w:lang w:val="en-US" w:eastAsia="ja-JP"/>
        </w:rPr>
        <w:t xml:space="preserve">his size is much smaller than </w:t>
      </w:r>
      <w:r w:rsidR="008C5849">
        <w:rPr>
          <w:rFonts w:eastAsia="MS Mincho"/>
          <w:lang w:val="en-US" w:eastAsia="ja-JP"/>
        </w:rPr>
        <w:t>the TBS</w:t>
      </w:r>
      <w:r w:rsidR="00B9713F">
        <w:rPr>
          <w:rFonts w:eastAsia="MS Mincho"/>
          <w:lang w:val="en-US" w:eastAsia="ja-JP"/>
        </w:rPr>
        <w:t xml:space="preserve"> considered for PDSCH </w:t>
      </w:r>
      <w:r w:rsidR="008C5849">
        <w:rPr>
          <w:rFonts w:eastAsia="MS Mincho"/>
          <w:lang w:val="en-US" w:eastAsia="ja-JP"/>
        </w:rPr>
        <w:t>i</w:t>
      </w:r>
      <w:r w:rsidR="006F6FCD">
        <w:rPr>
          <w:rFonts w:eastAsia="MS Mincho"/>
          <w:lang w:val="en-US" w:eastAsia="ja-JP"/>
        </w:rPr>
        <w:t xml:space="preserve">n 20 MHz bandwidth, SIB1 coverage was </w:t>
      </w:r>
      <w:r w:rsidR="00460EE6">
        <w:rPr>
          <w:rFonts w:eastAsia="MS Mincho"/>
          <w:lang w:val="en-US" w:eastAsia="ja-JP"/>
        </w:rPr>
        <w:t xml:space="preserve">not </w:t>
      </w:r>
      <w:r w:rsidR="006F6FCD">
        <w:rPr>
          <w:rFonts w:eastAsia="MS Mincho"/>
          <w:lang w:val="en-US" w:eastAsia="ja-JP"/>
        </w:rPr>
        <w:t xml:space="preserve">deemed to be problematic. </w:t>
      </w:r>
      <w:r w:rsidR="0000077D">
        <w:rPr>
          <w:rFonts w:eastAsia="MS Mincho"/>
          <w:lang w:val="en-US" w:eastAsia="ja-JP"/>
        </w:rPr>
        <w:t>For 20 MHz UE bandwidth, based on the current specifications, the maximum transmission bandwidth is 106 PRBs for 15 kHz SCS and 51 PRBs for 30 kHz SCS</w:t>
      </w:r>
      <w:r w:rsidR="000B228E">
        <w:rPr>
          <w:rFonts w:eastAsia="MS Mincho"/>
          <w:lang w:val="en-US" w:eastAsia="ja-JP"/>
        </w:rPr>
        <w:t xml:space="preserve"> </w:t>
      </w:r>
      <w:r w:rsidR="000B228E">
        <w:rPr>
          <w:rFonts w:eastAsia="MS Mincho"/>
          <w:lang w:val="en-US" w:eastAsia="ja-JP"/>
        </w:rPr>
        <w:fldChar w:fldCharType="begin"/>
      </w:r>
      <w:r w:rsidR="000B228E">
        <w:rPr>
          <w:rFonts w:eastAsia="MS Mincho"/>
          <w:lang w:val="en-US" w:eastAsia="ja-JP"/>
        </w:rPr>
        <w:instrText xml:space="preserve"> REF _Ref101539942 \r \h </w:instrText>
      </w:r>
      <w:r w:rsidR="000B228E">
        <w:rPr>
          <w:rFonts w:eastAsia="MS Mincho"/>
          <w:lang w:val="en-US" w:eastAsia="ja-JP"/>
        </w:rPr>
      </w:r>
      <w:r w:rsidR="000B228E">
        <w:rPr>
          <w:rFonts w:eastAsia="MS Mincho"/>
          <w:lang w:val="en-US" w:eastAsia="ja-JP"/>
        </w:rPr>
        <w:fldChar w:fldCharType="separate"/>
      </w:r>
      <w:r w:rsidR="00034224">
        <w:rPr>
          <w:rFonts w:eastAsia="MS Mincho"/>
          <w:lang w:val="en-US" w:eastAsia="ja-JP"/>
        </w:rPr>
        <w:t>[2]</w:t>
      </w:r>
      <w:r w:rsidR="000B228E">
        <w:rPr>
          <w:rFonts w:eastAsia="MS Mincho"/>
          <w:lang w:val="en-US" w:eastAsia="ja-JP"/>
        </w:rPr>
        <w:fldChar w:fldCharType="end"/>
      </w:r>
      <w:r w:rsidR="0000077D">
        <w:rPr>
          <w:rFonts w:eastAsia="MS Mincho"/>
          <w:lang w:val="en-US" w:eastAsia="ja-JP"/>
        </w:rPr>
        <w:t xml:space="preserve">. </w:t>
      </w:r>
      <w:r w:rsidR="00820ED2">
        <w:rPr>
          <w:rFonts w:eastAsia="MS Mincho"/>
          <w:lang w:val="en-US" w:eastAsia="ja-JP"/>
        </w:rPr>
        <w:t xml:space="preserve">However, SIB1 transmission (assuming 1256 bits) for legacy UEs, while exceeding 5 MHz bandwidth, does not require the use of the maximum transmission bandwidth. </w:t>
      </w:r>
      <w:r>
        <w:rPr>
          <w:rFonts w:eastAsia="MS Mincho"/>
          <w:lang w:val="en-US" w:eastAsia="ja-JP"/>
        </w:rPr>
        <w:t>Therefore, if SIB1 is transmitted using a bandwidth exceeding 5 MHz, then a UE with 5 MHz bandwidth would be able to receive only a portion of the SIB1 transmission, resulting in degradation in decoding performance. Alternatively, t</w:t>
      </w:r>
      <w:r w:rsidR="000B228E">
        <w:rPr>
          <w:rFonts w:eastAsia="MS Mincho"/>
          <w:lang w:val="en-US" w:eastAsia="ja-JP"/>
        </w:rPr>
        <w:t xml:space="preserve">o support a UE with 5 MHz bandwidth with the legacy SIB1, SIB1 would need to be transmitted within the reduced bandwidth. For a channel bandwidth of 5 MHz, </w:t>
      </w:r>
      <w:r w:rsidR="006F6FCD">
        <w:rPr>
          <w:rFonts w:eastAsia="MS Mincho"/>
          <w:lang w:val="en-US" w:eastAsia="ja-JP"/>
        </w:rPr>
        <w:t xml:space="preserve">however, </w:t>
      </w:r>
      <w:r w:rsidR="0000077D">
        <w:rPr>
          <w:rFonts w:eastAsia="MS Mincho"/>
          <w:lang w:val="en-US" w:eastAsia="ja-JP"/>
        </w:rPr>
        <w:t xml:space="preserve">the </w:t>
      </w:r>
      <w:r w:rsidR="000B228E">
        <w:rPr>
          <w:rFonts w:eastAsia="MS Mincho"/>
          <w:lang w:val="en-US" w:eastAsia="ja-JP"/>
        </w:rPr>
        <w:t>transmission</w:t>
      </w:r>
      <w:r w:rsidR="006F6FCD">
        <w:rPr>
          <w:rFonts w:eastAsia="MS Mincho"/>
          <w:lang w:val="en-US" w:eastAsia="ja-JP"/>
        </w:rPr>
        <w:t xml:space="preserve"> bandwidth is reduced</w:t>
      </w:r>
      <w:r w:rsidR="0000077D">
        <w:rPr>
          <w:rFonts w:eastAsia="MS Mincho"/>
          <w:lang w:val="en-US" w:eastAsia="ja-JP"/>
        </w:rPr>
        <w:t>: 25 PRBs for 15 kHz SCS and 11 PRBs for 30 kHz SCS</w:t>
      </w:r>
      <w:r w:rsidR="000B228E">
        <w:rPr>
          <w:rFonts w:eastAsia="MS Mincho"/>
          <w:lang w:val="en-US" w:eastAsia="ja-JP"/>
        </w:rPr>
        <w:t xml:space="preserve"> </w:t>
      </w:r>
      <w:r w:rsidR="000B228E">
        <w:rPr>
          <w:rFonts w:eastAsia="MS Mincho"/>
          <w:lang w:val="en-US" w:eastAsia="ja-JP"/>
        </w:rPr>
        <w:fldChar w:fldCharType="begin"/>
      </w:r>
      <w:r w:rsidR="000B228E">
        <w:rPr>
          <w:rFonts w:eastAsia="MS Mincho"/>
          <w:lang w:val="en-US" w:eastAsia="ja-JP"/>
        </w:rPr>
        <w:instrText xml:space="preserve"> REF _Ref101539942 \r \h </w:instrText>
      </w:r>
      <w:r w:rsidR="000B228E">
        <w:rPr>
          <w:rFonts w:eastAsia="MS Mincho"/>
          <w:lang w:val="en-US" w:eastAsia="ja-JP"/>
        </w:rPr>
      </w:r>
      <w:r w:rsidR="000B228E">
        <w:rPr>
          <w:rFonts w:eastAsia="MS Mincho"/>
          <w:lang w:val="en-US" w:eastAsia="ja-JP"/>
        </w:rPr>
        <w:fldChar w:fldCharType="separate"/>
      </w:r>
      <w:r w:rsidR="00034224">
        <w:rPr>
          <w:rFonts w:eastAsia="MS Mincho"/>
          <w:lang w:val="en-US" w:eastAsia="ja-JP"/>
        </w:rPr>
        <w:t>[2]</w:t>
      </w:r>
      <w:r w:rsidR="000B228E">
        <w:rPr>
          <w:rFonts w:eastAsia="MS Mincho"/>
          <w:lang w:val="en-US" w:eastAsia="ja-JP"/>
        </w:rPr>
        <w:fldChar w:fldCharType="end"/>
      </w:r>
      <w:r w:rsidR="0000077D">
        <w:rPr>
          <w:rFonts w:eastAsia="MS Mincho"/>
          <w:lang w:val="en-US" w:eastAsia="ja-JP"/>
        </w:rPr>
        <w:t>. Therefore, transmission of SIB1 in the reduced number of PR</w:t>
      </w:r>
      <w:r w:rsidR="000B228E">
        <w:rPr>
          <w:rFonts w:eastAsia="MS Mincho"/>
          <w:lang w:val="en-US" w:eastAsia="ja-JP"/>
        </w:rPr>
        <w:t>Bs requires a</w:t>
      </w:r>
      <w:r w:rsidR="00820ED2">
        <w:rPr>
          <w:rFonts w:eastAsia="MS Mincho"/>
          <w:lang w:val="en-US" w:eastAsia="ja-JP"/>
        </w:rPr>
        <w:t>n</w:t>
      </w:r>
      <w:r w:rsidR="000B228E">
        <w:rPr>
          <w:rFonts w:eastAsia="MS Mincho"/>
          <w:lang w:val="en-US" w:eastAsia="ja-JP"/>
        </w:rPr>
        <w:t xml:space="preserve"> increase in the coding rate</w:t>
      </w:r>
      <w:r w:rsidR="00820ED2">
        <w:rPr>
          <w:rFonts w:eastAsia="MS Mincho"/>
          <w:lang w:val="en-US" w:eastAsia="ja-JP"/>
        </w:rPr>
        <w:t xml:space="preserve">, which is expected to degrade SIB1 </w:t>
      </w:r>
      <w:r w:rsidR="001C73D7">
        <w:rPr>
          <w:rFonts w:eastAsia="MS Mincho"/>
          <w:lang w:val="en-US" w:eastAsia="ja-JP"/>
        </w:rPr>
        <w:t>performance</w:t>
      </w:r>
      <w:r w:rsidR="00D048A2">
        <w:rPr>
          <w:rFonts w:eastAsia="MS Mincho"/>
          <w:lang w:val="en-US" w:eastAsia="ja-JP"/>
        </w:rPr>
        <w:t xml:space="preserve"> as shown in </w:t>
      </w:r>
      <w:r w:rsidR="00D048A2">
        <w:rPr>
          <w:rFonts w:eastAsia="MS Mincho"/>
          <w:lang w:val="en-US" w:eastAsia="ja-JP"/>
        </w:rPr>
        <w:fldChar w:fldCharType="begin"/>
      </w:r>
      <w:r w:rsidR="00D048A2">
        <w:rPr>
          <w:rFonts w:eastAsia="MS Mincho"/>
          <w:lang w:val="en-US" w:eastAsia="ja-JP"/>
        </w:rPr>
        <w:instrText xml:space="preserve"> REF _Ref111105711 \h </w:instrText>
      </w:r>
      <w:r w:rsidR="00D048A2">
        <w:rPr>
          <w:rFonts w:eastAsia="MS Mincho"/>
          <w:lang w:val="en-US" w:eastAsia="ja-JP"/>
        </w:rPr>
      </w:r>
      <w:r w:rsidR="00D048A2">
        <w:rPr>
          <w:rFonts w:eastAsia="MS Mincho"/>
          <w:lang w:val="en-US" w:eastAsia="ja-JP"/>
        </w:rPr>
        <w:fldChar w:fldCharType="separate"/>
      </w:r>
      <w:r w:rsidR="00034224">
        <w:t xml:space="preserve">Figure </w:t>
      </w:r>
      <w:r w:rsidR="00034224">
        <w:rPr>
          <w:noProof/>
        </w:rPr>
        <w:t>3</w:t>
      </w:r>
      <w:r w:rsidR="00D048A2">
        <w:rPr>
          <w:rFonts w:eastAsia="MS Mincho"/>
          <w:lang w:val="en-US" w:eastAsia="ja-JP"/>
        </w:rPr>
        <w:fldChar w:fldCharType="end"/>
      </w:r>
      <w:r w:rsidR="000B228E">
        <w:rPr>
          <w:rFonts w:eastAsia="MS Mincho"/>
          <w:lang w:val="en-US" w:eastAsia="ja-JP"/>
        </w:rPr>
        <w:t>.</w:t>
      </w:r>
      <w:r w:rsidR="00820ED2">
        <w:rPr>
          <w:rFonts w:eastAsia="MS Mincho"/>
          <w:lang w:val="en-US" w:eastAsia="ja-JP"/>
        </w:rPr>
        <w:t xml:space="preserve"> </w:t>
      </w:r>
      <w:r w:rsidR="00273100">
        <w:rPr>
          <w:rFonts w:eastAsia="MS Mincho"/>
          <w:lang w:val="en-US" w:eastAsia="ja-JP"/>
        </w:rPr>
        <w:t>However, a</w:t>
      </w:r>
      <w:r w:rsidR="00820ED2">
        <w:rPr>
          <w:rFonts w:eastAsia="MS Mincho"/>
          <w:lang w:val="en-US" w:eastAsia="ja-JP"/>
        </w:rPr>
        <w:t xml:space="preserve">s shown by the coverage evaluations in </w:t>
      </w:r>
      <w:r w:rsidR="00820ED2">
        <w:rPr>
          <w:rFonts w:eastAsia="MS Mincho"/>
          <w:lang w:val="en-US" w:eastAsia="ja-JP"/>
        </w:rPr>
        <w:fldChar w:fldCharType="begin"/>
      </w:r>
      <w:r w:rsidR="00820ED2">
        <w:rPr>
          <w:rFonts w:eastAsia="MS Mincho"/>
          <w:lang w:val="en-US" w:eastAsia="ja-JP"/>
        </w:rPr>
        <w:instrText xml:space="preserve"> REF _Ref111044486 \r \h </w:instrText>
      </w:r>
      <w:r w:rsidR="00820ED2">
        <w:rPr>
          <w:rFonts w:eastAsia="MS Mincho"/>
          <w:lang w:val="en-US" w:eastAsia="ja-JP"/>
        </w:rPr>
      </w:r>
      <w:r w:rsidR="00820ED2">
        <w:rPr>
          <w:rFonts w:eastAsia="MS Mincho"/>
          <w:lang w:val="en-US" w:eastAsia="ja-JP"/>
        </w:rPr>
        <w:fldChar w:fldCharType="separate"/>
      </w:r>
      <w:r w:rsidR="00034224">
        <w:rPr>
          <w:rFonts w:eastAsia="MS Mincho"/>
          <w:lang w:val="en-US" w:eastAsia="ja-JP"/>
        </w:rPr>
        <w:t>[2]</w:t>
      </w:r>
      <w:r w:rsidR="00820ED2">
        <w:rPr>
          <w:rFonts w:eastAsia="MS Mincho"/>
          <w:lang w:val="en-US" w:eastAsia="ja-JP"/>
        </w:rPr>
        <w:fldChar w:fldCharType="end"/>
      </w:r>
      <w:r w:rsidR="00820ED2">
        <w:rPr>
          <w:rFonts w:eastAsia="MS Mincho"/>
          <w:lang w:val="en-US" w:eastAsia="ja-JP"/>
        </w:rPr>
        <w:t>, this does not impact overall system coverage.</w:t>
      </w:r>
    </w:p>
    <w:p w14:paraId="623BC4A7" w14:textId="52579E5F" w:rsidR="00F559F3" w:rsidRDefault="00C34DDA" w:rsidP="00CC09D9">
      <w:pPr>
        <w:keepNext/>
        <w:spacing w:after="0"/>
        <w:jc w:val="center"/>
      </w:pPr>
      <w:r>
        <w:rPr>
          <w:noProof/>
        </w:rPr>
        <w:lastRenderedPageBreak/>
        <w:drawing>
          <wp:inline distT="0" distB="0" distL="0" distR="0" wp14:anchorId="76412103" wp14:editId="0D428EC9">
            <wp:extent cx="3356402" cy="25200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6402" cy="2520000"/>
                    </a:xfrm>
                    <a:prstGeom prst="rect">
                      <a:avLst/>
                    </a:prstGeom>
                    <a:noFill/>
                    <a:ln>
                      <a:noFill/>
                    </a:ln>
                  </pic:spPr>
                </pic:pic>
              </a:graphicData>
            </a:graphic>
          </wp:inline>
        </w:drawing>
      </w:r>
    </w:p>
    <w:p w14:paraId="29F438D9" w14:textId="60C48F3B" w:rsidR="00F559F3" w:rsidRPr="0070271F" w:rsidRDefault="00F559F3" w:rsidP="00CC09D9">
      <w:pPr>
        <w:pStyle w:val="Caption"/>
        <w:spacing w:before="0"/>
        <w:jc w:val="center"/>
        <w:rPr>
          <w:rFonts w:eastAsia="MS Mincho"/>
          <w:lang w:val="en-US" w:eastAsia="ja-JP"/>
        </w:rPr>
      </w:pPr>
      <w:bookmarkStart w:id="14" w:name="_Ref111105711"/>
      <w:r>
        <w:t xml:space="preserve">Figure </w:t>
      </w:r>
      <w:r>
        <w:fldChar w:fldCharType="begin"/>
      </w:r>
      <w:r>
        <w:instrText xml:space="preserve"> SEQ Figure \* ARABIC </w:instrText>
      </w:r>
      <w:r>
        <w:fldChar w:fldCharType="separate"/>
      </w:r>
      <w:r w:rsidR="00034224">
        <w:rPr>
          <w:noProof/>
        </w:rPr>
        <w:t>3</w:t>
      </w:r>
      <w:r>
        <w:fldChar w:fldCharType="end"/>
      </w:r>
      <w:bookmarkEnd w:id="14"/>
      <w:r>
        <w:rPr>
          <w:lang w:val="en-US"/>
        </w:rPr>
        <w:t xml:space="preserve">. PDSCH (SIB1) performance – </w:t>
      </w:r>
      <w:r w:rsidR="00A60949">
        <w:rPr>
          <w:lang w:val="en-US"/>
        </w:rPr>
        <w:t>4.0</w:t>
      </w:r>
      <w:r>
        <w:rPr>
          <w:lang w:val="en-US"/>
        </w:rPr>
        <w:t xml:space="preserve"> GHz</w:t>
      </w:r>
      <w:r w:rsidR="00614BEF">
        <w:rPr>
          <w:lang w:val="en-US"/>
        </w:rPr>
        <w:t>, TBS = 1256 bits</w:t>
      </w:r>
      <w:r>
        <w:rPr>
          <w:lang w:val="en-US"/>
        </w:rPr>
        <w:t>.</w:t>
      </w:r>
    </w:p>
    <w:p w14:paraId="41DD94F7" w14:textId="584C78A6" w:rsidR="00B33CD6" w:rsidRDefault="009C1E1A" w:rsidP="00B33CD6">
      <w:pPr>
        <w:jc w:val="both"/>
        <w:rPr>
          <w:rFonts w:eastAsia="MS Mincho"/>
          <w:lang w:val="en-US" w:eastAsia="ja-JP"/>
        </w:rPr>
      </w:pPr>
      <w:r>
        <w:rPr>
          <w:rFonts w:eastAsia="MS Mincho"/>
          <w:lang w:val="en-US" w:eastAsia="ja-JP"/>
        </w:rPr>
        <w:t>For the UE with 5 MHz bandwidth, the target DL and UL data rates are reduced in proportion to the bandwidth reduction. Thus, PDSCH and PUSCH can be supported with smaller allocations. However</w:t>
      </w:r>
      <w:r w:rsidR="00B33CD6">
        <w:rPr>
          <w:rFonts w:eastAsia="MS Mincho"/>
          <w:lang w:val="en-US" w:eastAsia="ja-JP"/>
        </w:rPr>
        <w:t xml:space="preserve">, </w:t>
      </w:r>
      <w:r w:rsidR="00820ED2">
        <w:rPr>
          <w:rFonts w:eastAsia="MS Mincho"/>
          <w:lang w:val="en-US" w:eastAsia="ja-JP"/>
        </w:rPr>
        <w:t xml:space="preserve">performance </w:t>
      </w:r>
      <w:r w:rsidR="00B33CD6">
        <w:rPr>
          <w:rFonts w:eastAsia="MS Mincho"/>
          <w:lang w:val="en-US" w:eastAsia="ja-JP"/>
        </w:rPr>
        <w:t>loss result</w:t>
      </w:r>
      <w:r w:rsidR="00820ED2">
        <w:rPr>
          <w:rFonts w:eastAsia="MS Mincho"/>
          <w:lang w:val="en-US" w:eastAsia="ja-JP"/>
        </w:rPr>
        <w:t>s</w:t>
      </w:r>
      <w:r w:rsidR="00B33CD6">
        <w:rPr>
          <w:rFonts w:eastAsia="MS Mincho"/>
          <w:lang w:val="en-US" w:eastAsia="ja-JP"/>
        </w:rPr>
        <w:t xml:space="preserve"> from reduced frequency diversity</w:t>
      </w:r>
      <w:r>
        <w:rPr>
          <w:rFonts w:eastAsia="MS Mincho"/>
          <w:lang w:val="en-US" w:eastAsia="ja-JP"/>
        </w:rPr>
        <w:t xml:space="preserve"> in these cases</w:t>
      </w:r>
      <w:r w:rsidR="00B33CD6">
        <w:rPr>
          <w:rFonts w:eastAsia="MS Mincho"/>
          <w:lang w:val="en-US" w:eastAsia="ja-JP"/>
        </w:rPr>
        <w:t xml:space="preserve">. </w:t>
      </w:r>
      <w:r w:rsidR="00820ED2">
        <w:rPr>
          <w:rFonts w:eastAsia="MS Mincho"/>
          <w:lang w:val="en-US" w:eastAsia="ja-JP"/>
        </w:rPr>
        <w:t xml:space="preserve">For PDSCH, the performance loss </w:t>
      </w:r>
      <w:r>
        <w:rPr>
          <w:rFonts w:eastAsia="MS Mincho"/>
          <w:lang w:val="en-US" w:eastAsia="ja-JP"/>
        </w:rPr>
        <w:t xml:space="preserve">directly </w:t>
      </w:r>
      <w:r w:rsidR="00820ED2">
        <w:rPr>
          <w:rFonts w:eastAsia="MS Mincho"/>
          <w:lang w:val="en-US" w:eastAsia="ja-JP"/>
        </w:rPr>
        <w:t>translates into a coverage loss</w:t>
      </w:r>
      <w:r>
        <w:rPr>
          <w:rFonts w:eastAsia="MS Mincho"/>
          <w:lang w:val="en-US" w:eastAsia="ja-JP"/>
        </w:rPr>
        <w:t xml:space="preserve"> For PUSCH, transmission using fewer resources with the same transmit power increases the PSD, which yields a coverage improvement and the frequency diversity loss only partially offsets this improvement, resulting in an overall coverage gain.</w:t>
      </w:r>
    </w:p>
    <w:p w14:paraId="19784034" w14:textId="468E2E11" w:rsidR="00F40886" w:rsidRDefault="00F40886" w:rsidP="00B33CD6">
      <w:pPr>
        <w:jc w:val="both"/>
        <w:rPr>
          <w:rFonts w:eastAsia="MS Mincho"/>
          <w:lang w:val="en-US" w:eastAsia="ja-JP"/>
        </w:rPr>
      </w:pPr>
      <w:r>
        <w:rPr>
          <w:rFonts w:eastAsia="MS Mincho"/>
          <w:lang w:val="en-US" w:eastAsia="ja-JP"/>
        </w:rPr>
        <w:t xml:space="preserve">In addition, due to the limitation on the CORESET size, the number of CCEs available for the PDCCH is limited (e.g. 6 CCEs for 15 kHz SCS and 3 CCEs for 30 kHz SCS). </w:t>
      </w:r>
      <w:r w:rsidR="009C1E1A">
        <w:rPr>
          <w:rFonts w:eastAsia="MS Mincho"/>
          <w:lang w:val="en-US" w:eastAsia="ja-JP"/>
        </w:rPr>
        <w:t xml:space="preserve">Alternatively, PDCCH transmission using a CORESET size that is larger than 5 MHz results in PDCCH decoding performance. </w:t>
      </w:r>
      <w:r>
        <w:rPr>
          <w:rFonts w:eastAsia="MS Mincho"/>
          <w:lang w:val="en-US" w:eastAsia="ja-JP"/>
        </w:rPr>
        <w:t>Therefore,</w:t>
      </w:r>
      <w:r w:rsidR="009C1E1A">
        <w:rPr>
          <w:rFonts w:eastAsia="MS Mincho"/>
          <w:lang w:val="en-US" w:eastAsia="ja-JP"/>
        </w:rPr>
        <w:t xml:space="preserve"> PDCCH suffers a coverage loss</w:t>
      </w:r>
      <w:r w:rsidR="00517C56">
        <w:rPr>
          <w:rFonts w:eastAsia="MS Mincho"/>
          <w:lang w:val="en-US" w:eastAsia="ja-JP"/>
        </w:rPr>
        <w:t xml:space="preserve"> as shown in </w:t>
      </w:r>
      <w:r w:rsidR="00517C56">
        <w:rPr>
          <w:rFonts w:eastAsia="MS Mincho"/>
          <w:lang w:val="en-US" w:eastAsia="ja-JP"/>
        </w:rPr>
        <w:fldChar w:fldCharType="begin"/>
      </w:r>
      <w:r w:rsidR="00517C56">
        <w:rPr>
          <w:rFonts w:eastAsia="MS Mincho"/>
          <w:lang w:val="en-US" w:eastAsia="ja-JP"/>
        </w:rPr>
        <w:instrText xml:space="preserve"> REF _Ref111104661 \h </w:instrText>
      </w:r>
      <w:r w:rsidR="00517C56">
        <w:rPr>
          <w:rFonts w:eastAsia="MS Mincho"/>
          <w:lang w:val="en-US" w:eastAsia="ja-JP"/>
        </w:rPr>
      </w:r>
      <w:r w:rsidR="00517C56">
        <w:rPr>
          <w:rFonts w:eastAsia="MS Mincho"/>
          <w:lang w:val="en-US" w:eastAsia="ja-JP"/>
        </w:rPr>
        <w:fldChar w:fldCharType="separate"/>
      </w:r>
      <w:r w:rsidR="00034224">
        <w:t xml:space="preserve">Figure </w:t>
      </w:r>
      <w:r w:rsidR="00034224">
        <w:rPr>
          <w:noProof/>
        </w:rPr>
        <w:t>4</w:t>
      </w:r>
      <w:r w:rsidR="00517C56">
        <w:rPr>
          <w:rFonts w:eastAsia="MS Mincho"/>
          <w:lang w:val="en-US" w:eastAsia="ja-JP"/>
        </w:rPr>
        <w:fldChar w:fldCharType="end"/>
      </w:r>
      <w:r>
        <w:rPr>
          <w:rFonts w:eastAsia="MS Mincho"/>
          <w:lang w:val="en-US" w:eastAsia="ja-JP"/>
        </w:rPr>
        <w:t>.</w:t>
      </w:r>
      <w:r w:rsidR="009C1E1A">
        <w:rPr>
          <w:rFonts w:eastAsia="MS Mincho"/>
          <w:lang w:val="en-US" w:eastAsia="ja-JP"/>
        </w:rPr>
        <w:t xml:space="preserve"> However, the results in </w:t>
      </w:r>
      <w:r w:rsidR="009C1E1A">
        <w:rPr>
          <w:rFonts w:eastAsia="MS Mincho"/>
          <w:lang w:val="en-US" w:eastAsia="ja-JP"/>
        </w:rPr>
        <w:fldChar w:fldCharType="begin"/>
      </w:r>
      <w:r w:rsidR="009C1E1A">
        <w:rPr>
          <w:rFonts w:eastAsia="MS Mincho"/>
          <w:lang w:val="en-US" w:eastAsia="ja-JP"/>
        </w:rPr>
        <w:instrText xml:space="preserve"> REF _Ref111044486 \r \h </w:instrText>
      </w:r>
      <w:r w:rsidR="009C1E1A">
        <w:rPr>
          <w:rFonts w:eastAsia="MS Mincho"/>
          <w:lang w:val="en-US" w:eastAsia="ja-JP"/>
        </w:rPr>
      </w:r>
      <w:r w:rsidR="009C1E1A">
        <w:rPr>
          <w:rFonts w:eastAsia="MS Mincho"/>
          <w:lang w:val="en-US" w:eastAsia="ja-JP"/>
        </w:rPr>
        <w:fldChar w:fldCharType="separate"/>
      </w:r>
      <w:r w:rsidR="00034224">
        <w:rPr>
          <w:rFonts w:eastAsia="MS Mincho"/>
          <w:lang w:val="en-US" w:eastAsia="ja-JP"/>
        </w:rPr>
        <w:t>[2]</w:t>
      </w:r>
      <w:r w:rsidR="009C1E1A">
        <w:rPr>
          <w:rFonts w:eastAsia="MS Mincho"/>
          <w:lang w:val="en-US" w:eastAsia="ja-JP"/>
        </w:rPr>
        <w:fldChar w:fldCharType="end"/>
      </w:r>
      <w:r w:rsidR="009C1E1A">
        <w:rPr>
          <w:rFonts w:eastAsia="MS Mincho"/>
          <w:lang w:val="en-US" w:eastAsia="ja-JP"/>
        </w:rPr>
        <w:t xml:space="preserve"> show that the PDCCH still has a link budget margin over the limiting channel in spite of the coverage degradation.</w:t>
      </w:r>
    </w:p>
    <w:p w14:paraId="0A498231" w14:textId="0AF06FDB" w:rsidR="005163EF" w:rsidRDefault="00FF11E8" w:rsidP="00734A5E">
      <w:pPr>
        <w:spacing w:after="0"/>
        <w:jc w:val="center"/>
        <w:rPr>
          <w:rFonts w:eastAsia="MS Mincho"/>
          <w:lang w:val="en-US" w:eastAsia="ja-JP"/>
        </w:rPr>
      </w:pPr>
      <w:r>
        <w:rPr>
          <w:noProof/>
        </w:rPr>
        <w:drawing>
          <wp:inline distT="0" distB="0" distL="0" distR="0" wp14:anchorId="35BAB983" wp14:editId="54D76BF4">
            <wp:extent cx="3356402" cy="25200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6402" cy="2520000"/>
                    </a:xfrm>
                    <a:prstGeom prst="rect">
                      <a:avLst/>
                    </a:prstGeom>
                    <a:noFill/>
                    <a:ln>
                      <a:noFill/>
                    </a:ln>
                  </pic:spPr>
                </pic:pic>
              </a:graphicData>
            </a:graphic>
          </wp:inline>
        </w:drawing>
      </w:r>
    </w:p>
    <w:p w14:paraId="1BC2832D" w14:textId="05F0CC4A" w:rsidR="0025392F" w:rsidRPr="0070271F" w:rsidRDefault="0070271F" w:rsidP="00734A5E">
      <w:pPr>
        <w:pStyle w:val="Caption"/>
        <w:spacing w:before="0"/>
        <w:jc w:val="center"/>
        <w:rPr>
          <w:rFonts w:eastAsia="MS Mincho"/>
          <w:lang w:val="en-US" w:eastAsia="ja-JP"/>
        </w:rPr>
      </w:pPr>
      <w:bookmarkStart w:id="15" w:name="_Ref111104661"/>
      <w:r>
        <w:t xml:space="preserve">Figure </w:t>
      </w:r>
      <w:r>
        <w:fldChar w:fldCharType="begin"/>
      </w:r>
      <w:r>
        <w:instrText xml:space="preserve"> SEQ Figure \* ARABIC </w:instrText>
      </w:r>
      <w:r>
        <w:fldChar w:fldCharType="separate"/>
      </w:r>
      <w:r w:rsidR="00034224">
        <w:rPr>
          <w:noProof/>
        </w:rPr>
        <w:t>4</w:t>
      </w:r>
      <w:r>
        <w:fldChar w:fldCharType="end"/>
      </w:r>
      <w:bookmarkEnd w:id="15"/>
      <w:r>
        <w:rPr>
          <w:lang w:val="en-US"/>
        </w:rPr>
        <w:t>. PDCCH performance – 2.6 GHz.</w:t>
      </w:r>
    </w:p>
    <w:p w14:paraId="43AE4512" w14:textId="63B6D80A" w:rsidR="009C1E1A" w:rsidRDefault="009C1E1A" w:rsidP="00B33CD6">
      <w:pPr>
        <w:jc w:val="both"/>
        <w:rPr>
          <w:rFonts w:eastAsia="MS Mincho"/>
          <w:lang w:val="en-US" w:eastAsia="ja-JP"/>
        </w:rPr>
      </w:pPr>
      <w:r>
        <w:rPr>
          <w:rFonts w:eastAsia="MS Mincho"/>
          <w:lang w:val="en-US" w:eastAsia="ja-JP"/>
        </w:rPr>
        <w:t xml:space="preserve">A few other channels, such as Msg2 and Msg3, are not impacted by the bandwidth reduction because a very small number of PRBs are required </w:t>
      </w:r>
      <w:r w:rsidR="006E0A1C">
        <w:rPr>
          <w:rFonts w:eastAsia="MS Mincho"/>
          <w:lang w:val="en-US" w:eastAsia="ja-JP"/>
        </w:rPr>
        <w:t>for their transmission.</w:t>
      </w:r>
    </w:p>
    <w:tbl>
      <w:tblPr>
        <w:tblStyle w:val="TableGrid"/>
        <w:tblW w:w="0" w:type="auto"/>
        <w:tblLook w:val="04A0" w:firstRow="1" w:lastRow="0" w:firstColumn="1" w:lastColumn="0" w:noHBand="0" w:noVBand="1"/>
      </w:tblPr>
      <w:tblGrid>
        <w:gridCol w:w="4806"/>
        <w:gridCol w:w="5166"/>
      </w:tblGrid>
      <w:tr w:rsidR="005B5A6A" w14:paraId="45E18082" w14:textId="77777777" w:rsidTr="00EE2438">
        <w:tc>
          <w:tcPr>
            <w:tcW w:w="4981" w:type="dxa"/>
            <w:tcBorders>
              <w:top w:val="nil"/>
              <w:left w:val="nil"/>
              <w:bottom w:val="nil"/>
              <w:right w:val="nil"/>
            </w:tcBorders>
          </w:tcPr>
          <w:p w14:paraId="4EFDF5A1" w14:textId="770BE53F" w:rsidR="00E531EB" w:rsidRDefault="00E531EB" w:rsidP="00034224">
            <w:pPr>
              <w:spacing w:after="0"/>
              <w:jc w:val="center"/>
              <w:rPr>
                <w:rFonts w:eastAsia="MS Mincho"/>
                <w:lang w:val="en-US" w:eastAsia="ja-JP"/>
              </w:rPr>
            </w:pPr>
            <w:r>
              <w:rPr>
                <w:noProof/>
                <w:lang w:val="en-US"/>
              </w:rPr>
              <w:lastRenderedPageBreak/>
              <w:drawing>
                <wp:inline distT="0" distB="0" distL="0" distR="0" wp14:anchorId="1E66A2EA" wp14:editId="72A83853">
                  <wp:extent cx="2335693" cy="1404000"/>
                  <wp:effectExtent l="0" t="0" r="7620" b="571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5693" cy="1404000"/>
                          </a:xfrm>
                          <a:prstGeom prst="rect">
                            <a:avLst/>
                          </a:prstGeom>
                          <a:noFill/>
                        </pic:spPr>
                      </pic:pic>
                    </a:graphicData>
                  </a:graphic>
                </wp:inline>
              </w:drawing>
            </w:r>
          </w:p>
        </w:tc>
        <w:tc>
          <w:tcPr>
            <w:tcW w:w="4981" w:type="dxa"/>
            <w:tcBorders>
              <w:top w:val="nil"/>
              <w:left w:val="nil"/>
              <w:bottom w:val="nil"/>
              <w:right w:val="nil"/>
            </w:tcBorders>
          </w:tcPr>
          <w:p w14:paraId="7FC50F1B" w14:textId="56681756" w:rsidR="00E531EB" w:rsidRDefault="00341AEB" w:rsidP="00034224">
            <w:pPr>
              <w:spacing w:after="0"/>
              <w:jc w:val="center"/>
              <w:rPr>
                <w:rFonts w:eastAsia="MS Mincho"/>
                <w:lang w:val="en-US" w:eastAsia="ja-JP"/>
              </w:rPr>
            </w:pPr>
            <w:r>
              <w:rPr>
                <w:noProof/>
              </w:rPr>
              <w:drawing>
                <wp:inline distT="0" distB="0" distL="0" distR="0" wp14:anchorId="725419A7" wp14:editId="07D80CEA">
                  <wp:extent cx="3139913" cy="1404000"/>
                  <wp:effectExtent l="0" t="0" r="381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9913" cy="1404000"/>
                          </a:xfrm>
                          <a:prstGeom prst="rect">
                            <a:avLst/>
                          </a:prstGeom>
                          <a:noFill/>
                        </pic:spPr>
                      </pic:pic>
                    </a:graphicData>
                  </a:graphic>
                </wp:inline>
              </w:drawing>
            </w:r>
          </w:p>
        </w:tc>
      </w:tr>
    </w:tbl>
    <w:p w14:paraId="61D02B60" w14:textId="731D2CF5" w:rsidR="00034224" w:rsidRDefault="00034224" w:rsidP="00034224">
      <w:pPr>
        <w:spacing w:after="0"/>
        <w:jc w:val="center"/>
        <w:rPr>
          <w:rFonts w:eastAsia="MS Mincho"/>
          <w:lang w:val="en-US" w:eastAsia="ja-JP"/>
        </w:rPr>
      </w:pPr>
    </w:p>
    <w:p w14:paraId="0A1CF232" w14:textId="1811A105" w:rsidR="00034224" w:rsidRPr="0070271F" w:rsidRDefault="00034224" w:rsidP="00034224">
      <w:pPr>
        <w:pStyle w:val="Caption"/>
        <w:spacing w:before="0"/>
        <w:jc w:val="center"/>
        <w:rPr>
          <w:rFonts w:eastAsia="MS Mincho"/>
          <w:lang w:val="en-US" w:eastAsia="ja-JP"/>
        </w:rPr>
      </w:pPr>
      <w:bookmarkStart w:id="16" w:name="_Ref111109663"/>
      <w:r>
        <w:t xml:space="preserve">Figure </w:t>
      </w:r>
      <w:r>
        <w:fldChar w:fldCharType="begin"/>
      </w:r>
      <w:r>
        <w:instrText xml:space="preserve"> SEQ Figure \* ARABIC </w:instrText>
      </w:r>
      <w:r>
        <w:fldChar w:fldCharType="separate"/>
      </w:r>
      <w:r>
        <w:rPr>
          <w:noProof/>
        </w:rPr>
        <w:t>5</w:t>
      </w:r>
      <w:r>
        <w:fldChar w:fldCharType="end"/>
      </w:r>
      <w:bookmarkEnd w:id="16"/>
      <w:r>
        <w:rPr>
          <w:lang w:val="en-US"/>
        </w:rPr>
        <w:t xml:space="preserve">. </w:t>
      </w:r>
      <w:r w:rsidRPr="00341AEB">
        <w:rPr>
          <w:lang w:val="en-US"/>
        </w:rPr>
        <w:t>Coverage comparison</w:t>
      </w:r>
      <w:r w:rsidR="005B5A6A" w:rsidRPr="00341AEB">
        <w:rPr>
          <w:lang w:val="en-US"/>
        </w:rPr>
        <w:t xml:space="preserve"> for 700 MHz</w:t>
      </w:r>
      <w:r w:rsidRPr="00341AEB">
        <w:rPr>
          <w:lang w:val="en-US"/>
        </w:rPr>
        <w:t>.</w:t>
      </w:r>
    </w:p>
    <w:p w14:paraId="3D26B2CD" w14:textId="56743E0A" w:rsidR="00034224" w:rsidRDefault="00343513" w:rsidP="00034224">
      <w:pPr>
        <w:jc w:val="both"/>
        <w:rPr>
          <w:rFonts w:eastAsia="MS Mincho"/>
          <w:lang w:val="en-US" w:eastAsia="ja-JP"/>
        </w:rPr>
      </w:pPr>
      <w:r>
        <w:rPr>
          <w:rFonts w:eastAsia="MS Mincho"/>
          <w:lang w:val="en-US" w:eastAsia="ja-JP"/>
        </w:rPr>
        <w:fldChar w:fldCharType="begin"/>
      </w:r>
      <w:r>
        <w:rPr>
          <w:rFonts w:eastAsia="MS Mincho"/>
          <w:lang w:val="en-US" w:eastAsia="ja-JP"/>
        </w:rPr>
        <w:instrText xml:space="preserve"> REF _Ref111109663 \h </w:instrText>
      </w:r>
      <w:r>
        <w:rPr>
          <w:rFonts w:eastAsia="MS Mincho"/>
          <w:lang w:val="en-US" w:eastAsia="ja-JP"/>
        </w:rPr>
      </w:r>
      <w:r>
        <w:rPr>
          <w:rFonts w:eastAsia="MS Mincho"/>
          <w:lang w:val="en-US" w:eastAsia="ja-JP"/>
        </w:rPr>
        <w:fldChar w:fldCharType="separate"/>
      </w:r>
      <w:r>
        <w:t xml:space="preserve">Figure </w:t>
      </w:r>
      <w:r>
        <w:rPr>
          <w:noProof/>
        </w:rPr>
        <w:t>5</w:t>
      </w:r>
      <w:r>
        <w:rPr>
          <w:rFonts w:eastAsia="MS Mincho"/>
          <w:lang w:val="en-US" w:eastAsia="ja-JP"/>
        </w:rPr>
        <w:fldChar w:fldCharType="end"/>
      </w:r>
      <w:r>
        <w:rPr>
          <w:rFonts w:eastAsia="MS Mincho"/>
          <w:lang w:val="en-US" w:eastAsia="ja-JP"/>
        </w:rPr>
        <w:t xml:space="preserve"> illustrates coverage comparison </w:t>
      </w:r>
      <w:r w:rsidR="005565F9">
        <w:rPr>
          <w:rFonts w:eastAsia="MS Mincho"/>
          <w:lang w:val="en-US" w:eastAsia="ja-JP"/>
        </w:rPr>
        <w:t xml:space="preserve">results </w:t>
      </w:r>
      <w:r>
        <w:rPr>
          <w:rFonts w:eastAsia="MS Mincho"/>
          <w:lang w:val="en-US" w:eastAsia="ja-JP"/>
        </w:rPr>
        <w:t xml:space="preserve">for 700 </w:t>
      </w:r>
      <w:proofErr w:type="spellStart"/>
      <w:r>
        <w:rPr>
          <w:rFonts w:eastAsia="MS Mincho"/>
          <w:lang w:val="en-US" w:eastAsia="ja-JP"/>
        </w:rPr>
        <w:t>MHz</w:t>
      </w:r>
      <w:r w:rsidR="00034224">
        <w:rPr>
          <w:rFonts w:eastAsia="MS Mincho"/>
          <w:lang w:val="en-US" w:eastAsia="ja-JP"/>
        </w:rPr>
        <w:t>.</w:t>
      </w:r>
      <w:proofErr w:type="spellEnd"/>
      <w:r w:rsidR="00E82E54">
        <w:rPr>
          <w:rFonts w:eastAsia="MS Mincho"/>
          <w:lang w:val="en-US" w:eastAsia="ja-JP"/>
        </w:rPr>
        <w:t xml:space="preserve"> It can be seen that </w:t>
      </w:r>
      <w:r w:rsidR="00A34F31">
        <w:rPr>
          <w:rFonts w:eastAsia="MS Mincho"/>
          <w:lang w:val="en-US" w:eastAsia="ja-JP"/>
        </w:rPr>
        <w:t xml:space="preserve">there is no coverage loss with BW1 </w:t>
      </w:r>
      <w:r w:rsidR="00C433D6">
        <w:rPr>
          <w:rFonts w:eastAsia="MS Mincho"/>
          <w:lang w:val="en-US" w:eastAsia="ja-JP"/>
        </w:rPr>
        <w:t xml:space="preserve">option </w:t>
      </w:r>
      <w:r w:rsidR="00A34F31">
        <w:rPr>
          <w:rFonts w:eastAsia="MS Mincho"/>
          <w:lang w:val="en-US" w:eastAsia="ja-JP"/>
        </w:rPr>
        <w:t xml:space="preserve">for 700 MHz. The same conclusion can be drawn for analysis done at 2.6 and 4.0 GHz. </w:t>
      </w:r>
      <w:r w:rsidR="00034224">
        <w:rPr>
          <w:rFonts w:eastAsia="MS Mincho"/>
          <w:lang w:val="en-US" w:eastAsia="ja-JP"/>
        </w:rPr>
        <w:t xml:space="preserve">Full </w:t>
      </w:r>
      <w:r w:rsidR="005565F9">
        <w:rPr>
          <w:rFonts w:eastAsia="MS Mincho"/>
          <w:lang w:val="en-US" w:eastAsia="ja-JP"/>
        </w:rPr>
        <w:t xml:space="preserve">set of </w:t>
      </w:r>
      <w:r w:rsidR="00A34F31">
        <w:rPr>
          <w:rFonts w:eastAsia="MS Mincho"/>
          <w:lang w:val="en-US" w:eastAsia="ja-JP"/>
        </w:rPr>
        <w:t xml:space="preserve">evaluation </w:t>
      </w:r>
      <w:r w:rsidR="00034224">
        <w:rPr>
          <w:rFonts w:eastAsia="MS Mincho"/>
          <w:lang w:val="en-US" w:eastAsia="ja-JP"/>
        </w:rPr>
        <w:t xml:space="preserve">results can be found </w:t>
      </w: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_Ref111044486 \n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w:t>
      </w:r>
    </w:p>
    <w:p w14:paraId="3543BB12" w14:textId="77777777" w:rsidR="00B33CD6" w:rsidRPr="00D92EE7" w:rsidRDefault="00B33CD6" w:rsidP="00B33CD6">
      <w:pPr>
        <w:jc w:val="both"/>
        <w:rPr>
          <w:i/>
          <w:iCs/>
          <w:u w:val="single"/>
          <w:lang w:val="en-US"/>
        </w:rPr>
      </w:pPr>
      <w:r w:rsidRPr="00D92EE7">
        <w:rPr>
          <w:i/>
          <w:iCs/>
          <w:u w:val="single"/>
          <w:lang w:val="en-US"/>
        </w:rPr>
        <w:t>Cell spectral efficiency analysis</w:t>
      </w:r>
    </w:p>
    <w:p w14:paraId="1598377E" w14:textId="5B3E3930" w:rsidR="00DC0975" w:rsidRDefault="00B33CD6" w:rsidP="00DC0975">
      <w:pPr>
        <w:jc w:val="both"/>
        <w:rPr>
          <w:rFonts w:eastAsia="MS Mincho"/>
          <w:lang w:val="en-US" w:eastAsia="ja-JP"/>
        </w:rPr>
      </w:pPr>
      <w:r>
        <w:rPr>
          <w:lang w:val="en-US"/>
        </w:rPr>
        <w:t>Reducing the UE bandwidth may have some impact on the spectral efficiency due to loss in frequency selecti</w:t>
      </w:r>
      <w:r w:rsidR="005E3797">
        <w:rPr>
          <w:lang w:val="en-US"/>
        </w:rPr>
        <w:t>ve</w:t>
      </w:r>
      <w:r>
        <w:rPr>
          <w:lang w:val="en-US"/>
        </w:rPr>
        <w:t xml:space="preserve"> scheduling gain</w:t>
      </w:r>
      <w:r w:rsidR="005E3797">
        <w:rPr>
          <w:lang w:val="en-US"/>
        </w:rPr>
        <w:t xml:space="preserve"> and loss in frequency diversity</w:t>
      </w:r>
      <w:r>
        <w:rPr>
          <w:lang w:val="en-US"/>
        </w:rPr>
        <w:t>. This loss, however, is dependent on the scheduling</w:t>
      </w:r>
      <w:r w:rsidR="00DC0975">
        <w:rPr>
          <w:lang w:val="en-US"/>
        </w:rPr>
        <w:t xml:space="preserve"> algorithm. </w:t>
      </w:r>
      <w:r w:rsidR="00DC0975">
        <w:rPr>
          <w:rFonts w:eastAsia="MS Mincho"/>
          <w:lang w:val="en-US" w:eastAsia="ja-JP"/>
        </w:rPr>
        <w:t xml:space="preserve">The system-level simulations are conducted to evaluate cell spectral efficiency when the RedCap UE bandwidth is reduced to 5 MHz. </w:t>
      </w:r>
      <w:r w:rsidR="00192575">
        <w:rPr>
          <w:rFonts w:eastAsia="MS Mincho"/>
          <w:lang w:val="en-US" w:eastAsia="ja-JP"/>
        </w:rPr>
        <w:fldChar w:fldCharType="begin"/>
      </w:r>
      <w:r w:rsidR="00192575">
        <w:rPr>
          <w:rFonts w:eastAsia="MS Mincho"/>
          <w:lang w:val="en-US" w:eastAsia="ja-JP"/>
        </w:rPr>
        <w:instrText xml:space="preserve"> REF _Ref101871245 \h </w:instrText>
      </w:r>
      <w:r w:rsidR="00192575">
        <w:rPr>
          <w:rFonts w:eastAsia="MS Mincho"/>
          <w:lang w:val="en-US" w:eastAsia="ja-JP"/>
        </w:rPr>
      </w:r>
      <w:r w:rsidR="00192575">
        <w:rPr>
          <w:rFonts w:eastAsia="MS Mincho"/>
          <w:lang w:val="en-US" w:eastAsia="ja-JP"/>
        </w:rPr>
        <w:fldChar w:fldCharType="separate"/>
      </w:r>
      <w:r w:rsidR="00034224">
        <w:t xml:space="preserve">Figure </w:t>
      </w:r>
      <w:r w:rsidR="00034224">
        <w:rPr>
          <w:noProof/>
        </w:rPr>
        <w:t>6</w:t>
      </w:r>
      <w:r w:rsidR="00192575">
        <w:rPr>
          <w:rFonts w:eastAsia="MS Mincho"/>
          <w:lang w:val="en-US" w:eastAsia="ja-JP"/>
        </w:rPr>
        <w:fldChar w:fldCharType="end"/>
      </w:r>
      <w:r w:rsidR="00DC0975">
        <w:rPr>
          <w:rFonts w:eastAsia="MS Mincho"/>
          <w:lang w:val="en-US" w:eastAsia="ja-JP"/>
        </w:rPr>
        <w:t xml:space="preserve"> shows that UE bandwidth reduction to 5 MHz in FR1 can decrease the UE throughput of downlink and uplink. For instance, the average user throughput is reduced from 4.5 Mbps to 1.6 Mbps when the RedCap UE’s bandwidth changes from 20 MHz to 5 MHz in the uplink case. Also, in </w:t>
      </w:r>
      <w:r w:rsidR="00192575">
        <w:rPr>
          <w:rFonts w:eastAsia="MS Mincho"/>
          <w:lang w:val="en-US" w:eastAsia="ja-JP"/>
        </w:rPr>
        <w:fldChar w:fldCharType="begin"/>
      </w:r>
      <w:r w:rsidR="00192575">
        <w:rPr>
          <w:rFonts w:eastAsia="MS Mincho"/>
          <w:lang w:val="en-US" w:eastAsia="ja-JP"/>
        </w:rPr>
        <w:instrText xml:space="preserve"> REF _Ref101871259 \h </w:instrText>
      </w:r>
      <w:r w:rsidR="00192575">
        <w:rPr>
          <w:rFonts w:eastAsia="MS Mincho"/>
          <w:lang w:val="en-US" w:eastAsia="ja-JP"/>
        </w:rPr>
      </w:r>
      <w:r w:rsidR="00192575">
        <w:rPr>
          <w:rFonts w:eastAsia="MS Mincho"/>
          <w:lang w:val="en-US" w:eastAsia="ja-JP"/>
        </w:rPr>
        <w:fldChar w:fldCharType="separate"/>
      </w:r>
      <w:r w:rsidR="00034224">
        <w:t xml:space="preserve">Table </w:t>
      </w:r>
      <w:r w:rsidR="00034224">
        <w:rPr>
          <w:noProof/>
        </w:rPr>
        <w:t>2</w:t>
      </w:r>
      <w:r w:rsidR="00192575">
        <w:rPr>
          <w:rFonts w:eastAsia="MS Mincho"/>
          <w:lang w:val="en-US" w:eastAsia="ja-JP"/>
        </w:rPr>
        <w:fldChar w:fldCharType="end"/>
      </w:r>
      <w:r w:rsidR="00DC0975">
        <w:rPr>
          <w:rFonts w:eastAsia="MS Mincho"/>
          <w:lang w:val="en-US" w:eastAsia="ja-JP"/>
        </w:rPr>
        <w:t xml:space="preserve">, we observe that the spectral efficiency decreases as the UE bandwidth is reduced in both downlink and uplink cases. Therefore, reducing the bandwidth to 5 MHz will degrade UE throughput and spectral efficiency. </w:t>
      </w:r>
    </w:p>
    <w:p w14:paraId="0B959A85" w14:textId="1AC934AE" w:rsidR="006805E9" w:rsidRDefault="00631175" w:rsidP="006D03CF">
      <w:pPr>
        <w:jc w:val="center"/>
        <w:rPr>
          <w:noProof/>
        </w:rPr>
      </w:pPr>
      <w:r w:rsidRPr="00CC57E5">
        <w:rPr>
          <w:noProof/>
        </w:rPr>
        <w:drawing>
          <wp:inline distT="0" distB="0" distL="0" distR="0" wp14:anchorId="38C829C4" wp14:editId="1CB304BB">
            <wp:extent cx="2400300" cy="18002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0300" cy="1800225"/>
                    </a:xfrm>
                    <a:prstGeom prst="rect">
                      <a:avLst/>
                    </a:prstGeom>
                    <a:noFill/>
                    <a:ln>
                      <a:noFill/>
                    </a:ln>
                  </pic:spPr>
                </pic:pic>
              </a:graphicData>
            </a:graphic>
          </wp:inline>
        </w:drawing>
      </w:r>
      <w:r w:rsidRPr="00CC57E5">
        <w:rPr>
          <w:noProof/>
        </w:rPr>
        <w:drawing>
          <wp:inline distT="0" distB="0" distL="0" distR="0" wp14:anchorId="71F713B3" wp14:editId="1EEC8FFF">
            <wp:extent cx="2400300" cy="180022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0300" cy="1800225"/>
                    </a:xfrm>
                    <a:prstGeom prst="rect">
                      <a:avLst/>
                    </a:prstGeom>
                    <a:noFill/>
                    <a:ln>
                      <a:noFill/>
                    </a:ln>
                  </pic:spPr>
                </pic:pic>
              </a:graphicData>
            </a:graphic>
          </wp:inline>
        </w:drawing>
      </w:r>
    </w:p>
    <w:p w14:paraId="05559E36" w14:textId="217198F7" w:rsidR="00DE75CC" w:rsidRDefault="00DE75CC" w:rsidP="00DE75CC">
      <w:pPr>
        <w:pStyle w:val="Caption"/>
        <w:jc w:val="center"/>
        <w:rPr>
          <w:rFonts w:eastAsia="MS Mincho"/>
          <w:lang w:val="en-US" w:eastAsia="ja-JP"/>
        </w:rPr>
      </w:pPr>
      <w:bookmarkStart w:id="17" w:name="_Ref101871245"/>
      <w:r>
        <w:t xml:space="preserve">Figure </w:t>
      </w:r>
      <w:r w:rsidR="00731A2A">
        <w:fldChar w:fldCharType="begin"/>
      </w:r>
      <w:r w:rsidR="00731A2A">
        <w:instrText xml:space="preserve"> SEQ Figure \* ARABIC </w:instrText>
      </w:r>
      <w:r w:rsidR="00731A2A">
        <w:fldChar w:fldCharType="separate"/>
      </w:r>
      <w:r w:rsidR="00034224">
        <w:rPr>
          <w:noProof/>
        </w:rPr>
        <w:t>6</w:t>
      </w:r>
      <w:r w:rsidR="00731A2A">
        <w:rPr>
          <w:noProof/>
        </w:rPr>
        <w:fldChar w:fldCharType="end"/>
      </w:r>
      <w:bookmarkEnd w:id="17"/>
      <w:r>
        <w:rPr>
          <w:lang w:val="en-US"/>
        </w:rPr>
        <w:t>.</w:t>
      </w:r>
      <w:r w:rsidRPr="00590E29">
        <w:rPr>
          <w:rFonts w:eastAsia="MS Mincho"/>
          <w:lang w:val="en-US" w:eastAsia="ja-JP"/>
        </w:rPr>
        <w:t xml:space="preserve"> </w:t>
      </w:r>
      <w:r>
        <w:rPr>
          <w:noProof/>
        </w:rPr>
        <w:t>System-level performance for downlink and uplink – 2.6 GHz carrier frequency, Full Buffer</w:t>
      </w:r>
      <w:r w:rsidRPr="00590E29">
        <w:rPr>
          <w:rFonts w:eastAsia="MS Mincho"/>
          <w:lang w:val="en-US" w:eastAsia="ja-JP"/>
        </w:rPr>
        <w:t>.</w:t>
      </w:r>
    </w:p>
    <w:p w14:paraId="40A33271" w14:textId="725408B6" w:rsidR="00192575" w:rsidRPr="00192575" w:rsidRDefault="00192575" w:rsidP="00192575">
      <w:pPr>
        <w:jc w:val="both"/>
        <w:rPr>
          <w:lang w:val="en-US"/>
        </w:rPr>
      </w:pPr>
      <w:r w:rsidRPr="00192575">
        <w:rPr>
          <w:lang w:val="en-US"/>
        </w:rPr>
        <w:t xml:space="preserve">Also, in </w:t>
      </w:r>
      <w:r w:rsidRPr="00192575">
        <w:rPr>
          <w:lang w:val="en-US"/>
        </w:rPr>
        <w:fldChar w:fldCharType="begin"/>
      </w:r>
      <w:r w:rsidRPr="00192575">
        <w:rPr>
          <w:lang w:val="en-US"/>
        </w:rPr>
        <w:instrText xml:space="preserve"> REF _Ref101871259 \h </w:instrText>
      </w:r>
      <w:r>
        <w:rPr>
          <w:lang w:val="en-US"/>
        </w:rPr>
        <w:instrText xml:space="preserve"> \* MERGEFORMAT </w:instrText>
      </w:r>
      <w:r w:rsidRPr="00192575">
        <w:rPr>
          <w:lang w:val="en-US"/>
        </w:rPr>
      </w:r>
      <w:r w:rsidRPr="00192575">
        <w:rPr>
          <w:lang w:val="en-US"/>
        </w:rPr>
        <w:fldChar w:fldCharType="separate"/>
      </w:r>
      <w:r w:rsidR="00034224" w:rsidRPr="00034224">
        <w:rPr>
          <w:lang w:val="en-US"/>
        </w:rPr>
        <w:t>Table 2</w:t>
      </w:r>
      <w:r w:rsidRPr="00192575">
        <w:rPr>
          <w:lang w:val="en-US"/>
        </w:rPr>
        <w:fldChar w:fldCharType="end"/>
      </w:r>
      <w:r w:rsidRPr="00192575">
        <w:rPr>
          <w:lang w:val="en-US"/>
        </w:rPr>
        <w:t>, we observe that the spectral efficiency decreases as the UE bandwidth is reduced in both downlink and uplink cases. Therefore, reducing the bandwidth to 5 MHz will degrade UE throughput and spectral efficiency.</w:t>
      </w:r>
      <w:r>
        <w:rPr>
          <w:lang w:val="en-US"/>
        </w:rPr>
        <w:t xml:space="preserve"> In this case, </w:t>
      </w:r>
      <w:r w:rsidR="00825FFD">
        <w:rPr>
          <w:lang w:val="en-US"/>
        </w:rPr>
        <w:t>spectral efficiency loss of approximately 9-10% is observed for the cell, and 4-8% is observed for the cell edge.</w:t>
      </w:r>
    </w:p>
    <w:p w14:paraId="4FD2F510" w14:textId="29FC6858" w:rsidR="009C2D69" w:rsidRPr="00E226BE" w:rsidRDefault="009C2D69" w:rsidP="009C2D69">
      <w:pPr>
        <w:pStyle w:val="Caption"/>
        <w:keepNext/>
        <w:spacing w:before="240"/>
        <w:jc w:val="center"/>
        <w:rPr>
          <w:lang w:val="en-US"/>
        </w:rPr>
      </w:pPr>
      <w:bookmarkStart w:id="18" w:name="_Ref101871259"/>
      <w:r>
        <w:t xml:space="preserve">Table </w:t>
      </w:r>
      <w:r w:rsidR="00731A2A">
        <w:fldChar w:fldCharType="begin"/>
      </w:r>
      <w:r w:rsidR="00731A2A">
        <w:instrText xml:space="preserve"> SEQ Table \* ARABIC </w:instrText>
      </w:r>
      <w:r w:rsidR="00731A2A">
        <w:fldChar w:fldCharType="separate"/>
      </w:r>
      <w:r w:rsidR="00034224">
        <w:rPr>
          <w:noProof/>
        </w:rPr>
        <w:t>2</w:t>
      </w:r>
      <w:r w:rsidR="00731A2A">
        <w:rPr>
          <w:noProof/>
        </w:rPr>
        <w:fldChar w:fldCharType="end"/>
      </w:r>
      <w:bookmarkEnd w:id="18"/>
      <w:r>
        <w:rPr>
          <w:lang w:val="en-US"/>
        </w:rPr>
        <w:t xml:space="preserve">. </w:t>
      </w:r>
      <w:r>
        <w:rPr>
          <w:noProof/>
        </w:rPr>
        <w:t>Spectral efficiency reduction estimation from reducing bandwidth</w:t>
      </w:r>
      <w:r w:rsidR="00192575">
        <w:rPr>
          <w:noProof/>
          <w:lang w:val="en-US"/>
        </w:rPr>
        <w:t xml:space="preserve"> from 20 MHz to 5 MHz</w:t>
      </w:r>
      <w:r>
        <w:rPr>
          <w:lang w:val="en-US"/>
        </w:rPr>
        <w:t>.</w:t>
      </w:r>
    </w:p>
    <w:tbl>
      <w:tblPr>
        <w:tblW w:w="6637" w:type="dxa"/>
        <w:jc w:val="center"/>
        <w:tblLook w:val="04A0" w:firstRow="1" w:lastRow="0" w:firstColumn="1" w:lastColumn="0" w:noHBand="0" w:noVBand="1"/>
      </w:tblPr>
      <w:tblGrid>
        <w:gridCol w:w="2117"/>
        <w:gridCol w:w="2260"/>
        <w:gridCol w:w="2260"/>
      </w:tblGrid>
      <w:tr w:rsidR="00825FFD" w:rsidRPr="0055419C" w14:paraId="749F3015" w14:textId="77777777" w:rsidTr="007D7970">
        <w:trPr>
          <w:trHeight w:val="456"/>
          <w:jc w:val="center"/>
        </w:trPr>
        <w:tc>
          <w:tcPr>
            <w:tcW w:w="2117" w:type="dxa"/>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6B1042BF"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color w:val="000000"/>
                <w:sz w:val="18"/>
                <w:szCs w:val="18"/>
              </w:rPr>
              <w:t>Spectral Efficiency Reduction</w:t>
            </w:r>
          </w:p>
        </w:tc>
        <w:tc>
          <w:tcPr>
            <w:tcW w:w="4520" w:type="dxa"/>
            <w:gridSpan w:val="2"/>
            <w:tcBorders>
              <w:top w:val="single" w:sz="4" w:space="0" w:color="auto"/>
              <w:left w:val="nil"/>
              <w:bottom w:val="single" w:sz="4" w:space="0" w:color="auto"/>
              <w:right w:val="single" w:sz="4" w:space="0" w:color="auto"/>
            </w:tcBorders>
            <w:shd w:val="clear" w:color="000000" w:fill="E7E6E6"/>
            <w:vAlign w:val="center"/>
            <w:hideMark/>
          </w:tcPr>
          <w:p w14:paraId="69DD94B7"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sz w:val="18"/>
                <w:szCs w:val="18"/>
                <w:lang w:val="en-US"/>
              </w:rPr>
            </w:pPr>
            <w:r w:rsidRPr="0055419C">
              <w:rPr>
                <w:rFonts w:ascii="Arial" w:eastAsia="Times New Roman" w:hAnsi="Arial" w:cs="Arial"/>
                <w:b/>
                <w:bCs/>
                <w:sz w:val="18"/>
                <w:szCs w:val="18"/>
                <w:lang w:val="en-US"/>
              </w:rPr>
              <w:t>Bandwidth reduction</w:t>
            </w:r>
            <w:r>
              <w:rPr>
                <w:rFonts w:ascii="Arial" w:eastAsia="Times New Roman" w:hAnsi="Arial" w:cs="Arial"/>
                <w:b/>
                <w:bCs/>
                <w:sz w:val="18"/>
                <w:szCs w:val="18"/>
                <w:lang w:val="en-US"/>
              </w:rPr>
              <w:t xml:space="preserve"> - 20</w:t>
            </w:r>
            <w:r w:rsidRPr="0055419C">
              <w:rPr>
                <w:rFonts w:ascii="Arial" w:eastAsia="Times New Roman" w:hAnsi="Arial" w:cs="Arial"/>
                <w:b/>
                <w:bCs/>
                <w:sz w:val="18"/>
                <w:szCs w:val="18"/>
                <w:lang w:val="en-US"/>
              </w:rPr>
              <w:t xml:space="preserve"> MHz → </w:t>
            </w:r>
            <w:r>
              <w:rPr>
                <w:rFonts w:ascii="Arial" w:eastAsia="Times New Roman" w:hAnsi="Arial" w:cs="Arial"/>
                <w:b/>
                <w:bCs/>
                <w:sz w:val="18"/>
                <w:szCs w:val="18"/>
                <w:lang w:val="en-US"/>
              </w:rPr>
              <w:t>5 MHz</w:t>
            </w:r>
          </w:p>
        </w:tc>
      </w:tr>
      <w:tr w:rsidR="00825FFD" w:rsidRPr="0055419C" w14:paraId="5FC78F66" w14:textId="77777777" w:rsidTr="00044CB4">
        <w:trPr>
          <w:trHeight w:val="492"/>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A047C49" w14:textId="77777777" w:rsidR="00825FFD" w:rsidRPr="0055419C" w:rsidRDefault="00825FFD" w:rsidP="0055419C">
            <w:pPr>
              <w:overflowPunct/>
              <w:autoSpaceDE/>
              <w:autoSpaceDN/>
              <w:adjustRightInd/>
              <w:spacing w:after="0"/>
              <w:textAlignment w:val="auto"/>
              <w:rPr>
                <w:rFonts w:ascii="Arial" w:eastAsia="Times New Roman" w:hAnsi="Arial" w:cs="Arial"/>
                <w:b/>
                <w:bCs/>
                <w:color w:val="000000"/>
                <w:sz w:val="18"/>
                <w:szCs w:val="18"/>
                <w:lang w:val="en-US"/>
              </w:rPr>
            </w:pPr>
          </w:p>
        </w:tc>
        <w:tc>
          <w:tcPr>
            <w:tcW w:w="2260" w:type="dxa"/>
            <w:tcBorders>
              <w:top w:val="nil"/>
              <w:left w:val="nil"/>
              <w:bottom w:val="single" w:sz="4" w:space="0" w:color="auto"/>
              <w:right w:val="single" w:sz="4" w:space="0" w:color="auto"/>
            </w:tcBorders>
            <w:shd w:val="clear" w:color="000000" w:fill="E7E6E6"/>
            <w:vAlign w:val="center"/>
            <w:hideMark/>
          </w:tcPr>
          <w:p w14:paraId="3920AA4D"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Pr>
                <w:rFonts w:ascii="Arial" w:eastAsia="Times New Roman" w:hAnsi="Arial" w:cs="Arial"/>
                <w:b/>
                <w:bCs/>
                <w:sz w:val="18"/>
                <w:szCs w:val="18"/>
                <w:lang w:val="en-US"/>
              </w:rPr>
              <w:t>Sector SE</w:t>
            </w:r>
          </w:p>
        </w:tc>
        <w:tc>
          <w:tcPr>
            <w:tcW w:w="2260" w:type="dxa"/>
            <w:tcBorders>
              <w:top w:val="nil"/>
              <w:left w:val="nil"/>
              <w:bottom w:val="single" w:sz="4" w:space="0" w:color="auto"/>
              <w:right w:val="single" w:sz="4" w:space="0" w:color="auto"/>
            </w:tcBorders>
            <w:shd w:val="clear" w:color="000000" w:fill="E7E6E6"/>
            <w:vAlign w:val="center"/>
          </w:tcPr>
          <w:p w14:paraId="35322523" w14:textId="77777777" w:rsidR="00825FFD" w:rsidRDefault="00825FFD" w:rsidP="00044CB4">
            <w:pPr>
              <w:overflowPunct/>
              <w:autoSpaceDE/>
              <w:autoSpaceDN/>
              <w:adjustRightInd/>
              <w:spacing w:after="0"/>
              <w:jc w:val="center"/>
              <w:textAlignment w:val="auto"/>
              <w:rPr>
                <w:rFonts w:ascii="Arial" w:eastAsia="Times New Roman" w:hAnsi="Arial" w:cs="Arial"/>
                <w:b/>
                <w:bCs/>
                <w:sz w:val="18"/>
                <w:szCs w:val="18"/>
                <w:lang w:val="en-US"/>
              </w:rPr>
            </w:pPr>
            <w:r>
              <w:rPr>
                <w:rFonts w:ascii="Arial" w:eastAsia="Times New Roman" w:hAnsi="Arial" w:cs="Arial"/>
                <w:b/>
                <w:bCs/>
                <w:sz w:val="18"/>
                <w:szCs w:val="18"/>
                <w:lang w:val="en-US"/>
              </w:rPr>
              <w:t>Cell edge SE</w:t>
            </w:r>
          </w:p>
        </w:tc>
      </w:tr>
      <w:tr w:rsidR="00825FFD" w:rsidRPr="0055419C" w14:paraId="68555C68" w14:textId="77777777" w:rsidTr="00825FFD">
        <w:trPr>
          <w:trHeight w:val="58"/>
          <w:jc w:val="center"/>
        </w:trPr>
        <w:tc>
          <w:tcPr>
            <w:tcW w:w="2117" w:type="dxa"/>
            <w:tcBorders>
              <w:top w:val="nil"/>
              <w:left w:val="single" w:sz="4" w:space="0" w:color="auto"/>
              <w:bottom w:val="single" w:sz="4" w:space="0" w:color="auto"/>
              <w:right w:val="single" w:sz="4" w:space="0" w:color="auto"/>
            </w:tcBorders>
            <w:shd w:val="clear" w:color="000000" w:fill="E7E6E6"/>
            <w:vAlign w:val="center"/>
            <w:hideMark/>
          </w:tcPr>
          <w:p w14:paraId="05D5142D"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sz w:val="18"/>
                <w:szCs w:val="18"/>
              </w:rPr>
              <w:t>Downlink</w:t>
            </w:r>
          </w:p>
        </w:tc>
        <w:tc>
          <w:tcPr>
            <w:tcW w:w="2260" w:type="dxa"/>
            <w:tcBorders>
              <w:top w:val="nil"/>
              <w:left w:val="nil"/>
              <w:bottom w:val="single" w:sz="4" w:space="0" w:color="auto"/>
              <w:right w:val="single" w:sz="4" w:space="0" w:color="auto"/>
            </w:tcBorders>
            <w:shd w:val="clear" w:color="auto" w:fill="auto"/>
            <w:vAlign w:val="center"/>
            <w:hideMark/>
          </w:tcPr>
          <w:p w14:paraId="5A73A6D6" w14:textId="77777777" w:rsidR="00825FFD" w:rsidRPr="0055419C"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9.8</w:t>
            </w:r>
            <w:r w:rsidRPr="0055419C">
              <w:rPr>
                <w:rFonts w:ascii="Arial" w:eastAsia="Times New Roman" w:hAnsi="Arial" w:cs="Arial"/>
                <w:color w:val="000000"/>
                <w:sz w:val="16"/>
                <w:szCs w:val="16"/>
                <w:lang w:val="en-US"/>
              </w:rPr>
              <w:t>%</w:t>
            </w:r>
          </w:p>
        </w:tc>
        <w:tc>
          <w:tcPr>
            <w:tcW w:w="2260" w:type="dxa"/>
            <w:tcBorders>
              <w:top w:val="nil"/>
              <w:left w:val="nil"/>
              <w:bottom w:val="single" w:sz="4" w:space="0" w:color="auto"/>
              <w:right w:val="single" w:sz="4" w:space="0" w:color="auto"/>
            </w:tcBorders>
          </w:tcPr>
          <w:p w14:paraId="21D44B31" w14:textId="77777777" w:rsidR="00825FFD"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3.8%</w:t>
            </w:r>
          </w:p>
        </w:tc>
      </w:tr>
      <w:tr w:rsidR="00825FFD" w:rsidRPr="0055419C" w14:paraId="77441AF5" w14:textId="77777777" w:rsidTr="00825FFD">
        <w:trPr>
          <w:trHeight w:val="58"/>
          <w:jc w:val="center"/>
        </w:trPr>
        <w:tc>
          <w:tcPr>
            <w:tcW w:w="2117" w:type="dxa"/>
            <w:tcBorders>
              <w:top w:val="nil"/>
              <w:left w:val="single" w:sz="4" w:space="0" w:color="auto"/>
              <w:bottom w:val="single" w:sz="4" w:space="0" w:color="auto"/>
              <w:right w:val="single" w:sz="4" w:space="0" w:color="auto"/>
            </w:tcBorders>
            <w:shd w:val="clear" w:color="000000" w:fill="E7E6E6"/>
            <w:vAlign w:val="center"/>
            <w:hideMark/>
          </w:tcPr>
          <w:p w14:paraId="2DC6F82B" w14:textId="77777777" w:rsidR="00825FFD" w:rsidRPr="0055419C" w:rsidRDefault="00825FFD" w:rsidP="0055419C">
            <w:pPr>
              <w:overflowPunct/>
              <w:autoSpaceDE/>
              <w:autoSpaceDN/>
              <w:adjustRightInd/>
              <w:spacing w:after="0"/>
              <w:jc w:val="center"/>
              <w:textAlignment w:val="auto"/>
              <w:rPr>
                <w:rFonts w:ascii="Arial" w:eastAsia="Times New Roman" w:hAnsi="Arial" w:cs="Arial"/>
                <w:b/>
                <w:bCs/>
                <w:color w:val="000000"/>
                <w:sz w:val="18"/>
                <w:szCs w:val="18"/>
                <w:lang w:val="en-US"/>
              </w:rPr>
            </w:pPr>
            <w:r w:rsidRPr="0055419C">
              <w:rPr>
                <w:rFonts w:ascii="Arial" w:eastAsia="Times New Roman" w:hAnsi="Arial" w:cs="Arial"/>
                <w:b/>
                <w:bCs/>
                <w:sz w:val="18"/>
                <w:szCs w:val="18"/>
              </w:rPr>
              <w:t>Uplink</w:t>
            </w:r>
          </w:p>
        </w:tc>
        <w:tc>
          <w:tcPr>
            <w:tcW w:w="2260" w:type="dxa"/>
            <w:tcBorders>
              <w:top w:val="nil"/>
              <w:left w:val="nil"/>
              <w:bottom w:val="single" w:sz="4" w:space="0" w:color="auto"/>
              <w:right w:val="single" w:sz="4" w:space="0" w:color="auto"/>
            </w:tcBorders>
            <w:shd w:val="clear" w:color="auto" w:fill="auto"/>
            <w:vAlign w:val="center"/>
            <w:hideMark/>
          </w:tcPr>
          <w:p w14:paraId="452B6329" w14:textId="77777777" w:rsidR="00825FFD" w:rsidRPr="0055419C"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9.5</w:t>
            </w:r>
            <w:r w:rsidRPr="0055419C">
              <w:rPr>
                <w:rFonts w:ascii="Arial" w:eastAsia="Times New Roman" w:hAnsi="Arial" w:cs="Arial"/>
                <w:color w:val="000000"/>
                <w:sz w:val="16"/>
                <w:szCs w:val="16"/>
                <w:lang w:val="en-US"/>
              </w:rPr>
              <w:t>%</w:t>
            </w:r>
          </w:p>
        </w:tc>
        <w:tc>
          <w:tcPr>
            <w:tcW w:w="2260" w:type="dxa"/>
            <w:tcBorders>
              <w:top w:val="nil"/>
              <w:left w:val="nil"/>
              <w:bottom w:val="single" w:sz="4" w:space="0" w:color="auto"/>
              <w:right w:val="single" w:sz="4" w:space="0" w:color="auto"/>
            </w:tcBorders>
          </w:tcPr>
          <w:p w14:paraId="2C87F80F" w14:textId="77777777" w:rsidR="00825FFD" w:rsidRDefault="00825FFD" w:rsidP="0055419C">
            <w:pPr>
              <w:overflowPunct/>
              <w:autoSpaceDE/>
              <w:autoSpaceDN/>
              <w:adjustRightInd/>
              <w:spacing w:after="0"/>
              <w:jc w:val="center"/>
              <w:textAlignment w:val="auto"/>
              <w:rPr>
                <w:rFonts w:ascii="Arial" w:eastAsia="Times New Roman" w:hAnsi="Arial" w:cs="Arial"/>
                <w:color w:val="000000"/>
                <w:sz w:val="16"/>
                <w:szCs w:val="16"/>
                <w:lang w:val="en-US"/>
              </w:rPr>
            </w:pPr>
            <w:r>
              <w:rPr>
                <w:rFonts w:ascii="Arial" w:eastAsia="Times New Roman" w:hAnsi="Arial" w:cs="Arial"/>
                <w:color w:val="000000"/>
                <w:sz w:val="16"/>
                <w:szCs w:val="16"/>
                <w:lang w:val="en-US"/>
              </w:rPr>
              <w:t>7.9%</w:t>
            </w:r>
          </w:p>
        </w:tc>
      </w:tr>
    </w:tbl>
    <w:p w14:paraId="0ACB1C19" w14:textId="77777777" w:rsidR="00293B50" w:rsidRDefault="00293B50" w:rsidP="00B33CD6">
      <w:pPr>
        <w:jc w:val="both"/>
        <w:rPr>
          <w:u w:val="single"/>
          <w:lang w:val="en-US"/>
        </w:rPr>
      </w:pPr>
    </w:p>
    <w:p w14:paraId="1CDF664C" w14:textId="77777777" w:rsidR="009639CF" w:rsidRDefault="009639CF" w:rsidP="00B33CD6">
      <w:pPr>
        <w:jc w:val="both"/>
        <w:rPr>
          <w:i/>
          <w:iCs/>
          <w:u w:val="single"/>
          <w:lang w:val="en-US"/>
        </w:rPr>
      </w:pPr>
    </w:p>
    <w:p w14:paraId="3AD58452" w14:textId="77777777" w:rsidR="009639CF" w:rsidRDefault="009639CF" w:rsidP="00B33CD6">
      <w:pPr>
        <w:jc w:val="both"/>
        <w:rPr>
          <w:i/>
          <w:iCs/>
          <w:u w:val="single"/>
          <w:lang w:val="en-US"/>
        </w:rPr>
      </w:pPr>
    </w:p>
    <w:p w14:paraId="2D019E8F" w14:textId="41642B14" w:rsidR="00B33CD6" w:rsidRPr="00D92EE7" w:rsidRDefault="00B33CD6" w:rsidP="00B33CD6">
      <w:pPr>
        <w:jc w:val="both"/>
        <w:rPr>
          <w:i/>
          <w:iCs/>
          <w:u w:val="single"/>
          <w:lang w:val="en-US"/>
        </w:rPr>
      </w:pPr>
      <w:r w:rsidRPr="00D92EE7">
        <w:rPr>
          <w:i/>
          <w:iCs/>
          <w:u w:val="single"/>
          <w:lang w:val="en-US"/>
        </w:rPr>
        <w:lastRenderedPageBreak/>
        <w:t>Power consumption analysis</w:t>
      </w:r>
    </w:p>
    <w:p w14:paraId="0891B895" w14:textId="7D448661" w:rsidR="001800B7" w:rsidRDefault="004115FA" w:rsidP="003C533A">
      <w:pPr>
        <w:jc w:val="both"/>
        <w:rPr>
          <w:lang w:val="en-US"/>
        </w:rPr>
      </w:pPr>
      <w:r>
        <w:rPr>
          <w:lang w:val="en-US"/>
        </w:rPr>
        <w:t>Reducing</w:t>
      </w:r>
      <w:r w:rsidR="0084598B">
        <w:rPr>
          <w:lang w:val="en-US"/>
        </w:rPr>
        <w:t xml:space="preserve"> both</w:t>
      </w:r>
      <w:r>
        <w:rPr>
          <w:lang w:val="en-US"/>
        </w:rPr>
        <w:t xml:space="preserve"> the BW of the BB </w:t>
      </w:r>
      <w:r w:rsidR="00B672CB">
        <w:rPr>
          <w:lang w:val="en-US"/>
        </w:rPr>
        <w:t>and</w:t>
      </w:r>
      <w:r w:rsidR="002759D0">
        <w:rPr>
          <w:lang w:val="en-US"/>
        </w:rPr>
        <w:t>/or</w:t>
      </w:r>
      <w:r w:rsidR="00B672CB">
        <w:rPr>
          <w:lang w:val="en-US"/>
        </w:rPr>
        <w:t xml:space="preserve"> RF</w:t>
      </w:r>
      <w:r w:rsidR="002759D0">
        <w:rPr>
          <w:lang w:val="en-US"/>
        </w:rPr>
        <w:t xml:space="preserve"> can be expected in some scenarios, for certain types of traffic, to reduce the power consumption of the device</w:t>
      </w:r>
      <w:r w:rsidR="008964DB">
        <w:rPr>
          <w:lang w:val="en-US"/>
        </w:rPr>
        <w:t xml:space="preserve"> by</w:t>
      </w:r>
      <w:r w:rsidR="008F1C16">
        <w:rPr>
          <w:lang w:val="en-US"/>
        </w:rPr>
        <w:t xml:space="preserve"> allowing</w:t>
      </w:r>
      <w:r w:rsidR="008964DB">
        <w:rPr>
          <w:lang w:val="en-US"/>
        </w:rPr>
        <w:t xml:space="preserve"> the simplification of key RF and BB subsystems</w:t>
      </w:r>
      <w:r w:rsidR="002759D0">
        <w:rPr>
          <w:lang w:val="en-US"/>
        </w:rPr>
        <w:t>.  However, as ha</w:t>
      </w:r>
      <w:r w:rsidR="006A0D16">
        <w:rPr>
          <w:lang w:val="en-US"/>
        </w:rPr>
        <w:t>s</w:t>
      </w:r>
      <w:r w:rsidR="002759D0">
        <w:rPr>
          <w:lang w:val="en-US"/>
        </w:rPr>
        <w:t xml:space="preserve"> been already discussed, </w:t>
      </w:r>
      <w:r w:rsidR="000A1962">
        <w:rPr>
          <w:lang w:val="en-US"/>
        </w:rPr>
        <w:t xml:space="preserve">for certain signals/channels, </w:t>
      </w:r>
      <w:r w:rsidR="00FC105B">
        <w:rPr>
          <w:lang w:val="en-US"/>
        </w:rPr>
        <w:t>e.g.</w:t>
      </w:r>
      <w:r w:rsidR="000A1962">
        <w:rPr>
          <w:lang w:val="en-US"/>
        </w:rPr>
        <w:t xml:space="preserve"> the PBCH with SCS=3</w:t>
      </w:r>
      <w:r w:rsidR="00005B99">
        <w:rPr>
          <w:lang w:val="en-US"/>
        </w:rPr>
        <w:t>0</w:t>
      </w:r>
      <w:r w:rsidR="000A1962">
        <w:rPr>
          <w:lang w:val="en-US"/>
        </w:rPr>
        <w:t xml:space="preserve">KHz, </w:t>
      </w:r>
      <w:r w:rsidR="00005B99">
        <w:rPr>
          <w:lang w:val="en-US"/>
        </w:rPr>
        <w:t>or SIB1</w:t>
      </w:r>
      <w:r w:rsidR="00201DC2">
        <w:rPr>
          <w:lang w:val="en-US"/>
        </w:rPr>
        <w:t>, or PDSCH</w:t>
      </w:r>
      <w:r w:rsidR="00DC5BC3">
        <w:rPr>
          <w:lang w:val="en-US"/>
        </w:rPr>
        <w:t xml:space="preserve">, due to reception </w:t>
      </w:r>
      <w:r w:rsidR="00FC52CE">
        <w:rPr>
          <w:lang w:val="en-US"/>
        </w:rPr>
        <w:t>time being lengthened</w:t>
      </w:r>
      <w:r w:rsidR="0061449D">
        <w:rPr>
          <w:lang w:val="en-US"/>
        </w:rPr>
        <w:t xml:space="preserve"> in order to compensate for the limited BW and re</w:t>
      </w:r>
      <w:r w:rsidR="00FC105B">
        <w:rPr>
          <w:lang w:val="en-US"/>
        </w:rPr>
        <w:t>d</w:t>
      </w:r>
      <w:r w:rsidR="0061449D">
        <w:rPr>
          <w:lang w:val="en-US"/>
        </w:rPr>
        <w:t>uced frequency diversity gains</w:t>
      </w:r>
      <w:r w:rsidR="00080F9E">
        <w:rPr>
          <w:lang w:val="en-US"/>
        </w:rPr>
        <w:t xml:space="preserve">, </w:t>
      </w:r>
      <w:r w:rsidR="00201DC2">
        <w:rPr>
          <w:lang w:val="en-US"/>
        </w:rPr>
        <w:t>the</w:t>
      </w:r>
      <w:r w:rsidR="00FC52CE">
        <w:rPr>
          <w:lang w:val="en-US"/>
        </w:rPr>
        <w:t xml:space="preserve"> power consumption saving may </w:t>
      </w:r>
      <w:r w:rsidR="00B3007A">
        <w:rPr>
          <w:lang w:val="en-US"/>
        </w:rPr>
        <w:t>actually be negligible</w:t>
      </w:r>
      <w:r w:rsidR="005930CA">
        <w:rPr>
          <w:lang w:val="en-US"/>
        </w:rPr>
        <w:t xml:space="preserve"> or even degraded</w:t>
      </w:r>
      <w:r w:rsidR="00B3007A">
        <w:rPr>
          <w:lang w:val="en-US"/>
        </w:rPr>
        <w:t xml:space="preserve">.   Of the 3 BW reduction techniques under consideration, </w:t>
      </w:r>
      <w:r w:rsidR="00E917E6">
        <w:rPr>
          <w:lang w:val="en-US"/>
        </w:rPr>
        <w:t xml:space="preserve">we expect BW3 to provide the </w:t>
      </w:r>
      <w:r w:rsidR="00685B5C">
        <w:rPr>
          <w:lang w:val="en-US"/>
        </w:rPr>
        <w:t xml:space="preserve">best power consumption savings in </w:t>
      </w:r>
      <w:r w:rsidR="009A5032">
        <w:rPr>
          <w:lang w:val="en-US"/>
        </w:rPr>
        <w:t>most</w:t>
      </w:r>
      <w:r w:rsidR="00B43396">
        <w:rPr>
          <w:lang w:val="en-US"/>
        </w:rPr>
        <w:t xml:space="preserve"> scenarios</w:t>
      </w:r>
      <w:r w:rsidR="009F592E">
        <w:rPr>
          <w:lang w:val="en-US"/>
        </w:rPr>
        <w:t>.</w:t>
      </w:r>
      <w:r w:rsidR="00026D90">
        <w:rPr>
          <w:lang w:val="en-US"/>
        </w:rPr>
        <w:t xml:space="preserve"> </w:t>
      </w:r>
    </w:p>
    <w:p w14:paraId="3D86EBF4" w14:textId="17F8101D" w:rsidR="00373A7D" w:rsidRDefault="00F43270" w:rsidP="003C533A">
      <w:pPr>
        <w:jc w:val="both"/>
        <w:rPr>
          <w:lang w:val="en-US"/>
        </w:rPr>
      </w:pPr>
      <w:r>
        <w:rPr>
          <w:lang w:val="en-US"/>
        </w:rPr>
        <w:t>None</w:t>
      </w:r>
      <w:r w:rsidR="00885287">
        <w:rPr>
          <w:lang w:val="en-US"/>
        </w:rPr>
        <w:t xml:space="preserve"> </w:t>
      </w:r>
      <w:r w:rsidR="00506364">
        <w:rPr>
          <w:lang w:val="en-US"/>
        </w:rPr>
        <w:t xml:space="preserve">of </w:t>
      </w:r>
      <w:r w:rsidR="00885287">
        <w:rPr>
          <w:lang w:val="en-US"/>
        </w:rPr>
        <w:t>the 3 techniques</w:t>
      </w:r>
      <w:r w:rsidR="0032468C">
        <w:rPr>
          <w:lang w:val="en-US"/>
        </w:rPr>
        <w:t xml:space="preserve">, </w:t>
      </w:r>
      <w:r w:rsidR="00885287">
        <w:rPr>
          <w:lang w:val="en-US"/>
        </w:rPr>
        <w:t>being studi</w:t>
      </w:r>
      <w:r w:rsidR="00C42CF3">
        <w:rPr>
          <w:lang w:val="en-US"/>
        </w:rPr>
        <w:t>e</w:t>
      </w:r>
      <w:r w:rsidR="00885287">
        <w:rPr>
          <w:lang w:val="en-US"/>
        </w:rPr>
        <w:t xml:space="preserve">d </w:t>
      </w:r>
      <w:r w:rsidR="007E4F92">
        <w:rPr>
          <w:lang w:val="en-US"/>
        </w:rPr>
        <w:t>to reduce cost via the limitation of the peak data rate</w:t>
      </w:r>
      <w:r w:rsidR="00FC1429">
        <w:rPr>
          <w:lang w:val="en-US"/>
        </w:rPr>
        <w:t>,</w:t>
      </w:r>
      <w:r w:rsidR="001D5FBD" w:rsidRPr="001D5FBD">
        <w:rPr>
          <w:lang w:val="en-US"/>
        </w:rPr>
        <w:t xml:space="preserve"> </w:t>
      </w:r>
      <w:r w:rsidR="001D5FBD">
        <w:rPr>
          <w:lang w:val="en-US"/>
        </w:rPr>
        <w:t>PR1, PR2 and PR3,</w:t>
      </w:r>
      <w:r w:rsidR="00FC1429">
        <w:rPr>
          <w:lang w:val="en-US"/>
        </w:rPr>
        <w:t xml:space="preserve"> </w:t>
      </w:r>
      <w:r w:rsidR="001D5FBD">
        <w:rPr>
          <w:lang w:val="en-US"/>
        </w:rPr>
        <w:t>are</w:t>
      </w:r>
      <w:r w:rsidR="00B17441">
        <w:rPr>
          <w:lang w:val="en-US"/>
        </w:rPr>
        <w:t xml:space="preserve"> expected to significantly reduce </w:t>
      </w:r>
      <w:r w:rsidR="00387691">
        <w:rPr>
          <w:lang w:val="en-US"/>
        </w:rPr>
        <w:t>power consumption, given that the RF</w:t>
      </w:r>
      <w:r w:rsidR="00460452">
        <w:rPr>
          <w:lang w:val="en-US"/>
        </w:rPr>
        <w:t xml:space="preserve"> sub-systems are expected to be largely </w:t>
      </w:r>
      <w:r w:rsidR="00506364">
        <w:rPr>
          <w:lang w:val="en-US"/>
        </w:rPr>
        <w:t xml:space="preserve">maintained </w:t>
      </w:r>
      <w:r w:rsidR="00460452">
        <w:rPr>
          <w:lang w:val="en-US"/>
        </w:rPr>
        <w:t>unchanged.</w:t>
      </w:r>
      <w:r w:rsidR="0016509A">
        <w:rPr>
          <w:lang w:val="en-US"/>
        </w:rPr>
        <w:t xml:space="preserve">   </w:t>
      </w:r>
      <w:r w:rsidR="00885287">
        <w:rPr>
          <w:lang w:val="en-US"/>
        </w:rPr>
        <w:br/>
      </w:r>
      <w:r w:rsidR="00885287">
        <w:rPr>
          <w:lang w:val="en-US"/>
        </w:rPr>
        <w:br/>
      </w:r>
      <w:r w:rsidR="00B957E4">
        <w:rPr>
          <w:lang w:val="en-US"/>
        </w:rPr>
        <w:t xml:space="preserve">Previous studies into </w:t>
      </w:r>
      <w:r w:rsidR="0065501E">
        <w:rPr>
          <w:lang w:val="en-US"/>
        </w:rPr>
        <w:t>the relaxation of N1/N2 (PT1)</w:t>
      </w:r>
      <w:r w:rsidR="007B2501">
        <w:rPr>
          <w:lang w:val="en-US"/>
        </w:rPr>
        <w:t xml:space="preserve">, suggest that </w:t>
      </w:r>
      <w:r w:rsidR="00CD27B5">
        <w:rPr>
          <w:lang w:val="en-US"/>
        </w:rPr>
        <w:t xml:space="preserve">the operating clock frequency and voltage can be reduced for certain UE implementations.  However, </w:t>
      </w:r>
      <w:r w:rsidR="00A065A7">
        <w:rPr>
          <w:lang w:val="en-US"/>
        </w:rPr>
        <w:t>the</w:t>
      </w:r>
      <w:r w:rsidR="00CD27B5">
        <w:rPr>
          <w:lang w:val="en-US"/>
        </w:rPr>
        <w:t xml:space="preserve"> power consumption gain</w:t>
      </w:r>
      <w:r w:rsidR="00A065A7">
        <w:rPr>
          <w:lang w:val="en-US"/>
        </w:rPr>
        <w:t xml:space="preserve">s possible from </w:t>
      </w:r>
      <w:r w:rsidR="002E628D">
        <w:rPr>
          <w:lang w:val="en-US"/>
        </w:rPr>
        <w:t>the lowering of th</w:t>
      </w:r>
      <w:r w:rsidR="00D031CD">
        <w:rPr>
          <w:lang w:val="en-US"/>
        </w:rPr>
        <w:t>ese</w:t>
      </w:r>
      <w:r w:rsidR="002E628D">
        <w:rPr>
          <w:lang w:val="en-US"/>
        </w:rPr>
        <w:t xml:space="preserve"> operating levels</w:t>
      </w:r>
      <w:r w:rsidR="00A065A7">
        <w:rPr>
          <w:lang w:val="en-US"/>
        </w:rPr>
        <w:t xml:space="preserve"> </w:t>
      </w:r>
      <w:r w:rsidR="00375761">
        <w:rPr>
          <w:lang w:val="en-US"/>
        </w:rPr>
        <w:t>are likely to</w:t>
      </w:r>
      <w:r w:rsidR="00A065A7">
        <w:rPr>
          <w:lang w:val="en-US"/>
        </w:rPr>
        <w:t xml:space="preserve"> </w:t>
      </w:r>
      <w:r w:rsidR="006C0F4B">
        <w:rPr>
          <w:lang w:val="en-US"/>
        </w:rPr>
        <w:t>be</w:t>
      </w:r>
      <w:r w:rsidR="00A065A7">
        <w:rPr>
          <w:lang w:val="en-US"/>
        </w:rPr>
        <w:t xml:space="preserve"> offset by the </w:t>
      </w:r>
      <w:r w:rsidR="009C4F2B">
        <w:rPr>
          <w:lang w:val="en-US"/>
        </w:rPr>
        <w:t>device needing to operate for longer</w:t>
      </w:r>
      <w:r w:rsidR="00D8653E">
        <w:rPr>
          <w:lang w:val="en-US"/>
        </w:rPr>
        <w:t>.</w:t>
      </w:r>
      <w:r w:rsidR="009B3EFB">
        <w:rPr>
          <w:lang w:val="en-US"/>
        </w:rPr>
        <w:t xml:space="preserve"> </w:t>
      </w:r>
      <w:r w:rsidR="00D8653E">
        <w:rPr>
          <w:lang w:val="en-US"/>
        </w:rPr>
        <w:t>H</w:t>
      </w:r>
      <w:r w:rsidR="00CB6EED">
        <w:rPr>
          <w:lang w:val="en-US"/>
        </w:rPr>
        <w:t>ence,</w:t>
      </w:r>
      <w:r w:rsidR="00D8653E">
        <w:rPr>
          <w:lang w:val="en-US"/>
        </w:rPr>
        <w:t xml:space="preserve"> </w:t>
      </w:r>
      <w:r w:rsidR="00375761">
        <w:rPr>
          <w:lang w:val="en-US"/>
        </w:rPr>
        <w:t>we do not expect any significant power consumption gains from PT1.</w:t>
      </w:r>
    </w:p>
    <w:p w14:paraId="37BC67C8" w14:textId="3068CBDF" w:rsidR="00CB6EED" w:rsidRDefault="003714BC" w:rsidP="003C533A">
      <w:pPr>
        <w:jc w:val="both"/>
        <w:rPr>
          <w:lang w:val="en-US"/>
        </w:rPr>
      </w:pPr>
      <w:r>
        <w:rPr>
          <w:lang w:val="en-US"/>
        </w:rPr>
        <w:t>The majority of power consumption savings from</w:t>
      </w:r>
      <w:r w:rsidR="00AC4513">
        <w:rPr>
          <w:lang w:val="en-US"/>
        </w:rPr>
        <w:t xml:space="preserve"> the relaxation of CSI measurements, come from </w:t>
      </w:r>
      <w:r w:rsidR="008B34CE">
        <w:rPr>
          <w:lang w:val="en-US"/>
        </w:rPr>
        <w:t xml:space="preserve">the reduced antenna number.   Further relaxation of the CSI processing times (PT2), </w:t>
      </w:r>
      <w:r w:rsidR="0009024A">
        <w:rPr>
          <w:lang w:val="en-US"/>
        </w:rPr>
        <w:t xml:space="preserve">is expected to require significant RAN4 </w:t>
      </w:r>
      <w:r w:rsidR="00C902F6">
        <w:rPr>
          <w:lang w:val="en-US"/>
        </w:rPr>
        <w:t>guidance given the potential impact on CSI measurement accuracy</w:t>
      </w:r>
      <w:r w:rsidR="006A1144">
        <w:rPr>
          <w:lang w:val="en-US"/>
        </w:rPr>
        <w:t xml:space="preserve"> and like other techniques discussed here, may</w:t>
      </w:r>
      <w:r w:rsidR="00922090">
        <w:rPr>
          <w:lang w:val="en-US"/>
        </w:rPr>
        <w:t xml:space="preserve"> require more processing overall to maintain similar levels of accuracy. Hence, we </w:t>
      </w:r>
      <w:r w:rsidR="007C7D4F">
        <w:rPr>
          <w:lang w:val="en-US"/>
        </w:rPr>
        <w:t>also do not expect any significant power consumption gains from PT2.</w:t>
      </w:r>
    </w:p>
    <w:p w14:paraId="339F96C7" w14:textId="4EA34A62" w:rsidR="00EE2485" w:rsidRPr="00D92EE7" w:rsidRDefault="00EE2485" w:rsidP="00EE2485">
      <w:pPr>
        <w:jc w:val="both"/>
        <w:rPr>
          <w:i/>
          <w:iCs/>
          <w:u w:val="single"/>
          <w:lang w:val="en-US"/>
        </w:rPr>
      </w:pPr>
      <w:r>
        <w:rPr>
          <w:i/>
          <w:iCs/>
          <w:u w:val="single"/>
          <w:lang w:val="en-US"/>
        </w:rPr>
        <w:t>Latency</w:t>
      </w:r>
      <w:r w:rsidR="005213BF">
        <w:rPr>
          <w:i/>
          <w:iCs/>
          <w:u w:val="single"/>
          <w:lang w:val="en-US"/>
        </w:rPr>
        <w:t xml:space="preserve"> </w:t>
      </w:r>
      <w:r w:rsidRPr="00D92EE7">
        <w:rPr>
          <w:i/>
          <w:iCs/>
          <w:u w:val="single"/>
          <w:lang w:val="en-US"/>
        </w:rPr>
        <w:t>analysis</w:t>
      </w:r>
    </w:p>
    <w:p w14:paraId="1FC1E68E" w14:textId="60F6DE7A" w:rsidR="00AD5C3B" w:rsidRDefault="00AD5C3B" w:rsidP="00AD5C3B">
      <w:pPr>
        <w:jc w:val="both"/>
        <w:rPr>
          <w:lang w:val="en-US"/>
        </w:rPr>
      </w:pPr>
      <w:r>
        <w:rPr>
          <w:lang w:val="en-US"/>
        </w:rPr>
        <w:t xml:space="preserve">Reducing the bandwidth and therefore the peak data rates will increase latency for </w:t>
      </w:r>
      <w:r w:rsidR="00A84B4D">
        <w:rPr>
          <w:lang w:val="en-US"/>
        </w:rPr>
        <w:t xml:space="preserve">some </w:t>
      </w:r>
      <w:r>
        <w:rPr>
          <w:lang w:val="en-US"/>
        </w:rPr>
        <w:t xml:space="preserve">UEs </w:t>
      </w:r>
      <w:r w:rsidR="00A84B4D">
        <w:rPr>
          <w:lang w:val="en-US"/>
        </w:rPr>
        <w:t xml:space="preserve">(typically those </w:t>
      </w:r>
      <w:r>
        <w:rPr>
          <w:lang w:val="en-US"/>
        </w:rPr>
        <w:t>with good SNR</w:t>
      </w:r>
      <w:r w:rsidR="00A84B4D">
        <w:rPr>
          <w:lang w:val="en-US"/>
        </w:rPr>
        <w:t>)</w:t>
      </w:r>
      <w:r>
        <w:rPr>
          <w:lang w:val="en-US"/>
        </w:rPr>
        <w:t xml:space="preserve">. However, it is expected that the latency considered in Rel-17 RedCap (i.e. </w:t>
      </w:r>
      <w:r w:rsidRPr="002C4A15">
        <w:t>end-to-end latency less than 100 ms</w:t>
      </w:r>
      <w:r>
        <w:t xml:space="preserve"> for industrial sensor and 5-10ms for </w:t>
      </w:r>
      <w:r w:rsidRPr="0034101B">
        <w:t>safety related sensors</w:t>
      </w:r>
      <w:r>
        <w:rPr>
          <w:lang w:val="en-US"/>
        </w:rPr>
        <w:t>) can still be met.</w:t>
      </w:r>
    </w:p>
    <w:p w14:paraId="64B655B8" w14:textId="6272B1AA" w:rsidR="002971DF" w:rsidRPr="009445E0" w:rsidRDefault="002971DF" w:rsidP="00B33CD6">
      <w:pPr>
        <w:jc w:val="both"/>
        <w:rPr>
          <w:b/>
          <w:bCs/>
          <w:u w:val="single"/>
          <w:lang w:val="en-US" w:eastAsia="zh-CN"/>
        </w:rPr>
      </w:pPr>
      <w:r w:rsidRPr="009445E0">
        <w:rPr>
          <w:b/>
          <w:bCs/>
          <w:u w:val="single"/>
          <w:lang w:val="en-US" w:eastAsia="zh-CN"/>
        </w:rPr>
        <w:t>Network deployment and coexistence impact:</w:t>
      </w:r>
    </w:p>
    <w:p w14:paraId="36F212AD" w14:textId="77777777" w:rsidR="00B33CD6" w:rsidRPr="008C4739" w:rsidRDefault="00B33CD6" w:rsidP="00B33CD6">
      <w:pPr>
        <w:jc w:val="both"/>
        <w:rPr>
          <w:lang w:val="en-US"/>
        </w:rPr>
      </w:pPr>
      <w:r w:rsidRPr="009633D3">
        <w:rPr>
          <w:lang w:val="en-US"/>
        </w:rPr>
        <w:t xml:space="preserve">No coexistence issue with legacy UEs is expected. </w:t>
      </w:r>
      <w:r w:rsidR="00B23BFB">
        <w:rPr>
          <w:lang w:val="en-US"/>
        </w:rPr>
        <w:t xml:space="preserve">However, as explained in the next section, some CORESET#0 configurations cannot be supported by Rel-18 RedCap UE and therefore new CORESET#0 may need to be defined. </w:t>
      </w:r>
      <w:r w:rsidRPr="009633D3">
        <w:rPr>
          <w:lang w:val="en-US"/>
        </w:rPr>
        <w:t>Subsequent to initial access, RedCap UEs can be configured to a BWP of appropriate size.</w:t>
      </w:r>
    </w:p>
    <w:p w14:paraId="7FC35AB9" w14:textId="510D710B" w:rsidR="00B33CD6" w:rsidRPr="002971DF" w:rsidRDefault="002971DF" w:rsidP="00B33CD6">
      <w:pPr>
        <w:jc w:val="both"/>
        <w:rPr>
          <w:b/>
          <w:bCs/>
          <w:u w:val="single"/>
          <w:lang w:val="en-US"/>
        </w:rPr>
      </w:pPr>
      <w:r w:rsidRPr="002971DF">
        <w:rPr>
          <w:b/>
          <w:bCs/>
          <w:u w:val="single"/>
          <w:lang w:val="en-US"/>
        </w:rPr>
        <w:t>Specification impact:</w:t>
      </w:r>
    </w:p>
    <w:p w14:paraId="34EC4469" w14:textId="6946D463" w:rsidR="00B31755" w:rsidRDefault="00B00D3D" w:rsidP="00B31755">
      <w:pPr>
        <w:jc w:val="both"/>
        <w:rPr>
          <w:lang w:val="en-US"/>
        </w:rPr>
      </w:pPr>
      <w:r w:rsidRPr="00B00D3D">
        <w:rPr>
          <w:lang w:val="en-US"/>
        </w:rPr>
        <w:t xml:space="preserve">There are two </w:t>
      </w:r>
      <w:r w:rsidR="005219BB">
        <w:rPr>
          <w:lang w:val="en-US"/>
        </w:rPr>
        <w:t xml:space="preserve">main </w:t>
      </w:r>
      <w:r w:rsidRPr="00B00D3D">
        <w:rPr>
          <w:lang w:val="en-US"/>
        </w:rPr>
        <w:t>areas where specification impact is foreseen – SSB</w:t>
      </w:r>
      <w:r w:rsidR="00024F76">
        <w:rPr>
          <w:lang w:val="en-US"/>
        </w:rPr>
        <w:t xml:space="preserve"> and </w:t>
      </w:r>
      <w:r w:rsidRPr="00B00D3D">
        <w:rPr>
          <w:lang w:val="en-US"/>
        </w:rPr>
        <w:t>CORESET#0 support.</w:t>
      </w:r>
    </w:p>
    <w:p w14:paraId="7437D102" w14:textId="77777777" w:rsidR="001A1F3A" w:rsidRDefault="00024F76" w:rsidP="00B31755">
      <w:pPr>
        <w:jc w:val="both"/>
        <w:rPr>
          <w:lang w:val="en-US"/>
        </w:rPr>
      </w:pPr>
      <w:r>
        <w:rPr>
          <w:lang w:val="en-US"/>
        </w:rPr>
        <w:t>For SSB</w:t>
      </w:r>
      <w:r w:rsidR="00C245CF">
        <w:rPr>
          <w:lang w:val="en-US"/>
        </w:rPr>
        <w:t xml:space="preserve"> with 15 kHz SCS, the PSS/SSS </w:t>
      </w:r>
      <w:r w:rsidR="00E13A5E">
        <w:rPr>
          <w:lang w:val="en-US"/>
        </w:rPr>
        <w:t>spans</w:t>
      </w:r>
      <w:r w:rsidR="00C245CF">
        <w:rPr>
          <w:lang w:val="en-US"/>
        </w:rPr>
        <w:t xml:space="preserve"> 1.9</w:t>
      </w:r>
      <w:r w:rsidR="00E13A5E">
        <w:rPr>
          <w:lang w:val="en-US"/>
        </w:rPr>
        <w:t xml:space="preserve"> MHz while the PBCH spans 3.6 MHz</w:t>
      </w:r>
      <w:r w:rsidR="00A96ED6">
        <w:rPr>
          <w:lang w:val="en-US"/>
        </w:rPr>
        <w:t xml:space="preserve">. This is well within the 5MHz UE bandwidth. However, for 30 kHz SCS, </w:t>
      </w:r>
      <w:r w:rsidR="0042536A">
        <w:rPr>
          <w:lang w:val="en-US"/>
        </w:rPr>
        <w:t>t</w:t>
      </w:r>
      <w:r w:rsidR="00B23BFB">
        <w:rPr>
          <w:lang w:val="en-US"/>
        </w:rPr>
        <w:t xml:space="preserve">he UE can still receive PSS/SSS </w:t>
      </w:r>
      <w:r w:rsidR="0042536A">
        <w:rPr>
          <w:lang w:val="en-US"/>
        </w:rPr>
        <w:t>(</w:t>
      </w:r>
      <w:r w:rsidR="00A8729D">
        <w:rPr>
          <w:lang w:val="en-US"/>
        </w:rPr>
        <w:t xml:space="preserve">occupying </w:t>
      </w:r>
      <w:r w:rsidR="0042536A">
        <w:rPr>
          <w:lang w:val="en-US"/>
        </w:rPr>
        <w:t xml:space="preserve">3.8 MHz) </w:t>
      </w:r>
      <w:r w:rsidR="00B23BFB">
        <w:rPr>
          <w:lang w:val="en-US"/>
        </w:rPr>
        <w:t>but not the full PBCH</w:t>
      </w:r>
      <w:r w:rsidR="0042536A">
        <w:rPr>
          <w:lang w:val="en-US"/>
        </w:rPr>
        <w:t xml:space="preserve"> (</w:t>
      </w:r>
      <w:r w:rsidR="00A8729D">
        <w:rPr>
          <w:lang w:val="en-US"/>
        </w:rPr>
        <w:t xml:space="preserve">occupying </w:t>
      </w:r>
      <w:r w:rsidR="0042536A">
        <w:rPr>
          <w:lang w:val="en-US"/>
        </w:rPr>
        <w:t>7.2 MHz)</w:t>
      </w:r>
      <w:r w:rsidR="00B23BFB">
        <w:rPr>
          <w:lang w:val="en-US"/>
        </w:rPr>
        <w:t>. This would have an impact as e.g. the UE would need to puncture the PBCH or additional PBCH transmission may be needed</w:t>
      </w:r>
      <w:r w:rsidR="00A4723F">
        <w:rPr>
          <w:lang w:val="en-US"/>
        </w:rPr>
        <w:t xml:space="preserve"> to compensate</w:t>
      </w:r>
      <w:r w:rsidR="00B23BFB">
        <w:rPr>
          <w:lang w:val="en-US"/>
        </w:rPr>
        <w:t xml:space="preserve">. </w:t>
      </w:r>
    </w:p>
    <w:p w14:paraId="67094A35" w14:textId="27A283B7" w:rsidR="00B23BFB" w:rsidRDefault="004916A0" w:rsidP="00B31755">
      <w:pPr>
        <w:jc w:val="both"/>
        <w:rPr>
          <w:lang w:val="en-US"/>
        </w:rPr>
      </w:pPr>
      <w:r>
        <w:rPr>
          <w:lang w:val="en-US"/>
        </w:rPr>
        <w:t xml:space="preserve">For CORESET#0 transmission, </w:t>
      </w:r>
      <w:r w:rsidR="006D02FA">
        <w:rPr>
          <w:lang w:val="en-US"/>
        </w:rPr>
        <w:t>the table below illustrates the b</w:t>
      </w:r>
      <w:r w:rsidR="004016AD">
        <w:rPr>
          <w:lang w:val="en-US"/>
        </w:rPr>
        <w:t xml:space="preserve">andwidth for various configurations. It can be seen that, for 15 kHz SCS, CORESET#0 size of 24 PRBs can be used. Coverage analysis from Rel-17 study shows that this configuration </w:t>
      </w:r>
      <w:r w:rsidR="007824ED">
        <w:rPr>
          <w:lang w:val="en-US"/>
        </w:rPr>
        <w:t>does not reduce coverage</w:t>
      </w:r>
      <w:r w:rsidR="00A4723F">
        <w:rPr>
          <w:lang w:val="en-US"/>
        </w:rPr>
        <w:t>.</w:t>
      </w:r>
      <w:r w:rsidR="007824ED">
        <w:rPr>
          <w:lang w:val="en-US"/>
        </w:rPr>
        <w:t xml:space="preserve"> For 30 kHz SCS, however, </w:t>
      </w:r>
      <w:r w:rsidR="00B723FB">
        <w:rPr>
          <w:lang w:val="en-US"/>
        </w:rPr>
        <w:t>the smallest CORESET#0 configuration occupies 9.6 MHz</w:t>
      </w:r>
      <w:r w:rsidR="0076440B">
        <w:rPr>
          <w:lang w:val="en-US"/>
        </w:rPr>
        <w:t xml:space="preserve">. Thus specification </w:t>
      </w:r>
      <w:r w:rsidR="00B723FB">
        <w:rPr>
          <w:lang w:val="en-US"/>
        </w:rPr>
        <w:t>change may be needed.</w:t>
      </w:r>
    </w:p>
    <w:tbl>
      <w:tblPr>
        <w:tblW w:w="5444" w:type="dxa"/>
        <w:jc w:val="center"/>
        <w:tblLook w:val="04A0" w:firstRow="1" w:lastRow="0" w:firstColumn="1" w:lastColumn="0" w:noHBand="0" w:noVBand="1"/>
      </w:tblPr>
      <w:tblGrid>
        <w:gridCol w:w="1361"/>
        <w:gridCol w:w="1361"/>
        <w:gridCol w:w="1361"/>
        <w:gridCol w:w="1361"/>
      </w:tblGrid>
      <w:tr w:rsidR="007824ED" w:rsidRPr="004C0C03" w14:paraId="5206945A" w14:textId="77777777" w:rsidTr="007824ED">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45B920" w14:textId="31917636" w:rsidR="007824ED" w:rsidRPr="004C0C03" w:rsidRDefault="007824ED" w:rsidP="00F751AB">
            <w:pPr>
              <w:overflowPunct/>
              <w:autoSpaceDE/>
              <w:autoSpaceDN/>
              <w:adjustRightInd/>
              <w:spacing w:after="0"/>
              <w:jc w:val="center"/>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ADBDD9C" w14:textId="09CACDA8" w:rsidR="007824ED" w:rsidRPr="004C0C03" w:rsidRDefault="007824ED" w:rsidP="00F751AB">
            <w:pPr>
              <w:overflowPunct/>
              <w:autoSpaceDE/>
              <w:autoSpaceDN/>
              <w:adjustRightInd/>
              <w:spacing w:after="0"/>
              <w:jc w:val="center"/>
              <w:textAlignment w:val="auto"/>
              <w:rPr>
                <w:rFonts w:eastAsia="Times New Roman"/>
                <w:lang w:val="en-US"/>
              </w:rPr>
            </w:pPr>
            <w:r>
              <w:rPr>
                <w:rFonts w:eastAsia="Times New Roman"/>
                <w:lang w:val="en-US"/>
              </w:rPr>
              <w:t>24 PRBs</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FD19378" w14:textId="7E8241F9" w:rsidR="007824ED" w:rsidRPr="004C0C03" w:rsidRDefault="007824ED" w:rsidP="00F751AB">
            <w:pPr>
              <w:overflowPunct/>
              <w:autoSpaceDE/>
              <w:autoSpaceDN/>
              <w:adjustRightInd/>
              <w:spacing w:after="0"/>
              <w:jc w:val="center"/>
              <w:textAlignment w:val="auto"/>
              <w:rPr>
                <w:rFonts w:eastAsia="Times New Roman"/>
                <w:lang w:val="en-US"/>
              </w:rPr>
            </w:pPr>
            <w:r>
              <w:rPr>
                <w:rFonts w:eastAsia="Times New Roman"/>
                <w:lang w:val="en-US"/>
              </w:rPr>
              <w:t>48 PRBs</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6134EB8" w14:textId="31EF9E37" w:rsidR="007824ED" w:rsidRPr="004C0C03" w:rsidRDefault="007824ED" w:rsidP="00F751AB">
            <w:pPr>
              <w:overflowPunct/>
              <w:autoSpaceDE/>
              <w:autoSpaceDN/>
              <w:adjustRightInd/>
              <w:spacing w:after="0"/>
              <w:jc w:val="center"/>
              <w:textAlignment w:val="auto"/>
              <w:rPr>
                <w:rFonts w:eastAsia="Times New Roman"/>
                <w:lang w:val="en-US"/>
              </w:rPr>
            </w:pPr>
            <w:r>
              <w:rPr>
                <w:rFonts w:eastAsia="Times New Roman"/>
                <w:lang w:val="en-US"/>
              </w:rPr>
              <w:t>96 PRBs</w:t>
            </w:r>
          </w:p>
        </w:tc>
      </w:tr>
      <w:tr w:rsidR="007824ED" w:rsidRPr="004C0C03" w14:paraId="2B9F99A7" w14:textId="77777777" w:rsidTr="007824ED">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617630F0" w14:textId="06AB59F9" w:rsidR="007824ED" w:rsidRPr="004C0C03" w:rsidRDefault="007824ED" w:rsidP="00F751AB">
            <w:pPr>
              <w:overflowPunct/>
              <w:autoSpaceDE/>
              <w:autoSpaceDN/>
              <w:adjustRightInd/>
              <w:spacing w:after="0"/>
              <w:jc w:val="center"/>
              <w:textAlignment w:val="auto"/>
              <w:rPr>
                <w:rFonts w:eastAsia="Times New Roman"/>
                <w:lang w:val="en-US"/>
              </w:rPr>
            </w:pPr>
            <w:r>
              <w:rPr>
                <w:rFonts w:eastAsia="Times New Roman"/>
                <w:lang w:val="en-US"/>
              </w:rPr>
              <w:t>15 kHz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E4044C7" w14:textId="69F4D062"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4.3 MHz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29B34BF" w14:textId="31A98880"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9.6 MHz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74374E8" w14:textId="11B0CBF4"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17.3 MHz</w:t>
            </w:r>
          </w:p>
        </w:tc>
      </w:tr>
      <w:tr w:rsidR="007824ED" w:rsidRPr="004C0C03" w14:paraId="7201A5EE" w14:textId="77777777" w:rsidTr="007824ED">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1836CCEB" w14:textId="33803000" w:rsidR="007824ED" w:rsidRPr="004C0C03" w:rsidRDefault="007824ED" w:rsidP="00F751AB">
            <w:pPr>
              <w:overflowPunct/>
              <w:autoSpaceDE/>
              <w:autoSpaceDN/>
              <w:adjustRightInd/>
              <w:spacing w:after="0"/>
              <w:jc w:val="center"/>
              <w:textAlignment w:val="auto"/>
              <w:rPr>
                <w:rFonts w:eastAsia="Times New Roman"/>
                <w:lang w:val="en-US"/>
              </w:rPr>
            </w:pPr>
            <w:r>
              <w:rPr>
                <w:rFonts w:eastAsia="Times New Roman"/>
                <w:lang w:val="en-US"/>
              </w:rPr>
              <w:t>30 kHz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9602472" w14:textId="0B88A306"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9.6 MHz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862F16C" w14:textId="16CCD83E"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17.3 MHz</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6D48511" w14:textId="00F77D60" w:rsidR="007824ED" w:rsidRPr="004C0C03" w:rsidRDefault="00F751AB" w:rsidP="00F751AB">
            <w:pPr>
              <w:overflowPunct/>
              <w:autoSpaceDE/>
              <w:autoSpaceDN/>
              <w:adjustRightInd/>
              <w:spacing w:after="0"/>
              <w:jc w:val="center"/>
              <w:textAlignment w:val="auto"/>
              <w:rPr>
                <w:rFonts w:eastAsia="Times New Roman"/>
                <w:lang w:val="en-US"/>
              </w:rPr>
            </w:pPr>
            <w:r>
              <w:rPr>
                <w:rFonts w:eastAsia="Times New Roman"/>
                <w:lang w:val="en-US"/>
              </w:rPr>
              <w:t>N/A</w:t>
            </w:r>
          </w:p>
        </w:tc>
      </w:tr>
    </w:tbl>
    <w:p w14:paraId="21C58F37" w14:textId="20A3BD2D" w:rsidR="006D02FA" w:rsidRDefault="006D02FA" w:rsidP="00B31755">
      <w:pPr>
        <w:jc w:val="both"/>
        <w:rPr>
          <w:lang w:val="en-US"/>
        </w:rPr>
      </w:pPr>
    </w:p>
    <w:p w14:paraId="449D3BF1" w14:textId="6B46A6FB" w:rsidR="00754E03" w:rsidRPr="00CA6F1C" w:rsidRDefault="00720989" w:rsidP="00754E03">
      <w:pPr>
        <w:jc w:val="both"/>
        <w:rPr>
          <w:lang w:val="en-US"/>
        </w:rPr>
      </w:pPr>
      <w:r w:rsidRPr="00CA6F1C">
        <w:rPr>
          <w:lang w:val="en-US"/>
        </w:rPr>
        <w:t>Since transmission</w:t>
      </w:r>
      <w:r w:rsidR="00445859" w:rsidRPr="00CA6F1C">
        <w:rPr>
          <w:lang w:val="en-US"/>
        </w:rPr>
        <w:t>s</w:t>
      </w:r>
      <w:r w:rsidRPr="00CA6F1C">
        <w:rPr>
          <w:lang w:val="en-US"/>
        </w:rPr>
        <w:t xml:space="preserve"> such as SIB1, paging, etc. can be scheduled within CORESET#0 bandwidth, it is feasible to use </w:t>
      </w:r>
      <w:r w:rsidR="00445859" w:rsidRPr="00CA6F1C">
        <w:rPr>
          <w:lang w:val="en-US"/>
        </w:rPr>
        <w:t xml:space="preserve">existing mechanism to keep those transmissions within the 5 MHz UE bandwidth. </w:t>
      </w:r>
    </w:p>
    <w:p w14:paraId="6A70B9D4" w14:textId="36E469DA" w:rsidR="00CB07E6" w:rsidRPr="00CA6F1C" w:rsidRDefault="0016774B" w:rsidP="00B31755">
      <w:pPr>
        <w:jc w:val="both"/>
        <w:rPr>
          <w:lang w:val="en-US"/>
        </w:rPr>
      </w:pPr>
      <w:r w:rsidRPr="00CA6F1C">
        <w:rPr>
          <w:lang w:val="en-US"/>
        </w:rPr>
        <w:t xml:space="preserve">Based on the coverage evaluations discussed in </w:t>
      </w:r>
      <w:r w:rsidRPr="00CA6F1C">
        <w:rPr>
          <w:lang w:val="en-US"/>
        </w:rPr>
        <w:fldChar w:fldCharType="begin"/>
      </w:r>
      <w:r w:rsidRPr="00CA6F1C">
        <w:rPr>
          <w:lang w:val="en-US"/>
        </w:rPr>
        <w:instrText xml:space="preserve"> REF _Ref111044486 \r \h </w:instrText>
      </w:r>
      <w:r w:rsidR="00CA6F1C">
        <w:rPr>
          <w:lang w:val="en-US"/>
        </w:rPr>
        <w:instrText xml:space="preserve"> \* MERGEFORMAT </w:instrText>
      </w:r>
      <w:r w:rsidRPr="00CA6F1C">
        <w:rPr>
          <w:lang w:val="en-US"/>
        </w:rPr>
      </w:r>
      <w:r w:rsidRPr="00CA6F1C">
        <w:rPr>
          <w:lang w:val="en-US"/>
        </w:rPr>
        <w:fldChar w:fldCharType="separate"/>
      </w:r>
      <w:r w:rsidR="00034224">
        <w:rPr>
          <w:lang w:val="en-US"/>
        </w:rPr>
        <w:t>[2]</w:t>
      </w:r>
      <w:r w:rsidRPr="00CA6F1C">
        <w:rPr>
          <w:lang w:val="en-US"/>
        </w:rPr>
        <w:fldChar w:fldCharType="end"/>
      </w:r>
      <w:r w:rsidRPr="00CA6F1C">
        <w:rPr>
          <w:lang w:val="en-US"/>
        </w:rPr>
        <w:t>, however, there is no need to specify coverage compensation for these channels.</w:t>
      </w:r>
    </w:p>
    <w:p w14:paraId="7ABCEE79" w14:textId="62167D47" w:rsidR="00E327A4" w:rsidRPr="001B74E0" w:rsidRDefault="00E327A4" w:rsidP="00403991">
      <w:pPr>
        <w:pStyle w:val="Heading2"/>
        <w:ind w:hanging="1144"/>
        <w:rPr>
          <w:sz w:val="28"/>
          <w:lang w:val="en-US"/>
        </w:rPr>
      </w:pPr>
      <w:r w:rsidRPr="001C4822">
        <w:rPr>
          <w:sz w:val="28"/>
          <w:lang w:val="en-US"/>
        </w:rPr>
        <w:lastRenderedPageBreak/>
        <w:t>BW</w:t>
      </w:r>
      <w:r>
        <w:rPr>
          <w:sz w:val="28"/>
          <w:lang w:val="en-US"/>
        </w:rPr>
        <w:t>2</w:t>
      </w:r>
      <w:r w:rsidRPr="001C4822">
        <w:rPr>
          <w:sz w:val="28"/>
          <w:lang w:val="en-US"/>
        </w:rPr>
        <w:t xml:space="preserve">: </w:t>
      </w:r>
      <w:r>
        <w:rPr>
          <w:sz w:val="28"/>
          <w:lang w:val="en-US"/>
        </w:rPr>
        <w:t xml:space="preserve">DL/UL - 20 MHz RF, 5 MHz BB </w:t>
      </w:r>
    </w:p>
    <w:p w14:paraId="3D159CE1" w14:textId="5FD6FCB7" w:rsidR="00E327A4" w:rsidRDefault="00E327A4" w:rsidP="00E327A4">
      <w:pPr>
        <w:jc w:val="both"/>
        <w:rPr>
          <w:lang w:val="en-US"/>
        </w:rPr>
      </w:pPr>
      <w:r>
        <w:rPr>
          <w:lang w:val="en-US"/>
        </w:rPr>
        <w:t>In BW</w:t>
      </w:r>
      <w:r w:rsidR="003224CA">
        <w:rPr>
          <w:lang w:val="en-US"/>
        </w:rPr>
        <w:t>2</w:t>
      </w:r>
      <w:r>
        <w:rPr>
          <w:lang w:val="en-US"/>
        </w:rPr>
        <w:t xml:space="preserve">, </w:t>
      </w:r>
      <w:r w:rsidR="003224CA">
        <w:rPr>
          <w:lang w:val="en-US"/>
        </w:rPr>
        <w:t>the</w:t>
      </w:r>
      <w:r>
        <w:rPr>
          <w:lang w:val="en-US"/>
        </w:rPr>
        <w:t xml:space="preserve"> BB </w:t>
      </w:r>
      <w:r w:rsidR="003224CA">
        <w:rPr>
          <w:lang w:val="en-US"/>
        </w:rPr>
        <w:t>is limited</w:t>
      </w:r>
      <w:r>
        <w:rPr>
          <w:lang w:val="en-US"/>
        </w:rPr>
        <w:t xml:space="preserve"> 5 MHz for all channels and signals</w:t>
      </w:r>
      <w:r w:rsidR="003224CA">
        <w:rPr>
          <w:lang w:val="en-US"/>
        </w:rPr>
        <w:t xml:space="preserve"> while the RF is kept at 20 MHz</w:t>
      </w:r>
      <w:r>
        <w:rPr>
          <w:lang w:val="en-US"/>
        </w:rPr>
        <w:t xml:space="preserve">. </w:t>
      </w:r>
      <w:r w:rsidR="003D1825">
        <w:rPr>
          <w:lang w:val="en-US"/>
        </w:rPr>
        <w:t>While the resource allocation spans 5 MHz, t</w:t>
      </w:r>
      <w:r w:rsidR="00682C73">
        <w:rPr>
          <w:lang w:val="en-US"/>
        </w:rPr>
        <w:t xml:space="preserve">his </w:t>
      </w:r>
      <w:r w:rsidR="003D1825">
        <w:rPr>
          <w:lang w:val="en-US"/>
        </w:rPr>
        <w:t xml:space="preserve">option </w:t>
      </w:r>
      <w:r w:rsidR="00682C73">
        <w:rPr>
          <w:lang w:val="en-US"/>
        </w:rPr>
        <w:t>allows the UE to quickly switch from one frequency location to another, and also for the different channels/signals to be located within different parts of the 20 MHz BWP.</w:t>
      </w:r>
      <w:r>
        <w:rPr>
          <w:lang w:val="en-US"/>
        </w:rPr>
        <w:t xml:space="preserve"> </w:t>
      </w:r>
      <w:r w:rsidR="00EB6F8E">
        <w:rPr>
          <w:lang w:val="en-US"/>
        </w:rPr>
        <w:t>Note that the number of contiguous RBs are assumed to be 25 for 15 kHz SCS and 11 for 30 kHz SCS. In addition, the same option is used for DL/UL and for idle/inactive/connected mode.</w:t>
      </w:r>
    </w:p>
    <w:p w14:paraId="01304693" w14:textId="1B293A3A" w:rsidR="00E327A4" w:rsidRPr="00907F26" w:rsidRDefault="0044408A" w:rsidP="00E327A4">
      <w:pPr>
        <w:jc w:val="both"/>
        <w:rPr>
          <w:u w:val="single"/>
          <w:lang w:val="en-US"/>
        </w:rPr>
      </w:pPr>
      <w:r w:rsidRPr="002971DF">
        <w:rPr>
          <w:b/>
          <w:bCs/>
          <w:u w:val="single"/>
          <w:lang w:val="en-US"/>
        </w:rPr>
        <w:t>UE Complexity reduction:</w:t>
      </w:r>
    </w:p>
    <w:p w14:paraId="341018EB" w14:textId="69D7C97C" w:rsidR="00E327A4" w:rsidRDefault="00E327A4" w:rsidP="00E327A4">
      <w:pPr>
        <w:jc w:val="both"/>
        <w:rPr>
          <w:lang w:val="en-US"/>
        </w:rPr>
      </w:pPr>
      <w:r>
        <w:rPr>
          <w:lang w:val="en-US"/>
        </w:rPr>
        <w:t xml:space="preserve">In this case, the baseband bandwidth of the PDSCH and PUSCH was limited to 5 MHz. Because there is no reduction in the RF, complexity of </w:t>
      </w:r>
      <w:r w:rsidR="00EF1FAA">
        <w:rPr>
          <w:lang w:val="en-US"/>
        </w:rPr>
        <w:t xml:space="preserve">RF components, </w:t>
      </w:r>
      <w:r>
        <w:rPr>
          <w:lang w:val="en-US"/>
        </w:rPr>
        <w:t xml:space="preserve">ADC/DAC, </w:t>
      </w:r>
      <w:r w:rsidR="00EF1FAA">
        <w:rPr>
          <w:lang w:val="en-US"/>
        </w:rPr>
        <w:t xml:space="preserve">and </w:t>
      </w:r>
      <w:r>
        <w:rPr>
          <w:lang w:val="en-US"/>
        </w:rPr>
        <w:t xml:space="preserve">FFT/IFFT remains unchanged. </w:t>
      </w:r>
      <w:r>
        <w:rPr>
          <w:lang w:val="en-US"/>
        </w:rPr>
        <w:fldChar w:fldCharType="begin"/>
      </w:r>
      <w:r>
        <w:rPr>
          <w:lang w:val="en-US"/>
        </w:rPr>
        <w:instrText xml:space="preserve"> REF _Ref110244767 \h </w:instrText>
      </w:r>
      <w:r>
        <w:rPr>
          <w:lang w:val="en-US"/>
        </w:rPr>
      </w:r>
      <w:r>
        <w:rPr>
          <w:lang w:val="en-US"/>
        </w:rPr>
        <w:fldChar w:fldCharType="separate"/>
      </w:r>
      <w:r w:rsidR="00034224">
        <w:t xml:space="preserve">Table </w:t>
      </w:r>
      <w:r w:rsidR="00034224">
        <w:rPr>
          <w:noProof/>
        </w:rPr>
        <w:t>3</w:t>
      </w:r>
      <w:r>
        <w:rPr>
          <w:lang w:val="en-US"/>
        </w:rPr>
        <w:fldChar w:fldCharType="end"/>
      </w:r>
      <w:r>
        <w:rPr>
          <w:lang w:val="en-US"/>
        </w:rPr>
        <w:t xml:space="preserve"> provides estimate complexity reduction estimates for various UE configurations.</w:t>
      </w:r>
      <w:r w:rsidR="0046185D">
        <w:rPr>
          <w:lang w:val="en-US"/>
        </w:rPr>
        <w:t xml:space="preserve"> From the table, it is seen that complexity reduction in the order of 17-20% is possible. This complexity reduction is similar to that provided by BW1 option as the only difference is in the ADC/DAC and FFT/IFFT which comprise a small fraction of the total BB cost.</w:t>
      </w:r>
    </w:p>
    <w:p w14:paraId="6898CCF5" w14:textId="2744A3C0" w:rsidR="00E327A4" w:rsidRPr="00A963F0" w:rsidRDefault="00E327A4" w:rsidP="00E327A4">
      <w:pPr>
        <w:pStyle w:val="Caption"/>
        <w:keepNext/>
        <w:jc w:val="center"/>
        <w:rPr>
          <w:lang w:val="en-US"/>
        </w:rPr>
      </w:pPr>
      <w:bookmarkStart w:id="19" w:name="_Ref110244767"/>
      <w:r>
        <w:t xml:space="preserve">Table </w:t>
      </w:r>
      <w:r w:rsidR="00731A2A">
        <w:fldChar w:fldCharType="begin"/>
      </w:r>
      <w:r w:rsidR="00731A2A">
        <w:instrText xml:space="preserve"> SEQ Table \* ARABIC </w:instrText>
      </w:r>
      <w:r w:rsidR="00731A2A">
        <w:fldChar w:fldCharType="separate"/>
      </w:r>
      <w:r w:rsidR="00034224">
        <w:rPr>
          <w:noProof/>
        </w:rPr>
        <w:t>3</w:t>
      </w:r>
      <w:r w:rsidR="00731A2A">
        <w:rPr>
          <w:noProof/>
        </w:rPr>
        <w:fldChar w:fldCharType="end"/>
      </w:r>
      <w:bookmarkEnd w:id="19"/>
      <w:r>
        <w:rPr>
          <w:lang w:val="en-US"/>
        </w:rPr>
        <w:t>. C</w:t>
      </w:r>
      <w:r w:rsidRPr="00A963F0">
        <w:rPr>
          <w:lang w:val="en-US"/>
        </w:rPr>
        <w:t>omplexity reduction estimat</w:t>
      </w:r>
      <w:r>
        <w:rPr>
          <w:lang w:val="en-US"/>
        </w:rPr>
        <w:t>es</w:t>
      </w:r>
      <w:r w:rsidRPr="00A963F0">
        <w:rPr>
          <w:lang w:val="en-US"/>
        </w:rPr>
        <w:t xml:space="preserve"> </w:t>
      </w:r>
      <w:r>
        <w:rPr>
          <w:lang w:val="en-US"/>
        </w:rPr>
        <w:t>for BW2</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E327A4" w:rsidRPr="004C0C03" w14:paraId="6ACE686A"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FBB353" w14:textId="77777777" w:rsidR="00E327A4" w:rsidRPr="004C0C03" w:rsidRDefault="00E327A4"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B1B50EA"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61FC1213"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E4E407D"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B0CD03B"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59D3295"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AAA8573" w14:textId="77777777" w:rsidR="00E327A4" w:rsidRPr="004C0C03" w:rsidRDefault="00E327A4"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E327A4" w:rsidRPr="004C0C03" w14:paraId="5187F973"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0B8889F8" w14:textId="77777777" w:rsidR="00E327A4" w:rsidRPr="004C0C03" w:rsidRDefault="00E327A4" w:rsidP="007867CB">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021B275"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7C7F14A"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C80AC54"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F5FE382"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CA7FFFE"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4148039"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E327A4" w:rsidRPr="004C0C03" w14:paraId="69672BA7" w14:textId="77777777" w:rsidTr="007867CB">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68799C99" w14:textId="77777777" w:rsidR="00E327A4" w:rsidRPr="004C0C03" w:rsidRDefault="00E327A4" w:rsidP="007867CB">
            <w:pPr>
              <w:overflowPunct/>
              <w:autoSpaceDE/>
              <w:autoSpaceDN/>
              <w:adjustRightInd/>
              <w:spacing w:after="0"/>
              <w:textAlignment w:val="auto"/>
              <w:rPr>
                <w:rFonts w:eastAsia="Times New Roman"/>
                <w:lang w:val="en-US"/>
              </w:rPr>
            </w:pPr>
            <w:r w:rsidRPr="004C0C03">
              <w:rPr>
                <w:rFonts w:eastAsia="Times New Roman"/>
                <w:lang w:val="en-US"/>
              </w:rPr>
              <w:t>BW</w:t>
            </w:r>
            <w:r>
              <w:rPr>
                <w:rFonts w:eastAsia="Times New Roman"/>
                <w:lang w:val="en-US"/>
              </w:rPr>
              <w:t>2</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C798209"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38.15%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7C7E4EAF"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31.75%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49D915A"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24.40%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7BDDF43F"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56.00%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0CF00AD4"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49.60%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FDC16E4" w14:textId="77777777" w:rsidR="00E327A4" w:rsidRPr="004C0C03" w:rsidRDefault="00E327A4" w:rsidP="007867CB">
            <w:pPr>
              <w:overflowPunct/>
              <w:autoSpaceDE/>
              <w:autoSpaceDN/>
              <w:adjustRightInd/>
              <w:spacing w:after="0"/>
              <w:jc w:val="right"/>
              <w:textAlignment w:val="auto"/>
              <w:rPr>
                <w:rFonts w:eastAsia="Times New Roman"/>
                <w:lang w:val="en-US"/>
              </w:rPr>
            </w:pPr>
            <w:r w:rsidRPr="004C0C03">
              <w:rPr>
                <w:rFonts w:eastAsia="Times New Roman"/>
                <w:lang w:val="en-US"/>
              </w:rPr>
              <w:t>34.91%</w:t>
            </w:r>
          </w:p>
        </w:tc>
      </w:tr>
      <w:tr w:rsidR="006765FF" w:rsidRPr="004C0C03" w14:paraId="6C978F85" w14:textId="77777777" w:rsidTr="007867CB">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36028534" w14:textId="77777777" w:rsidR="006765FF" w:rsidRPr="004C0C03" w:rsidRDefault="006765FF" w:rsidP="006765FF">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19BCE613"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-17.0%</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ED313A2"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-19.7%</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2A5188E"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-17.6%</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2ABA5E1"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-18.5%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E07553F"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-20.4%</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A5E3EAE" w14:textId="77777777" w:rsidR="006765FF" w:rsidRPr="004C0C03" w:rsidRDefault="006765FF" w:rsidP="006765FF">
            <w:pPr>
              <w:overflowPunct/>
              <w:autoSpaceDE/>
              <w:autoSpaceDN/>
              <w:adjustRightInd/>
              <w:spacing w:after="0"/>
              <w:jc w:val="right"/>
              <w:textAlignment w:val="auto"/>
              <w:rPr>
                <w:rFonts w:eastAsia="Times New Roman"/>
                <w:lang w:val="en-US"/>
              </w:rPr>
            </w:pPr>
            <w:r w:rsidRPr="004C0C03">
              <w:rPr>
                <w:rFonts w:eastAsia="Times New Roman"/>
                <w:lang w:val="en-US"/>
              </w:rPr>
              <w:t>-18.4%</w:t>
            </w:r>
          </w:p>
        </w:tc>
      </w:tr>
    </w:tbl>
    <w:p w14:paraId="0D69DA41" w14:textId="77777777" w:rsidR="00E327A4" w:rsidRDefault="00E327A4" w:rsidP="00E327A4">
      <w:pPr>
        <w:jc w:val="both"/>
        <w:rPr>
          <w:u w:val="single"/>
          <w:lang w:val="en-US"/>
        </w:rPr>
      </w:pPr>
    </w:p>
    <w:p w14:paraId="609812FB" w14:textId="77777777" w:rsidR="002F2E80" w:rsidRDefault="002F2E80" w:rsidP="00E327A4">
      <w:pPr>
        <w:jc w:val="both"/>
        <w:rPr>
          <w:b/>
          <w:bCs/>
          <w:u w:val="single"/>
          <w:lang w:val="en-US"/>
        </w:rPr>
      </w:pPr>
      <w:r w:rsidRPr="002971DF">
        <w:rPr>
          <w:b/>
          <w:bCs/>
          <w:u w:val="single"/>
          <w:lang w:val="en-US"/>
        </w:rPr>
        <w:t>Performance impact</w:t>
      </w:r>
      <w:r>
        <w:rPr>
          <w:b/>
          <w:bCs/>
          <w:u w:val="single"/>
          <w:lang w:val="en-US"/>
        </w:rPr>
        <w:t>:</w:t>
      </w:r>
    </w:p>
    <w:p w14:paraId="30E6A9AF" w14:textId="451D12DB" w:rsidR="00E327A4" w:rsidRPr="00D92EE7" w:rsidRDefault="00E327A4" w:rsidP="00E327A4">
      <w:pPr>
        <w:jc w:val="both"/>
        <w:rPr>
          <w:i/>
          <w:iCs/>
          <w:u w:val="single"/>
          <w:lang w:val="en-US"/>
        </w:rPr>
      </w:pPr>
      <w:r w:rsidRPr="00D92EE7">
        <w:rPr>
          <w:i/>
          <w:iCs/>
          <w:u w:val="single"/>
          <w:lang w:val="en-US"/>
        </w:rPr>
        <w:t>Coverage analysis</w:t>
      </w:r>
    </w:p>
    <w:p w14:paraId="0AAFFB50" w14:textId="68B3C8F0" w:rsidR="00E327A4" w:rsidRDefault="00B66A84" w:rsidP="00E327A4">
      <w:pPr>
        <w:jc w:val="both"/>
        <w:rPr>
          <w:lang w:val="en-US"/>
        </w:rPr>
      </w:pPr>
      <w:r>
        <w:rPr>
          <w:lang w:val="en-US"/>
        </w:rPr>
        <w:t xml:space="preserve">Coverage analysis is similar to that of BW1. </w:t>
      </w:r>
      <w:r w:rsidRPr="00CA6F1C">
        <w:rPr>
          <w:lang w:val="en-US"/>
        </w:rPr>
        <w:t xml:space="preserve">Based on the coverage evaluations discussed in </w:t>
      </w:r>
      <w:r w:rsidRPr="00CA6F1C">
        <w:rPr>
          <w:lang w:val="en-US"/>
        </w:rPr>
        <w:fldChar w:fldCharType="begin"/>
      </w:r>
      <w:r w:rsidRPr="00CA6F1C">
        <w:rPr>
          <w:lang w:val="en-US"/>
        </w:rPr>
        <w:instrText xml:space="preserve"> REF _Ref111044486 \r \h </w:instrText>
      </w:r>
      <w:r>
        <w:rPr>
          <w:lang w:val="en-US"/>
        </w:rPr>
        <w:instrText xml:space="preserve"> \* MERGEFORMAT </w:instrText>
      </w:r>
      <w:r w:rsidRPr="00CA6F1C">
        <w:rPr>
          <w:lang w:val="en-US"/>
        </w:rPr>
      </w:r>
      <w:r w:rsidRPr="00CA6F1C">
        <w:rPr>
          <w:lang w:val="en-US"/>
        </w:rPr>
        <w:fldChar w:fldCharType="separate"/>
      </w:r>
      <w:r>
        <w:rPr>
          <w:lang w:val="en-US"/>
        </w:rPr>
        <w:t>[2]</w:t>
      </w:r>
      <w:r w:rsidRPr="00CA6F1C">
        <w:rPr>
          <w:lang w:val="en-US"/>
        </w:rPr>
        <w:fldChar w:fldCharType="end"/>
      </w:r>
      <w:r w:rsidRPr="00CA6F1C">
        <w:rPr>
          <w:lang w:val="en-US"/>
        </w:rPr>
        <w:t xml:space="preserve">, </w:t>
      </w:r>
      <w:r>
        <w:rPr>
          <w:lang w:val="en-US"/>
        </w:rPr>
        <w:t>there is no coverage issue with this option</w:t>
      </w:r>
      <w:r w:rsidRPr="00CA6F1C">
        <w:rPr>
          <w:lang w:val="en-US"/>
        </w:rPr>
        <w:t>.</w:t>
      </w:r>
      <w:r>
        <w:rPr>
          <w:lang w:val="en-US"/>
        </w:rPr>
        <w:t xml:space="preserve"> </w:t>
      </w:r>
    </w:p>
    <w:p w14:paraId="1C48F4E5" w14:textId="4F82C872" w:rsidR="00E327A4" w:rsidRDefault="00E327A4" w:rsidP="00E327A4">
      <w:pPr>
        <w:jc w:val="both"/>
        <w:rPr>
          <w:lang w:val="en-US"/>
        </w:rPr>
      </w:pPr>
      <w:r>
        <w:rPr>
          <w:lang w:val="en-US"/>
        </w:rPr>
        <w:t xml:space="preserve">For the PUSCH, </w:t>
      </w:r>
      <w:r>
        <w:rPr>
          <w:rFonts w:eastAsia="MS Mincho"/>
          <w:lang w:val="en-US" w:eastAsia="ja-JP"/>
        </w:rPr>
        <w:t>reducing the bandwidth has no impact to coverage</w:t>
      </w:r>
      <w:r w:rsidR="00887C73">
        <w:rPr>
          <w:rFonts w:eastAsia="MS Mincho"/>
          <w:lang w:val="en-US" w:eastAsia="ja-JP"/>
        </w:rPr>
        <w:t xml:space="preserve"> </w:t>
      </w:r>
      <w:r w:rsidR="00887C73" w:rsidRPr="00EA626E">
        <w:rPr>
          <w:rFonts w:eastAsia="MS Mincho"/>
          <w:lang w:val="en-US" w:eastAsia="ja-JP"/>
        </w:rPr>
        <w:t>for the same t</w:t>
      </w:r>
      <w:r w:rsidR="001303EA" w:rsidRPr="00EA626E">
        <w:rPr>
          <w:rFonts w:eastAsia="MS Mincho"/>
          <w:lang w:val="en-US" w:eastAsia="ja-JP"/>
        </w:rPr>
        <w:t>arget data rate</w:t>
      </w:r>
      <w:r w:rsidRPr="00EA626E">
        <w:rPr>
          <w:rFonts w:eastAsia="MS Mincho"/>
          <w:lang w:val="en-US" w:eastAsia="ja-JP"/>
        </w:rPr>
        <w:t>. This is because UEs in coverage-limited UEs are assigned very small number of PRBs in orde</w:t>
      </w:r>
      <w:r>
        <w:rPr>
          <w:rFonts w:eastAsia="MS Mincho"/>
          <w:lang w:val="en-US" w:eastAsia="ja-JP"/>
        </w:rPr>
        <w:t>r to maximum the power spectral density and reduce impact to system spectral efficiency.</w:t>
      </w:r>
    </w:p>
    <w:p w14:paraId="35E7BDF3" w14:textId="030AF9EA" w:rsidR="00E327A4" w:rsidRDefault="00E327A4" w:rsidP="00E327A4">
      <w:pPr>
        <w:jc w:val="both"/>
        <w:rPr>
          <w:rFonts w:eastAsia="MS Mincho"/>
          <w:lang w:val="en-US" w:eastAsia="ja-JP"/>
        </w:rPr>
      </w:pPr>
      <w:r>
        <w:rPr>
          <w:lang w:val="en-US"/>
        </w:rPr>
        <w:t xml:space="preserve">For the PDSCH, reducing the UE bandwidth may result in some coverage loss if existing broadcast signals cannot be transmitted within the reduced bandwidth. </w:t>
      </w:r>
      <w:r w:rsidR="001F48F9">
        <w:rPr>
          <w:lang w:val="en-US"/>
        </w:rPr>
        <w:t>Based on the coverage evaluations for BW1, however, the coverage loss is small enough that system coverage is not affected.</w:t>
      </w:r>
    </w:p>
    <w:p w14:paraId="166ED511" w14:textId="77777777" w:rsidR="00E327A4" w:rsidRPr="00D92EE7" w:rsidRDefault="00E327A4" w:rsidP="00E327A4">
      <w:pPr>
        <w:jc w:val="both"/>
        <w:rPr>
          <w:i/>
          <w:iCs/>
          <w:u w:val="single"/>
          <w:lang w:val="en-US"/>
        </w:rPr>
      </w:pPr>
      <w:r w:rsidRPr="00D92EE7">
        <w:rPr>
          <w:i/>
          <w:iCs/>
          <w:u w:val="single"/>
          <w:lang w:val="en-US"/>
        </w:rPr>
        <w:t>Cell spectral efficiency analysis</w:t>
      </w:r>
    </w:p>
    <w:p w14:paraId="34F0B316" w14:textId="01B6DD7C" w:rsidR="00E327A4" w:rsidRDefault="64B9086A" w:rsidP="41F7129E">
      <w:pPr>
        <w:jc w:val="both"/>
        <w:rPr>
          <w:lang w:val="en-US"/>
        </w:rPr>
      </w:pPr>
      <w:r>
        <w:rPr>
          <w:lang w:val="en-US"/>
        </w:rPr>
        <w:t xml:space="preserve">The loss in spectral efficiency would be similar but smaller than those shown in Section </w:t>
      </w:r>
      <w:r w:rsidR="00E327A4">
        <w:rPr>
          <w:lang w:val="en-US"/>
        </w:rPr>
        <w:fldChar w:fldCharType="begin"/>
      </w:r>
      <w:r w:rsidR="00E327A4">
        <w:rPr>
          <w:lang w:val="en-US"/>
        </w:rPr>
        <w:instrText xml:space="preserve"> REF _Ref101872539 \n \h </w:instrText>
      </w:r>
      <w:r w:rsidR="00E327A4">
        <w:rPr>
          <w:lang w:val="en-US"/>
        </w:rPr>
      </w:r>
      <w:r w:rsidR="00E327A4">
        <w:rPr>
          <w:lang w:val="en-US"/>
        </w:rPr>
        <w:fldChar w:fldCharType="separate"/>
      </w:r>
      <w:r w:rsidR="00034224">
        <w:rPr>
          <w:lang w:val="en-US"/>
        </w:rPr>
        <w:t>2.1</w:t>
      </w:r>
      <w:r w:rsidR="00E327A4">
        <w:rPr>
          <w:lang w:val="en-US"/>
        </w:rPr>
        <w:fldChar w:fldCharType="end"/>
      </w:r>
      <w:r>
        <w:rPr>
          <w:lang w:val="en-US"/>
        </w:rPr>
        <w:t xml:space="preserve">. This is because if only the baseband is limited to 5 MHz, the UE can be scheduled anywhere within the 20 MHz BWP provided the total frequency allocation does not span beyond 5 MHz. In addition, </w:t>
      </w:r>
      <w:r w:rsidR="41F7129E" w:rsidRPr="41F7129E">
        <w:rPr>
          <w:lang w:val="en-US"/>
        </w:rPr>
        <w:t xml:space="preserve">when the BB bandwidth is reduced to 5 MHz while maintaining 20 MHz RF bandwidth, </w:t>
      </w:r>
      <w:r>
        <w:rPr>
          <w:lang w:val="en-US"/>
        </w:rPr>
        <w:t>frequency hopping would also be possible</w:t>
      </w:r>
      <w:r w:rsidRPr="6A5EEDBA">
        <w:rPr>
          <w:lang w:val="en-US"/>
        </w:rPr>
        <w:t>,</w:t>
      </w:r>
      <w:r w:rsidR="739113CA" w:rsidRPr="6A5EEDBA">
        <w:rPr>
          <w:lang w:val="en-US"/>
        </w:rPr>
        <w:t xml:space="preserve"> therefore reducing</w:t>
      </w:r>
      <w:r>
        <w:rPr>
          <w:lang w:val="en-US"/>
        </w:rPr>
        <w:t xml:space="preserve"> the impact from loss of frequency </w:t>
      </w:r>
      <w:r w:rsidR="739113CA" w:rsidRPr="6A5EEDBA">
        <w:rPr>
          <w:lang w:val="en-US"/>
        </w:rPr>
        <w:t xml:space="preserve">diversity and </w:t>
      </w:r>
      <w:r w:rsidR="41F7129E" w:rsidRPr="41F7129E">
        <w:rPr>
          <w:lang w:val="en-US"/>
        </w:rPr>
        <w:t>improving cell spectral efficiency.</w:t>
      </w:r>
    </w:p>
    <w:p w14:paraId="11131887" w14:textId="77777777" w:rsidR="00E327A4" w:rsidRPr="00D92EE7" w:rsidRDefault="00E327A4" w:rsidP="00E327A4">
      <w:pPr>
        <w:jc w:val="both"/>
        <w:rPr>
          <w:i/>
          <w:iCs/>
          <w:u w:val="single"/>
          <w:lang w:val="en-US"/>
        </w:rPr>
      </w:pPr>
      <w:r w:rsidRPr="00D92EE7">
        <w:rPr>
          <w:i/>
          <w:iCs/>
          <w:u w:val="single"/>
          <w:lang w:val="en-US"/>
        </w:rPr>
        <w:t>Power consumption analysis</w:t>
      </w:r>
    </w:p>
    <w:p w14:paraId="24A0BC1A" w14:textId="4767E6EA" w:rsidR="00E327A4" w:rsidRDefault="00E327A4" w:rsidP="00E327A4">
      <w:pPr>
        <w:jc w:val="both"/>
        <w:rPr>
          <w:lang w:val="en-US"/>
        </w:rPr>
      </w:pPr>
      <w:r>
        <w:rPr>
          <w:lang w:val="en-US"/>
        </w:rPr>
        <w:t>Power consumption may be reduced for bandwidth limited UE due to lower power consumption in the baseband unit. In this case, however, power consumption reduction may be small especially if the PDCCH continues to be operated using wider bandwidth. This of course depends on the traffic model. In case of infrequent data transmission/reception, power consumption may be dominated by control channel monitoring and measurements. In this case, power saving may be small if the PDCCH is not reduced in bandwidth.</w:t>
      </w:r>
    </w:p>
    <w:p w14:paraId="78C40237" w14:textId="45ACAA21" w:rsidR="00EE2485" w:rsidRPr="00D92EE7" w:rsidRDefault="00EE2485" w:rsidP="00EE2485">
      <w:pPr>
        <w:jc w:val="both"/>
        <w:rPr>
          <w:i/>
          <w:iCs/>
          <w:u w:val="single"/>
          <w:lang w:val="en-US"/>
        </w:rPr>
      </w:pPr>
      <w:r>
        <w:rPr>
          <w:i/>
          <w:iCs/>
          <w:u w:val="single"/>
          <w:lang w:val="en-US"/>
        </w:rPr>
        <w:t xml:space="preserve">Latency </w:t>
      </w:r>
      <w:r w:rsidRPr="00D92EE7">
        <w:rPr>
          <w:i/>
          <w:iCs/>
          <w:u w:val="single"/>
          <w:lang w:val="en-US"/>
        </w:rPr>
        <w:t>analysis</w:t>
      </w:r>
    </w:p>
    <w:p w14:paraId="6058B1DF" w14:textId="3089197B" w:rsidR="00AD5C3B" w:rsidRDefault="00A84B4D" w:rsidP="00AD5C3B">
      <w:pPr>
        <w:jc w:val="both"/>
        <w:rPr>
          <w:lang w:val="en-US"/>
        </w:rPr>
      </w:pPr>
      <w:r>
        <w:rPr>
          <w:lang w:val="en-US"/>
        </w:rPr>
        <w:lastRenderedPageBreak/>
        <w:t>Reducing the bandwidth and therefore the peak data rates will increase latency for some UEs (typically those with good SNR)</w:t>
      </w:r>
      <w:r w:rsidR="00AD5C3B">
        <w:rPr>
          <w:lang w:val="en-US"/>
        </w:rPr>
        <w:t xml:space="preserve">. However, it is expected that the latency considered in Rel-17 RedCap (i.e. </w:t>
      </w:r>
      <w:r w:rsidR="00AD5C3B" w:rsidRPr="002C4A15">
        <w:t>end-to-end latency less than 100 ms</w:t>
      </w:r>
      <w:r w:rsidR="00AD5C3B">
        <w:t xml:space="preserve"> for industrial sensor and 5-10ms for </w:t>
      </w:r>
      <w:r w:rsidR="00AD5C3B" w:rsidRPr="0034101B">
        <w:t>safety related sensors</w:t>
      </w:r>
      <w:r w:rsidR="00AD5C3B">
        <w:rPr>
          <w:lang w:val="en-US"/>
        </w:rPr>
        <w:t>) can still be met.</w:t>
      </w:r>
    </w:p>
    <w:p w14:paraId="455CE8BE" w14:textId="024C5788" w:rsidR="00E327A4" w:rsidRPr="00907F26" w:rsidRDefault="00262FB6" w:rsidP="00E327A4">
      <w:pPr>
        <w:jc w:val="both"/>
        <w:rPr>
          <w:u w:val="single"/>
          <w:lang w:val="en-US"/>
        </w:rPr>
      </w:pPr>
      <w:r w:rsidRPr="009445E0">
        <w:rPr>
          <w:b/>
          <w:bCs/>
          <w:u w:val="single"/>
          <w:lang w:val="en-US" w:eastAsia="zh-CN"/>
        </w:rPr>
        <w:t>Network deployment and coexistence impact:</w:t>
      </w:r>
    </w:p>
    <w:p w14:paraId="18599CD0" w14:textId="77777777" w:rsidR="00E327A4" w:rsidRPr="008C4739" w:rsidRDefault="00E327A4" w:rsidP="00E327A4">
      <w:pPr>
        <w:jc w:val="both"/>
        <w:rPr>
          <w:lang w:val="en-US"/>
        </w:rPr>
      </w:pPr>
      <w:r>
        <w:rPr>
          <w:lang w:val="en-US"/>
        </w:rPr>
        <w:t>No coexistence issue with Rel-17 RedCap and NR UEs is expected. Rel-18 RedCap UE can support the same channels and signals, and the 5 MHz baseband limitations may be implemented by the scheduler. In addition, Rel-18 RedCap UE may share the same BWP as Rel-17 RedCap UE (i.e. up to 20 MHz).</w:t>
      </w:r>
    </w:p>
    <w:p w14:paraId="40E19E98" w14:textId="75A58C01" w:rsidR="00E327A4" w:rsidRDefault="001F1587" w:rsidP="00E327A4">
      <w:pPr>
        <w:jc w:val="both"/>
        <w:rPr>
          <w:u w:val="single"/>
          <w:lang w:val="en-US"/>
        </w:rPr>
      </w:pPr>
      <w:r w:rsidRPr="002971DF">
        <w:rPr>
          <w:b/>
          <w:bCs/>
          <w:u w:val="single"/>
          <w:lang w:val="en-US"/>
        </w:rPr>
        <w:t>Specification impact:</w:t>
      </w:r>
    </w:p>
    <w:p w14:paraId="2A8E0E8D" w14:textId="37607563" w:rsidR="00E327A4" w:rsidRDefault="00E327A4" w:rsidP="00E327A4">
      <w:pPr>
        <w:jc w:val="both"/>
        <w:rPr>
          <w:rFonts w:eastAsia="MS Mincho"/>
          <w:lang w:val="en-US" w:eastAsia="ja-JP"/>
        </w:rPr>
      </w:pPr>
      <w:r>
        <w:rPr>
          <w:rFonts w:eastAsia="MS Mincho"/>
          <w:lang w:val="en-US" w:eastAsia="ja-JP"/>
        </w:rPr>
        <w:t xml:space="preserve">RAN1 specification impact is </w:t>
      </w:r>
      <w:r w:rsidR="00302409">
        <w:rPr>
          <w:rFonts w:eastAsia="MS Mincho"/>
          <w:lang w:val="en-US" w:eastAsia="ja-JP"/>
        </w:rPr>
        <w:t xml:space="preserve">expected to be </w:t>
      </w:r>
      <w:r w:rsidR="00B04E8B">
        <w:rPr>
          <w:rFonts w:eastAsia="MS Mincho"/>
          <w:lang w:val="en-US" w:eastAsia="ja-JP"/>
        </w:rPr>
        <w:t>the same as for option BW1</w:t>
      </w:r>
      <w:r>
        <w:rPr>
          <w:rFonts w:eastAsia="MS Mincho"/>
          <w:lang w:val="en-US" w:eastAsia="ja-JP"/>
        </w:rPr>
        <w:t>.</w:t>
      </w:r>
    </w:p>
    <w:p w14:paraId="6B533BD7" w14:textId="77777777" w:rsidR="0055492A" w:rsidRDefault="0055492A" w:rsidP="0055492A">
      <w:pPr>
        <w:pStyle w:val="Heading2"/>
        <w:ind w:left="567" w:hanging="567"/>
        <w:rPr>
          <w:sz w:val="28"/>
          <w:lang w:val="en-US"/>
        </w:rPr>
      </w:pPr>
      <w:r w:rsidRPr="001C4822">
        <w:rPr>
          <w:sz w:val="28"/>
          <w:lang w:val="en-US"/>
        </w:rPr>
        <w:t>BW</w:t>
      </w:r>
      <w:r>
        <w:rPr>
          <w:sz w:val="28"/>
          <w:lang w:val="en-US"/>
        </w:rPr>
        <w:t>3</w:t>
      </w:r>
      <w:r w:rsidRPr="001C4822">
        <w:rPr>
          <w:sz w:val="28"/>
          <w:lang w:val="en-US"/>
        </w:rPr>
        <w:t xml:space="preserve">: </w:t>
      </w:r>
      <w:r>
        <w:rPr>
          <w:sz w:val="28"/>
          <w:lang w:val="en-US"/>
        </w:rPr>
        <w:t xml:space="preserve">PDSCH/PUSCH </w:t>
      </w:r>
      <w:r w:rsidR="00DE20DE">
        <w:rPr>
          <w:sz w:val="28"/>
          <w:lang w:val="en-US"/>
        </w:rPr>
        <w:t>- 20 MHz RF, 5 MHz BB</w:t>
      </w:r>
      <w:r>
        <w:rPr>
          <w:sz w:val="28"/>
          <w:lang w:val="en-US"/>
        </w:rPr>
        <w:t xml:space="preserve">, other channels </w:t>
      </w:r>
      <w:r w:rsidR="00DE20DE">
        <w:rPr>
          <w:sz w:val="28"/>
          <w:lang w:val="en-US"/>
        </w:rPr>
        <w:t>- 20 MHz RF/BB</w:t>
      </w:r>
      <w:r>
        <w:rPr>
          <w:sz w:val="28"/>
          <w:lang w:val="en-US"/>
        </w:rPr>
        <w:t xml:space="preserve"> </w:t>
      </w:r>
    </w:p>
    <w:p w14:paraId="1BEC8845" w14:textId="7015D887" w:rsidR="00A042D1" w:rsidRDefault="000728C1" w:rsidP="00A042D1">
      <w:pPr>
        <w:jc w:val="both"/>
        <w:rPr>
          <w:lang w:val="en-US"/>
        </w:rPr>
      </w:pPr>
      <w:r>
        <w:rPr>
          <w:lang w:val="en-US"/>
        </w:rPr>
        <w:t xml:space="preserve">In </w:t>
      </w:r>
      <w:r w:rsidR="00EB7180">
        <w:rPr>
          <w:lang w:val="en-US"/>
        </w:rPr>
        <w:t>BW3</w:t>
      </w:r>
      <w:r>
        <w:rPr>
          <w:lang w:val="en-US"/>
        </w:rPr>
        <w:t xml:space="preserve">, the data channels (PDSCH and PUSCH) are limited to </w:t>
      </w:r>
      <w:r w:rsidR="0055492A">
        <w:rPr>
          <w:lang w:val="en-US"/>
        </w:rPr>
        <w:t>5 MHz</w:t>
      </w:r>
      <w:r>
        <w:rPr>
          <w:lang w:val="en-US"/>
        </w:rPr>
        <w:t xml:space="preserve"> in the baseband (i.e. 5 MHz in contiguously assigned PRBs) </w:t>
      </w:r>
      <w:r w:rsidR="0055492A">
        <w:rPr>
          <w:lang w:val="en-US"/>
        </w:rPr>
        <w:t xml:space="preserve">while keeping the RF at 20 MHz. </w:t>
      </w:r>
      <w:r>
        <w:rPr>
          <w:lang w:val="en-US"/>
        </w:rPr>
        <w:t xml:space="preserve">All the other channels can use 20 MHz RF + BB. </w:t>
      </w:r>
      <w:r w:rsidR="0055492A">
        <w:rPr>
          <w:lang w:val="en-US"/>
        </w:rPr>
        <w:t xml:space="preserve">In this case, there is no impact to SSB, CORESET#0 and PDCCH as they can continue to use the full 20 MHz available to Rel-17 RedCap UE. </w:t>
      </w:r>
      <w:r w:rsidR="00EB6F8E">
        <w:rPr>
          <w:lang w:val="en-US"/>
        </w:rPr>
        <w:t>Note that the number of contiguous RBs are assumed to be 25 for 15 kHz SCS and 11 for 30 kHz SCS. In addition, the same option is used for DL/UL and for idle/inactive/connected mode.</w:t>
      </w:r>
    </w:p>
    <w:p w14:paraId="6C56D819" w14:textId="2B3704C5" w:rsidR="0055492A" w:rsidRPr="00907F26" w:rsidRDefault="0044408A" w:rsidP="0055492A">
      <w:pPr>
        <w:jc w:val="both"/>
        <w:rPr>
          <w:u w:val="single"/>
          <w:lang w:val="en-US"/>
        </w:rPr>
      </w:pPr>
      <w:r w:rsidRPr="002971DF">
        <w:rPr>
          <w:b/>
          <w:bCs/>
          <w:u w:val="single"/>
          <w:lang w:val="en-US"/>
        </w:rPr>
        <w:t>UE Complexity reduction:</w:t>
      </w:r>
    </w:p>
    <w:p w14:paraId="5AAD38C8" w14:textId="7A72C659" w:rsidR="0055492A" w:rsidRDefault="0055492A" w:rsidP="0055492A">
      <w:pPr>
        <w:jc w:val="both"/>
        <w:rPr>
          <w:lang w:val="en-US"/>
        </w:rPr>
      </w:pPr>
      <w:r>
        <w:rPr>
          <w:lang w:val="en-US"/>
        </w:rPr>
        <w:t>In this case</w:t>
      </w:r>
      <w:r w:rsidR="004A6FD8">
        <w:rPr>
          <w:lang w:val="en-US"/>
        </w:rPr>
        <w:t xml:space="preserve">, since </w:t>
      </w:r>
      <w:r>
        <w:rPr>
          <w:lang w:val="en-US"/>
        </w:rPr>
        <w:t xml:space="preserve">there is no reduction in the RF, </w:t>
      </w:r>
      <w:r w:rsidR="004A6FD8">
        <w:rPr>
          <w:lang w:val="en-US"/>
        </w:rPr>
        <w:t xml:space="preserve">the </w:t>
      </w:r>
      <w:r>
        <w:rPr>
          <w:lang w:val="en-US"/>
        </w:rPr>
        <w:t xml:space="preserve">complexity of </w:t>
      </w:r>
      <w:r w:rsidR="004A6FD8">
        <w:rPr>
          <w:lang w:val="en-US"/>
        </w:rPr>
        <w:t xml:space="preserve">RF components, </w:t>
      </w:r>
      <w:r>
        <w:rPr>
          <w:lang w:val="en-US"/>
        </w:rPr>
        <w:t>ADC/DAC, FFT/IFFT remains unchanged.</w:t>
      </w:r>
      <w:r w:rsidR="004A6FD8">
        <w:rPr>
          <w:lang w:val="en-US"/>
        </w:rPr>
        <w:t xml:space="preserve"> Components related to baseband processing of the data channels (e.g. received processing block, encoding/decoding, etc.) were reduced. </w:t>
      </w:r>
      <w:r w:rsidR="004A6FD8">
        <w:rPr>
          <w:lang w:val="en-US"/>
        </w:rPr>
        <w:fldChar w:fldCharType="begin"/>
      </w:r>
      <w:r w:rsidR="004A6FD8">
        <w:rPr>
          <w:lang w:val="en-US"/>
        </w:rPr>
        <w:instrText xml:space="preserve"> REF _Ref110246918 \h </w:instrText>
      </w:r>
      <w:r w:rsidR="004A6FD8">
        <w:rPr>
          <w:lang w:val="en-US"/>
        </w:rPr>
      </w:r>
      <w:r w:rsidR="004A6FD8">
        <w:rPr>
          <w:lang w:val="en-US"/>
        </w:rPr>
        <w:fldChar w:fldCharType="separate"/>
      </w:r>
      <w:r w:rsidR="00034224">
        <w:t xml:space="preserve">Table </w:t>
      </w:r>
      <w:r w:rsidR="00034224">
        <w:rPr>
          <w:noProof/>
        </w:rPr>
        <w:t>4</w:t>
      </w:r>
      <w:r w:rsidR="004A6FD8">
        <w:rPr>
          <w:lang w:val="en-US"/>
        </w:rPr>
        <w:fldChar w:fldCharType="end"/>
      </w:r>
      <w:r w:rsidR="004A6FD8">
        <w:rPr>
          <w:lang w:val="en-US"/>
        </w:rPr>
        <w:t xml:space="preserve"> provides estimate complexity reduction estimates for various UE configurations. From the table, it can be seen that complexity reduction in the order of 13-17% is possible.</w:t>
      </w:r>
    </w:p>
    <w:p w14:paraId="42683AAE" w14:textId="727E9BDD" w:rsidR="00C67470" w:rsidRPr="00A963F0" w:rsidRDefault="00C67470" w:rsidP="00C67470">
      <w:pPr>
        <w:pStyle w:val="Caption"/>
        <w:keepNext/>
        <w:jc w:val="center"/>
        <w:rPr>
          <w:lang w:val="en-US"/>
        </w:rPr>
      </w:pPr>
      <w:bookmarkStart w:id="20" w:name="_Ref110246918"/>
      <w:r>
        <w:t xml:space="preserve">Table </w:t>
      </w:r>
      <w:r w:rsidR="00731A2A">
        <w:fldChar w:fldCharType="begin"/>
      </w:r>
      <w:r w:rsidR="00731A2A">
        <w:instrText xml:space="preserve"> SEQ Table \* ARABIC </w:instrText>
      </w:r>
      <w:r w:rsidR="00731A2A">
        <w:fldChar w:fldCharType="separate"/>
      </w:r>
      <w:r w:rsidR="00034224">
        <w:rPr>
          <w:noProof/>
        </w:rPr>
        <w:t>4</w:t>
      </w:r>
      <w:r w:rsidR="00731A2A">
        <w:rPr>
          <w:noProof/>
        </w:rPr>
        <w:fldChar w:fldCharType="end"/>
      </w:r>
      <w:bookmarkEnd w:id="20"/>
      <w:r>
        <w:rPr>
          <w:lang w:val="en-US"/>
        </w:rPr>
        <w:t>. C</w:t>
      </w:r>
      <w:r w:rsidRPr="00A963F0">
        <w:rPr>
          <w:lang w:val="en-US"/>
        </w:rPr>
        <w:t>omplexity reduction estimat</w:t>
      </w:r>
      <w:r>
        <w:rPr>
          <w:lang w:val="en-US"/>
        </w:rPr>
        <w:t>es</w:t>
      </w:r>
      <w:r w:rsidRPr="00A963F0">
        <w:rPr>
          <w:lang w:val="en-US"/>
        </w:rPr>
        <w:t xml:space="preserve"> </w:t>
      </w:r>
      <w:r>
        <w:rPr>
          <w:lang w:val="en-US"/>
        </w:rPr>
        <w:t>for BW</w:t>
      </w:r>
      <w:r w:rsidR="004A6FD8">
        <w:rPr>
          <w:lang w:val="en-US"/>
        </w:rPr>
        <w:t>3</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C67470" w:rsidRPr="004C0C03" w14:paraId="4AF18AA0"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FFFE0" w14:textId="77777777" w:rsidR="00C67470" w:rsidRPr="004C0C03" w:rsidRDefault="00C67470"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C2805F9"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679F3E1"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F8DD115"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E9B0460"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6C038002"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D52C236" w14:textId="77777777" w:rsidR="00C67470" w:rsidRPr="004C0C03" w:rsidRDefault="00C67470"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C67470" w:rsidRPr="004C0C03" w14:paraId="602F5CC6"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2F600361" w14:textId="77777777" w:rsidR="00C67470" w:rsidRPr="004C0C03" w:rsidRDefault="00C67470" w:rsidP="007867CB">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16E5F42"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249113C"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82715B8"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E791566"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636D6ED"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0E01916" w14:textId="77777777" w:rsidR="00C67470" w:rsidRPr="004C0C03" w:rsidRDefault="00C67470" w:rsidP="007867CB">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E327A4" w:rsidRPr="004C0C03" w14:paraId="20D21ECD" w14:textId="77777777" w:rsidTr="007867CB">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1406F478" w14:textId="77777777" w:rsidR="00E327A4" w:rsidRPr="004C0C03" w:rsidRDefault="00E327A4" w:rsidP="00E327A4">
            <w:pPr>
              <w:overflowPunct/>
              <w:autoSpaceDE/>
              <w:autoSpaceDN/>
              <w:adjustRightInd/>
              <w:spacing w:after="0"/>
              <w:textAlignment w:val="auto"/>
              <w:rPr>
                <w:rFonts w:eastAsia="Times New Roman"/>
                <w:lang w:val="en-US"/>
              </w:rPr>
            </w:pPr>
            <w:r w:rsidRPr="004C0C03">
              <w:rPr>
                <w:rFonts w:eastAsia="Times New Roman"/>
                <w:lang w:val="en-US"/>
              </w:rPr>
              <w:t>BW</w:t>
            </w:r>
            <w:r>
              <w:rPr>
                <w:rFonts w:eastAsia="Times New Roman"/>
                <w:lang w:val="en-US"/>
              </w:rPr>
              <w:t>3</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9DD5F95"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38.86%</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CA8B59C"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32.46%</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F4C23C0"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24.75%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7043CD0"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57.12%</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089DDD05"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50.72%</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B34BA0C" w14:textId="77777777" w:rsidR="00E327A4" w:rsidRPr="004C0C03" w:rsidRDefault="00E327A4" w:rsidP="00E327A4">
            <w:pPr>
              <w:overflowPunct/>
              <w:autoSpaceDE/>
              <w:autoSpaceDN/>
              <w:adjustRightInd/>
              <w:spacing w:after="0"/>
              <w:jc w:val="right"/>
              <w:textAlignment w:val="auto"/>
              <w:rPr>
                <w:rFonts w:eastAsia="Times New Roman"/>
                <w:lang w:val="en-US"/>
              </w:rPr>
            </w:pPr>
            <w:r w:rsidRPr="004C0C03">
              <w:rPr>
                <w:rFonts w:eastAsia="Times New Roman"/>
                <w:lang w:val="en-US"/>
              </w:rPr>
              <w:t>35.48%</w:t>
            </w:r>
          </w:p>
        </w:tc>
      </w:tr>
      <w:tr w:rsidR="00E40545" w:rsidRPr="004C0C03" w14:paraId="6561D708" w14:textId="77777777" w:rsidTr="007867CB">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37F45A0B" w14:textId="77777777" w:rsidR="00E40545" w:rsidRPr="004C0C03" w:rsidRDefault="00E40545" w:rsidP="00E40545">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342F1AFC"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-13.2%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E2AF7DD"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-15.2%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173833F"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-13.1%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77ED6EF"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-15.5%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80880DE"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-17.1%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94489A8" w14:textId="77777777" w:rsidR="00E40545" w:rsidRPr="004C0C03" w:rsidRDefault="00E40545" w:rsidP="00E40545">
            <w:pPr>
              <w:overflowPunct/>
              <w:autoSpaceDE/>
              <w:autoSpaceDN/>
              <w:adjustRightInd/>
              <w:spacing w:after="0"/>
              <w:jc w:val="right"/>
              <w:textAlignment w:val="auto"/>
              <w:rPr>
                <w:rFonts w:eastAsia="Times New Roman"/>
                <w:lang w:val="en-US"/>
              </w:rPr>
            </w:pPr>
            <w:r w:rsidRPr="004C0C03">
              <w:rPr>
                <w:rFonts w:eastAsia="Times New Roman"/>
                <w:lang w:val="en-US"/>
              </w:rPr>
              <w:t>-15.0%</w:t>
            </w:r>
          </w:p>
        </w:tc>
      </w:tr>
    </w:tbl>
    <w:p w14:paraId="75834869" w14:textId="77777777" w:rsidR="00C67470" w:rsidRDefault="00C67470" w:rsidP="0055492A">
      <w:pPr>
        <w:jc w:val="both"/>
        <w:rPr>
          <w:lang w:val="en-US"/>
        </w:rPr>
      </w:pPr>
    </w:p>
    <w:p w14:paraId="39E5A698" w14:textId="77777777" w:rsidR="002F2E80" w:rsidRDefault="002F2E80" w:rsidP="0055492A">
      <w:pPr>
        <w:jc w:val="both"/>
        <w:rPr>
          <w:b/>
          <w:bCs/>
          <w:u w:val="single"/>
          <w:lang w:val="en-US"/>
        </w:rPr>
      </w:pPr>
      <w:r w:rsidRPr="002971DF">
        <w:rPr>
          <w:b/>
          <w:bCs/>
          <w:u w:val="single"/>
          <w:lang w:val="en-US"/>
        </w:rPr>
        <w:t>Performance impact</w:t>
      </w:r>
      <w:r>
        <w:rPr>
          <w:b/>
          <w:bCs/>
          <w:u w:val="single"/>
          <w:lang w:val="en-US"/>
        </w:rPr>
        <w:t>:</w:t>
      </w:r>
    </w:p>
    <w:p w14:paraId="487DE3AC" w14:textId="2D1C834B" w:rsidR="0055492A" w:rsidRPr="00D92EE7" w:rsidRDefault="0055492A" w:rsidP="0055492A">
      <w:pPr>
        <w:jc w:val="both"/>
        <w:rPr>
          <w:i/>
          <w:iCs/>
          <w:u w:val="single"/>
          <w:lang w:val="en-US"/>
        </w:rPr>
      </w:pPr>
      <w:r w:rsidRPr="00D92EE7">
        <w:rPr>
          <w:i/>
          <w:iCs/>
          <w:u w:val="single"/>
          <w:lang w:val="en-US"/>
        </w:rPr>
        <w:t>Coverage analysis</w:t>
      </w:r>
    </w:p>
    <w:p w14:paraId="6D35927A" w14:textId="77777777" w:rsidR="0055492A" w:rsidRDefault="0055492A" w:rsidP="0055492A">
      <w:pPr>
        <w:jc w:val="both"/>
        <w:rPr>
          <w:lang w:val="en-US"/>
        </w:rPr>
      </w:pPr>
      <w:r>
        <w:rPr>
          <w:lang w:val="en-US"/>
        </w:rPr>
        <w:t>Since there is no impact to the SSB, CORESET#0 and PDCCH, there is no impact to the performance of those channels.</w:t>
      </w:r>
    </w:p>
    <w:p w14:paraId="3B413B4C" w14:textId="77777777" w:rsidR="0055492A" w:rsidRDefault="0055492A" w:rsidP="0055492A">
      <w:pPr>
        <w:jc w:val="both"/>
        <w:rPr>
          <w:lang w:val="en-US"/>
        </w:rPr>
      </w:pPr>
      <w:r>
        <w:rPr>
          <w:lang w:val="en-US"/>
        </w:rPr>
        <w:t xml:space="preserve">For the PUSCH, </w:t>
      </w:r>
      <w:r>
        <w:rPr>
          <w:rFonts w:eastAsia="MS Mincho"/>
          <w:lang w:val="en-US" w:eastAsia="ja-JP"/>
        </w:rPr>
        <w:t>reducing the bandwidth has no impact to coverage. This is because UEs in coverage-limited UEs are assigned very small number of PRBs in order to maximum the power spectral density and reduce impact to system spectral efficiency.</w:t>
      </w:r>
    </w:p>
    <w:p w14:paraId="508C9884" w14:textId="5DB4AD1C" w:rsidR="0055492A" w:rsidRDefault="0055492A" w:rsidP="0055492A">
      <w:pPr>
        <w:jc w:val="both"/>
        <w:rPr>
          <w:rFonts w:eastAsia="MS Mincho"/>
          <w:lang w:val="en-US" w:eastAsia="ja-JP"/>
        </w:rPr>
      </w:pPr>
      <w:r>
        <w:rPr>
          <w:lang w:val="en-US"/>
        </w:rPr>
        <w:t xml:space="preserve">For the PDSCH, reducing the UE bandwidth may result in some coverage loss if existing broadcast signals cannot be transmitted within the reduced bandwidth. </w:t>
      </w:r>
      <w:r w:rsidR="001F48F9">
        <w:rPr>
          <w:lang w:val="en-US"/>
        </w:rPr>
        <w:t>Based on the coverage evaluations for BW1, however, the coverage loss is small enough (coverage is not degraded below that of the limiting channel) that system coverage is not affected.</w:t>
      </w:r>
    </w:p>
    <w:p w14:paraId="3CC3EBDA" w14:textId="77777777" w:rsidR="0055492A" w:rsidRPr="00D92EE7" w:rsidRDefault="0055492A" w:rsidP="0055492A">
      <w:pPr>
        <w:jc w:val="both"/>
        <w:rPr>
          <w:i/>
          <w:iCs/>
          <w:u w:val="single"/>
          <w:lang w:val="en-US"/>
        </w:rPr>
      </w:pPr>
      <w:r w:rsidRPr="00D92EE7">
        <w:rPr>
          <w:i/>
          <w:iCs/>
          <w:u w:val="single"/>
          <w:lang w:val="en-US"/>
        </w:rPr>
        <w:t>Cell spectral efficiency analysis</w:t>
      </w:r>
    </w:p>
    <w:p w14:paraId="3BD511E8" w14:textId="6EBDC151" w:rsidR="00177679" w:rsidRDefault="41F7129E" w:rsidP="41F7129E">
      <w:pPr>
        <w:jc w:val="both"/>
        <w:rPr>
          <w:rFonts w:eastAsia="Times New Roman"/>
          <w:lang w:val="en-US"/>
        </w:rPr>
      </w:pPr>
      <w:r w:rsidRPr="41F7129E">
        <w:rPr>
          <w:rFonts w:eastAsia="Times New Roman"/>
          <w:lang w:val="en-US"/>
        </w:rPr>
        <w:t>The loss in spectral efficiency would be similar but smaller than those shown in Section 2.1. This is because if only the baseband of the data channels is limited to 5 MHz, the UE’s other channels can be scheduled anywhere within the 20 MHz BWP provided the total frequency allocation does not span beyond 5 MHz. Therefore, reducing the only data chann</w:t>
      </w:r>
      <w:r w:rsidR="000E605B">
        <w:rPr>
          <w:rFonts w:eastAsia="Times New Roman"/>
          <w:lang w:val="en-US"/>
        </w:rPr>
        <w:t>el’s</w:t>
      </w:r>
      <w:r w:rsidRPr="41F7129E">
        <w:rPr>
          <w:rFonts w:eastAsia="Times New Roman"/>
          <w:lang w:val="en-US"/>
        </w:rPr>
        <w:t xml:space="preserve"> bandwidth will have less impact</w:t>
      </w:r>
      <w:r w:rsidR="729E18FE" w:rsidRPr="60744375">
        <w:rPr>
          <w:rFonts w:eastAsia="Times New Roman"/>
          <w:lang w:val="en-US"/>
        </w:rPr>
        <w:t xml:space="preserve"> than</w:t>
      </w:r>
      <w:r w:rsidRPr="41F7129E">
        <w:rPr>
          <w:rFonts w:eastAsia="Times New Roman"/>
          <w:lang w:val="en-US"/>
        </w:rPr>
        <w:t xml:space="preserve"> other options such as reducing both RF and BB bandwidths or only BB bandwidth.</w:t>
      </w:r>
    </w:p>
    <w:p w14:paraId="11F14860" w14:textId="56285171" w:rsidR="00177679" w:rsidRDefault="00177679" w:rsidP="41F7129E">
      <w:pPr>
        <w:jc w:val="both"/>
        <w:rPr>
          <w:rFonts w:eastAsia="Times New Roman"/>
          <w:lang w:val="en-US"/>
        </w:rPr>
      </w:pPr>
      <w:r w:rsidRPr="763872F8">
        <w:rPr>
          <w:rFonts w:eastAsia="Times New Roman"/>
          <w:lang w:val="en-US"/>
        </w:rPr>
        <w:lastRenderedPageBreak/>
        <w:t>W</w:t>
      </w:r>
      <w:r w:rsidR="41F7129E" w:rsidRPr="763872F8">
        <w:rPr>
          <w:rFonts w:eastAsia="Times New Roman"/>
          <w:lang w:val="en-US"/>
        </w:rPr>
        <w:t>hile</w:t>
      </w:r>
      <w:r w:rsidRPr="1BFC2E9A">
        <w:rPr>
          <w:rFonts w:eastAsia="Times New Roman"/>
          <w:lang w:val="en-US"/>
        </w:rPr>
        <w:t xml:space="preserve"> this </w:t>
      </w:r>
      <w:r w:rsidR="41F7129E" w:rsidRPr="3ABF32F5">
        <w:rPr>
          <w:rFonts w:eastAsia="Times New Roman"/>
          <w:lang w:val="en-US"/>
        </w:rPr>
        <w:t xml:space="preserve">BW3 </w:t>
      </w:r>
      <w:r w:rsidRPr="1BFC2E9A">
        <w:rPr>
          <w:rFonts w:eastAsia="Times New Roman"/>
          <w:lang w:val="en-US"/>
        </w:rPr>
        <w:t>option</w:t>
      </w:r>
      <w:r w:rsidR="41F7129E" w:rsidRPr="763872F8">
        <w:rPr>
          <w:rFonts w:eastAsia="Times New Roman"/>
          <w:lang w:val="en-US"/>
        </w:rPr>
        <w:t xml:space="preserve"> allows </w:t>
      </w:r>
      <w:r w:rsidR="41F7129E" w:rsidRPr="41F7129E">
        <w:rPr>
          <w:rFonts w:eastAsia="Times New Roman"/>
          <w:lang w:val="en-US"/>
        </w:rPr>
        <w:t xml:space="preserve">the </w:t>
      </w:r>
      <w:r w:rsidR="41F7129E" w:rsidRPr="3ABF32F5">
        <w:rPr>
          <w:rFonts w:eastAsia="Times New Roman"/>
          <w:lang w:val="en-US"/>
        </w:rPr>
        <w:t>resource</w:t>
      </w:r>
      <w:r w:rsidRPr="3ABF32F5">
        <w:rPr>
          <w:rFonts w:eastAsia="Times New Roman"/>
          <w:lang w:val="en-US"/>
        </w:rPr>
        <w:t xml:space="preserve"> allocation</w:t>
      </w:r>
      <w:r w:rsidR="41F7129E" w:rsidRPr="41F7129E">
        <w:rPr>
          <w:rFonts w:eastAsia="Times New Roman"/>
          <w:lang w:val="en-US"/>
        </w:rPr>
        <w:t xml:space="preserve"> of consecutive 25 PRBs, PR3 option </w:t>
      </w:r>
      <w:r w:rsidR="41F7129E" w:rsidRPr="3ABF32F5">
        <w:rPr>
          <w:rFonts w:eastAsia="Times New Roman"/>
          <w:lang w:val="en-US"/>
        </w:rPr>
        <w:t>(i.e.,</w:t>
      </w:r>
      <w:r w:rsidR="41F7129E" w:rsidRPr="41F7129E">
        <w:rPr>
          <w:rFonts w:eastAsia="Times New Roman"/>
          <w:lang w:val="en-US"/>
        </w:rPr>
        <w:t xml:space="preserve"> the maximum number of RBs </w:t>
      </w:r>
      <w:r w:rsidR="41F7129E" w:rsidRPr="3ABF32F5">
        <w:rPr>
          <w:rFonts w:eastAsia="Times New Roman"/>
          <w:lang w:val="en-US"/>
        </w:rPr>
        <w:t>is restricted) will</w:t>
      </w:r>
      <w:r w:rsidR="41F7129E" w:rsidRPr="41F7129E">
        <w:rPr>
          <w:rFonts w:eastAsia="Times New Roman"/>
          <w:lang w:val="en-US"/>
        </w:rPr>
        <w:t xml:space="preserve"> </w:t>
      </w:r>
      <w:r w:rsidR="41F7129E" w:rsidRPr="57A00E3F">
        <w:rPr>
          <w:rFonts w:eastAsia="Times New Roman"/>
          <w:lang w:val="en-US"/>
        </w:rPr>
        <w:t xml:space="preserve">enable UE to </w:t>
      </w:r>
      <w:r w:rsidR="41F7129E" w:rsidRPr="41F7129E">
        <w:rPr>
          <w:rFonts w:eastAsia="Times New Roman"/>
          <w:lang w:val="en-US"/>
        </w:rPr>
        <w:t xml:space="preserve">use distributed 25 PRBs </w:t>
      </w:r>
      <w:r w:rsidR="41F7129E" w:rsidRPr="3ABF32F5">
        <w:rPr>
          <w:rFonts w:eastAsia="Times New Roman"/>
          <w:lang w:val="en-US"/>
        </w:rPr>
        <w:t>where</w:t>
      </w:r>
      <w:r w:rsidR="41F7129E" w:rsidRPr="41F7129E">
        <w:rPr>
          <w:rFonts w:eastAsia="Times New Roman"/>
          <w:lang w:val="en-US"/>
        </w:rPr>
        <w:t xml:space="preserve"> frequency diversity</w:t>
      </w:r>
      <w:r w:rsidR="41F7129E" w:rsidRPr="3ABF32F5">
        <w:rPr>
          <w:rFonts w:eastAsia="Times New Roman"/>
          <w:lang w:val="en-US"/>
        </w:rPr>
        <w:t xml:space="preserve"> can be further improved.</w:t>
      </w:r>
      <w:r w:rsidR="41F7129E" w:rsidRPr="41F7129E">
        <w:rPr>
          <w:rFonts w:eastAsia="Times New Roman"/>
          <w:lang w:val="en-US"/>
        </w:rPr>
        <w:t xml:space="preserve"> Therefore, PR3 can achieve a higher cell spectral efficiency than BW3.</w:t>
      </w:r>
    </w:p>
    <w:p w14:paraId="69241BE8" w14:textId="77777777" w:rsidR="0055492A" w:rsidRPr="00D92EE7" w:rsidRDefault="0055492A" w:rsidP="0055492A">
      <w:pPr>
        <w:jc w:val="both"/>
        <w:rPr>
          <w:i/>
          <w:iCs/>
          <w:u w:val="single"/>
          <w:lang w:val="en-US"/>
        </w:rPr>
      </w:pPr>
      <w:r w:rsidRPr="00D92EE7">
        <w:rPr>
          <w:i/>
          <w:iCs/>
          <w:u w:val="single"/>
          <w:lang w:val="en-US"/>
        </w:rPr>
        <w:t>Power consumption analysis</w:t>
      </w:r>
    </w:p>
    <w:p w14:paraId="294F956F" w14:textId="77777777" w:rsidR="0055492A" w:rsidRDefault="0055492A" w:rsidP="0055492A">
      <w:pPr>
        <w:jc w:val="both"/>
        <w:rPr>
          <w:lang w:val="en-US"/>
        </w:rPr>
      </w:pPr>
      <w:r>
        <w:rPr>
          <w:lang w:val="en-US"/>
        </w:rPr>
        <w:t>Power consumption may be reduced for bandwidth limited UE due to lower power consumption in the baseband unit. In this case, however, power consumption reduction may be small especially if the PDCCH continues to be operated using wider bandwidth. This of course depends on the traffic model. In case of infrequent data transmission/reception, power consumption may be dominated by control channel monitoring and measurements. In this case, power saving may be small if the PDCCH is not reduced in bandwidth.</w:t>
      </w:r>
    </w:p>
    <w:p w14:paraId="631B9F98" w14:textId="77777777" w:rsidR="00A84B4D" w:rsidRPr="00D92EE7" w:rsidRDefault="00A84B4D" w:rsidP="00A84B4D">
      <w:pPr>
        <w:jc w:val="both"/>
        <w:rPr>
          <w:i/>
          <w:iCs/>
          <w:u w:val="single"/>
          <w:lang w:val="en-US"/>
        </w:rPr>
      </w:pPr>
      <w:r>
        <w:rPr>
          <w:i/>
          <w:iCs/>
          <w:u w:val="single"/>
          <w:lang w:val="en-US"/>
        </w:rPr>
        <w:t xml:space="preserve">Latency </w:t>
      </w:r>
      <w:r w:rsidRPr="00D92EE7">
        <w:rPr>
          <w:i/>
          <w:iCs/>
          <w:u w:val="single"/>
          <w:lang w:val="en-US"/>
        </w:rPr>
        <w:t>analysis</w:t>
      </w:r>
    </w:p>
    <w:p w14:paraId="35C67DAF" w14:textId="77777777" w:rsidR="00A84B4D" w:rsidRDefault="00A84B4D" w:rsidP="00A84B4D">
      <w:pPr>
        <w:jc w:val="both"/>
        <w:rPr>
          <w:lang w:val="en-US"/>
        </w:rPr>
      </w:pPr>
      <w:r>
        <w:rPr>
          <w:lang w:val="en-US"/>
        </w:rPr>
        <w:t xml:space="preserve">Reducing the bandwidth and therefore the peak data rates will increase latency for some UEs (typically those with good SNR). However, it is expected that the latency considered in Rel-17 RedCap (i.e. </w:t>
      </w:r>
      <w:r w:rsidRPr="002C4A15">
        <w:t>end-to-end latency less than 100 ms</w:t>
      </w:r>
      <w:r>
        <w:t xml:space="preserve"> for industrial sensor and 5-10ms for </w:t>
      </w:r>
      <w:r w:rsidRPr="0034101B">
        <w:t>safety related sensors</w:t>
      </w:r>
      <w:r>
        <w:rPr>
          <w:lang w:val="en-US"/>
        </w:rPr>
        <w:t>) can still be met.</w:t>
      </w:r>
    </w:p>
    <w:p w14:paraId="6D248A5B" w14:textId="68832CEC" w:rsidR="0055492A" w:rsidRPr="00907F26" w:rsidRDefault="00262FB6" w:rsidP="0055492A">
      <w:pPr>
        <w:jc w:val="both"/>
        <w:rPr>
          <w:u w:val="single"/>
          <w:lang w:val="en-US"/>
        </w:rPr>
      </w:pPr>
      <w:r w:rsidRPr="009445E0">
        <w:rPr>
          <w:b/>
          <w:bCs/>
          <w:u w:val="single"/>
          <w:lang w:val="en-US" w:eastAsia="zh-CN"/>
        </w:rPr>
        <w:t>Network deployment and coexistence impact:</w:t>
      </w:r>
    </w:p>
    <w:p w14:paraId="2DDCA664" w14:textId="77777777" w:rsidR="0055492A" w:rsidRPr="008C4739" w:rsidRDefault="0055492A" w:rsidP="0055492A">
      <w:pPr>
        <w:jc w:val="both"/>
        <w:rPr>
          <w:lang w:val="en-US"/>
        </w:rPr>
      </w:pPr>
      <w:r>
        <w:rPr>
          <w:lang w:val="en-US"/>
        </w:rPr>
        <w:t>No coexistence issue with Rel-17 RedCap and NR UEs is expected. Rel-18 RedCap UE can support the same channels and signals, and the 5 MHz baseband limitations may be implemented by the scheduler. In addition, Rel-18 RedCap UE may share the same BWP as Rel-17 RedCap UE (i.e. up to 20 MHz).</w:t>
      </w:r>
    </w:p>
    <w:p w14:paraId="04E8225F" w14:textId="3E17542D" w:rsidR="0055492A" w:rsidRDefault="001F1587" w:rsidP="0055492A">
      <w:pPr>
        <w:jc w:val="both"/>
        <w:rPr>
          <w:u w:val="single"/>
          <w:lang w:val="en-US"/>
        </w:rPr>
      </w:pPr>
      <w:r w:rsidRPr="002971DF">
        <w:rPr>
          <w:b/>
          <w:bCs/>
          <w:u w:val="single"/>
          <w:lang w:val="en-US"/>
        </w:rPr>
        <w:t>Specification impact:</w:t>
      </w:r>
    </w:p>
    <w:p w14:paraId="587B5A65" w14:textId="73E904FC" w:rsidR="0055492A" w:rsidRDefault="0055492A" w:rsidP="0055492A">
      <w:pPr>
        <w:jc w:val="both"/>
        <w:rPr>
          <w:rFonts w:eastAsia="MS Mincho"/>
          <w:lang w:val="en-US" w:eastAsia="ja-JP"/>
        </w:rPr>
      </w:pPr>
      <w:r>
        <w:rPr>
          <w:rFonts w:eastAsia="MS Mincho"/>
          <w:lang w:val="en-US" w:eastAsia="ja-JP"/>
        </w:rPr>
        <w:t xml:space="preserve">RAN1 specification impact is expected to be minimal. For instance, the maximum number of PRBs that can be scheduled can be limited to fit within 5 MHz bandwidth. </w:t>
      </w:r>
      <w:r w:rsidR="00FA32C8">
        <w:rPr>
          <w:rFonts w:eastAsia="MS Mincho"/>
          <w:lang w:val="en-US" w:eastAsia="ja-JP"/>
        </w:rPr>
        <w:t>This could impact e.g. SIB1 transmission</w:t>
      </w:r>
      <w:r w:rsidR="00F06F99">
        <w:rPr>
          <w:rFonts w:eastAsia="MS Mincho"/>
          <w:lang w:val="en-US" w:eastAsia="ja-JP"/>
        </w:rPr>
        <w:t xml:space="preserve">. However, our coverage analysis shows that there is no coverage issue with SIB1. </w:t>
      </w:r>
      <w:r>
        <w:rPr>
          <w:rFonts w:eastAsia="MS Mincho"/>
          <w:lang w:val="en-US" w:eastAsia="ja-JP"/>
        </w:rPr>
        <w:t xml:space="preserve">The UE can be identified during Msg5 or early identification can be used (e.g. via Msg1 or Msg3). No dedicated BWP would be needed. During initial access, </w:t>
      </w:r>
      <w:r w:rsidR="008C7A9C">
        <w:rPr>
          <w:rFonts w:eastAsia="MS Mincho"/>
          <w:lang w:val="en-US" w:eastAsia="ja-JP"/>
        </w:rPr>
        <w:t>g</w:t>
      </w:r>
      <w:r>
        <w:rPr>
          <w:rFonts w:eastAsia="MS Mincho"/>
          <w:lang w:val="en-US" w:eastAsia="ja-JP"/>
        </w:rPr>
        <w:t>NB restriction may be need until the UE capability is known.</w:t>
      </w:r>
    </w:p>
    <w:p w14:paraId="6379ADB6" w14:textId="36E58784" w:rsidR="002773D6" w:rsidRPr="001B74E0" w:rsidRDefault="002773D6" w:rsidP="002773D6">
      <w:pPr>
        <w:pStyle w:val="Heading2"/>
        <w:ind w:hanging="1144"/>
        <w:rPr>
          <w:sz w:val="28"/>
          <w:lang w:val="en-US"/>
        </w:rPr>
      </w:pPr>
      <w:r>
        <w:rPr>
          <w:sz w:val="28"/>
          <w:lang w:val="en-US"/>
        </w:rPr>
        <w:t>Observations for BW reduction options</w:t>
      </w:r>
    </w:p>
    <w:p w14:paraId="190663FC" w14:textId="77777777" w:rsidR="002773D6" w:rsidRDefault="002773D6" w:rsidP="002773D6">
      <w:pPr>
        <w:jc w:val="both"/>
        <w:rPr>
          <w:rFonts w:eastAsia="MS Mincho"/>
          <w:lang w:val="en-US" w:eastAsia="ja-JP"/>
        </w:rPr>
      </w:pPr>
      <w:r>
        <w:rPr>
          <w:rFonts w:eastAsia="MS Mincho"/>
          <w:lang w:val="en-US" w:eastAsia="ja-JP"/>
        </w:rPr>
        <w:t>Based on the above discussion, the following observations can be drawn –</w:t>
      </w:r>
    </w:p>
    <w:p w14:paraId="6FF2442D" w14:textId="1800D810" w:rsidR="00024763" w:rsidRDefault="002773D6" w:rsidP="00024763">
      <w:pPr>
        <w:spacing w:before="120"/>
        <w:jc w:val="both"/>
        <w:rPr>
          <w:b/>
          <w:noProof/>
          <w:lang w:val="en-US" w:eastAsia="en-GB"/>
        </w:rPr>
      </w:pPr>
      <w:r w:rsidRPr="00177B90">
        <w:rPr>
          <w:b/>
          <w:noProof/>
          <w:lang w:val="en-US" w:eastAsia="en-GB"/>
        </w:rPr>
        <w:t xml:space="preserve">Observation </w:t>
      </w:r>
      <w:r>
        <w:rPr>
          <w:b/>
          <w:noProof/>
          <w:lang w:val="en-US" w:eastAsia="en-GB"/>
        </w:rPr>
        <w:t>1</w:t>
      </w:r>
      <w:r w:rsidRPr="00177B90">
        <w:rPr>
          <w:b/>
          <w:noProof/>
          <w:lang w:val="en-US" w:eastAsia="en-GB"/>
        </w:rPr>
        <w:t>:</w:t>
      </w:r>
      <w:r>
        <w:rPr>
          <w:b/>
          <w:noProof/>
          <w:lang w:val="en-US" w:eastAsia="en-GB"/>
        </w:rPr>
        <w:t xml:space="preserve"> BW</w:t>
      </w:r>
      <w:r w:rsidR="00024763">
        <w:rPr>
          <w:b/>
          <w:noProof/>
          <w:lang w:val="en-US" w:eastAsia="en-GB"/>
        </w:rPr>
        <w:t xml:space="preserve"> </w:t>
      </w:r>
      <w:r w:rsidR="00A3642E">
        <w:rPr>
          <w:b/>
          <w:noProof/>
          <w:lang w:val="en-US" w:eastAsia="en-GB"/>
        </w:rPr>
        <w:t xml:space="preserve">reduction </w:t>
      </w:r>
      <w:r w:rsidR="00024763">
        <w:rPr>
          <w:b/>
          <w:noProof/>
          <w:lang w:val="en-US" w:eastAsia="en-GB"/>
        </w:rPr>
        <w:t>options can provide substantial complexity reduction compared to Rel-17 RedCap UE – approximately 20% for BW1, 18% for BW2, and 15% for BW3.</w:t>
      </w:r>
    </w:p>
    <w:p w14:paraId="18D70325" w14:textId="77B85436" w:rsidR="007B7D7B" w:rsidRDefault="007B7D7B" w:rsidP="00024763">
      <w:pPr>
        <w:spacing w:before="120"/>
        <w:jc w:val="both"/>
        <w:rPr>
          <w:b/>
          <w:noProof/>
          <w:lang w:val="en-US" w:eastAsia="en-GB"/>
        </w:rPr>
      </w:pPr>
      <w:r>
        <w:rPr>
          <w:b/>
          <w:noProof/>
          <w:lang w:val="en-US" w:eastAsia="en-GB"/>
        </w:rPr>
        <w:t xml:space="preserve">Observation 2: </w:t>
      </w:r>
      <w:r w:rsidR="007C4EB4">
        <w:rPr>
          <w:b/>
          <w:noProof/>
          <w:lang w:val="en-US" w:eastAsia="en-GB"/>
        </w:rPr>
        <w:t>At 30 kHz SCS, t</w:t>
      </w:r>
      <w:r w:rsidR="003F16FA">
        <w:rPr>
          <w:b/>
          <w:noProof/>
          <w:lang w:val="en-US" w:eastAsia="en-GB"/>
        </w:rPr>
        <w:t xml:space="preserve">here is significant performance degradation for </w:t>
      </w:r>
      <w:r w:rsidR="00C62BE4">
        <w:rPr>
          <w:b/>
          <w:noProof/>
          <w:lang w:val="en-US" w:eastAsia="en-GB"/>
        </w:rPr>
        <w:t>PBCH</w:t>
      </w:r>
      <w:r w:rsidR="003F16FA">
        <w:rPr>
          <w:b/>
          <w:noProof/>
          <w:lang w:val="en-US" w:eastAsia="en-GB"/>
        </w:rPr>
        <w:t>, PDCCH, and SIB1 for BW1/BW2 and for SIB1 for BW3.</w:t>
      </w:r>
      <w:r w:rsidR="000053A7">
        <w:rPr>
          <w:b/>
          <w:noProof/>
          <w:lang w:val="en-US" w:eastAsia="en-GB"/>
        </w:rPr>
        <w:t xml:space="preserve"> This is due to smaller number of available PRBs.</w:t>
      </w:r>
    </w:p>
    <w:p w14:paraId="68788BD5" w14:textId="22635ADB" w:rsidR="002773D6" w:rsidRDefault="002773D6" w:rsidP="002773D6">
      <w:pPr>
        <w:spacing w:before="120"/>
        <w:jc w:val="both"/>
        <w:rPr>
          <w:b/>
          <w:noProof/>
          <w:lang w:val="en-US" w:eastAsia="en-GB"/>
        </w:rPr>
      </w:pPr>
      <w:r w:rsidRPr="00177B90">
        <w:rPr>
          <w:b/>
          <w:noProof/>
          <w:lang w:val="en-US" w:eastAsia="en-GB"/>
        </w:rPr>
        <w:t xml:space="preserve">Observation </w:t>
      </w:r>
      <w:r w:rsidR="006373C4">
        <w:rPr>
          <w:b/>
          <w:noProof/>
          <w:lang w:val="en-US" w:eastAsia="en-GB"/>
        </w:rPr>
        <w:t>3</w:t>
      </w:r>
      <w:r w:rsidRPr="00177B90">
        <w:rPr>
          <w:b/>
          <w:noProof/>
          <w:lang w:val="en-US" w:eastAsia="en-GB"/>
        </w:rPr>
        <w:t>:</w:t>
      </w:r>
      <w:r>
        <w:rPr>
          <w:b/>
          <w:noProof/>
          <w:lang w:val="en-US" w:eastAsia="en-GB"/>
        </w:rPr>
        <w:t xml:space="preserve"> </w:t>
      </w:r>
      <w:r w:rsidR="00650373">
        <w:rPr>
          <w:b/>
          <w:noProof/>
          <w:lang w:val="en-US" w:eastAsia="en-GB"/>
        </w:rPr>
        <w:t>Based on our coverage analysis</w:t>
      </w:r>
      <w:r>
        <w:rPr>
          <w:b/>
          <w:noProof/>
          <w:lang w:val="en-US" w:eastAsia="en-GB"/>
        </w:rPr>
        <w:t>, there is no impact to coverage</w:t>
      </w:r>
      <w:r w:rsidR="00650373">
        <w:rPr>
          <w:b/>
          <w:noProof/>
          <w:lang w:val="en-US" w:eastAsia="en-GB"/>
        </w:rPr>
        <w:t xml:space="preserve"> for BW1/BW2/BW3</w:t>
      </w:r>
      <w:r>
        <w:rPr>
          <w:b/>
          <w:noProof/>
          <w:lang w:val="en-US" w:eastAsia="en-GB"/>
        </w:rPr>
        <w:t>.</w:t>
      </w:r>
    </w:p>
    <w:p w14:paraId="739949AF" w14:textId="3C47A040" w:rsidR="002773D6" w:rsidRDefault="002773D6" w:rsidP="002773D6">
      <w:pPr>
        <w:spacing w:before="120"/>
        <w:jc w:val="both"/>
        <w:rPr>
          <w:b/>
          <w:noProof/>
          <w:lang w:val="en-US" w:eastAsia="en-GB"/>
        </w:rPr>
      </w:pPr>
      <w:r w:rsidRPr="00177B90">
        <w:rPr>
          <w:b/>
          <w:noProof/>
          <w:lang w:val="en-US" w:eastAsia="en-GB"/>
        </w:rPr>
        <w:t xml:space="preserve">Observation </w:t>
      </w:r>
      <w:r w:rsidR="006373C4">
        <w:rPr>
          <w:b/>
          <w:noProof/>
          <w:lang w:val="en-US" w:eastAsia="en-GB"/>
        </w:rPr>
        <w:t>4</w:t>
      </w:r>
      <w:r w:rsidRPr="00177B90">
        <w:rPr>
          <w:b/>
          <w:noProof/>
          <w:lang w:val="en-US" w:eastAsia="en-GB"/>
        </w:rPr>
        <w:t>:</w:t>
      </w:r>
      <w:r>
        <w:rPr>
          <w:b/>
          <w:noProof/>
          <w:lang w:val="en-US" w:eastAsia="en-GB"/>
        </w:rPr>
        <w:t xml:space="preserve"> There is some system-level spectral effiency performance loss for RedCap UE with 5 MHz BW compared to UE with 20 MHz BW.</w:t>
      </w:r>
    </w:p>
    <w:p w14:paraId="5AACC093" w14:textId="05FB1412" w:rsidR="002773D6" w:rsidRDefault="002773D6" w:rsidP="002773D6">
      <w:pPr>
        <w:jc w:val="both"/>
        <w:rPr>
          <w:b/>
          <w:noProof/>
          <w:lang w:val="en-US" w:eastAsia="en-GB"/>
        </w:rPr>
      </w:pPr>
      <w:r w:rsidRPr="00177B90">
        <w:rPr>
          <w:b/>
          <w:noProof/>
          <w:lang w:val="en-US" w:eastAsia="en-GB"/>
        </w:rPr>
        <w:t xml:space="preserve">Observation </w:t>
      </w:r>
      <w:r w:rsidR="006373C4">
        <w:rPr>
          <w:b/>
          <w:noProof/>
          <w:lang w:val="en-US" w:eastAsia="en-GB"/>
        </w:rPr>
        <w:t>5</w:t>
      </w:r>
      <w:r w:rsidRPr="00177B90">
        <w:rPr>
          <w:b/>
          <w:noProof/>
          <w:lang w:val="en-US" w:eastAsia="en-GB"/>
        </w:rPr>
        <w:t>:</w:t>
      </w:r>
      <w:r>
        <w:rPr>
          <w:b/>
          <w:noProof/>
          <w:lang w:val="en-US" w:eastAsia="en-GB"/>
        </w:rPr>
        <w:t xml:space="preserve"> BW1</w:t>
      </w:r>
      <w:r w:rsidR="00825FA3">
        <w:rPr>
          <w:b/>
          <w:noProof/>
          <w:lang w:val="en-US" w:eastAsia="en-GB"/>
        </w:rPr>
        <w:t>/BW2/BW3</w:t>
      </w:r>
      <w:r>
        <w:rPr>
          <w:b/>
          <w:noProof/>
          <w:lang w:val="en-US" w:eastAsia="en-GB"/>
        </w:rPr>
        <w:t xml:space="preserve"> </w:t>
      </w:r>
      <w:r w:rsidR="00825FA3">
        <w:rPr>
          <w:b/>
          <w:noProof/>
          <w:lang w:val="en-US" w:eastAsia="en-GB"/>
        </w:rPr>
        <w:t>are</w:t>
      </w:r>
      <w:r>
        <w:rPr>
          <w:b/>
          <w:noProof/>
          <w:lang w:val="en-US" w:eastAsia="en-GB"/>
        </w:rPr>
        <w:t xml:space="preserve"> expected to reduce UE power consumption</w:t>
      </w:r>
      <w:r w:rsidR="00490D14">
        <w:rPr>
          <w:b/>
          <w:noProof/>
          <w:lang w:val="en-US" w:eastAsia="en-GB"/>
        </w:rPr>
        <w:t xml:space="preserve"> </w:t>
      </w:r>
      <w:r w:rsidR="00825FA3">
        <w:rPr>
          <w:b/>
          <w:noProof/>
          <w:lang w:val="en-US" w:eastAsia="en-GB"/>
        </w:rPr>
        <w:t>with BW1 providing the most reduction</w:t>
      </w:r>
      <w:r>
        <w:rPr>
          <w:b/>
          <w:noProof/>
          <w:lang w:val="en-US" w:eastAsia="en-GB"/>
        </w:rPr>
        <w:t>.</w:t>
      </w:r>
    </w:p>
    <w:p w14:paraId="3064A6F0" w14:textId="27444F43" w:rsidR="002773D6" w:rsidRDefault="002773D6" w:rsidP="002773D6">
      <w:pPr>
        <w:jc w:val="both"/>
        <w:rPr>
          <w:b/>
          <w:noProof/>
          <w:lang w:val="en-US" w:eastAsia="en-GB"/>
        </w:rPr>
      </w:pPr>
      <w:r w:rsidRPr="00177B90">
        <w:rPr>
          <w:b/>
          <w:noProof/>
          <w:lang w:val="en-US" w:eastAsia="en-GB"/>
        </w:rPr>
        <w:t xml:space="preserve">Observation </w:t>
      </w:r>
      <w:r w:rsidR="006373C4">
        <w:rPr>
          <w:b/>
          <w:noProof/>
          <w:lang w:val="en-US" w:eastAsia="en-GB"/>
        </w:rPr>
        <w:t>6</w:t>
      </w:r>
      <w:r w:rsidRPr="00177B90">
        <w:rPr>
          <w:b/>
          <w:noProof/>
          <w:lang w:val="en-US" w:eastAsia="en-GB"/>
        </w:rPr>
        <w:t>:</w:t>
      </w:r>
      <w:r>
        <w:rPr>
          <w:b/>
          <w:noProof/>
          <w:lang w:val="en-US" w:eastAsia="en-GB"/>
        </w:rPr>
        <w:t xml:space="preserve"> Existing SSB configurations can be used with </w:t>
      </w:r>
      <w:r w:rsidR="00C62BE4">
        <w:rPr>
          <w:b/>
          <w:noProof/>
          <w:lang w:val="en-US" w:eastAsia="en-GB"/>
        </w:rPr>
        <w:t>BW1/BW2/BW3</w:t>
      </w:r>
      <w:r>
        <w:rPr>
          <w:b/>
          <w:noProof/>
          <w:lang w:val="en-US" w:eastAsia="en-GB"/>
        </w:rPr>
        <w:t>.</w:t>
      </w:r>
    </w:p>
    <w:p w14:paraId="20650F5E" w14:textId="21284E87" w:rsidR="002773D6" w:rsidRDefault="002773D6" w:rsidP="002773D6">
      <w:pPr>
        <w:jc w:val="both"/>
        <w:rPr>
          <w:rFonts w:eastAsia="MS Mincho"/>
          <w:b/>
          <w:bCs/>
          <w:lang w:val="en-US" w:eastAsia="ja-JP"/>
        </w:rPr>
      </w:pPr>
      <w:r w:rsidRPr="00177B90">
        <w:rPr>
          <w:b/>
          <w:noProof/>
          <w:lang w:val="en-US" w:eastAsia="en-GB"/>
        </w:rPr>
        <w:t xml:space="preserve">Observation </w:t>
      </w:r>
      <w:r w:rsidR="006373C4">
        <w:rPr>
          <w:b/>
          <w:noProof/>
          <w:lang w:val="en-US" w:eastAsia="en-GB"/>
        </w:rPr>
        <w:t>7</w:t>
      </w:r>
      <w:r w:rsidRPr="00177B90">
        <w:rPr>
          <w:b/>
          <w:noProof/>
          <w:lang w:val="en-US" w:eastAsia="en-GB"/>
        </w:rPr>
        <w:t>:</w:t>
      </w:r>
      <w:r>
        <w:rPr>
          <w:b/>
          <w:noProof/>
          <w:lang w:val="en-US" w:eastAsia="en-GB"/>
        </w:rPr>
        <w:t xml:space="preserve"> Existing CORESET#0 configurations with 15 kHz SCS and 24 PRBs can be used for 5 MHz UE.</w:t>
      </w:r>
      <w:r>
        <w:rPr>
          <w:rFonts w:eastAsia="MS Mincho"/>
          <w:b/>
          <w:bCs/>
          <w:lang w:val="en-US" w:eastAsia="ja-JP"/>
        </w:rPr>
        <w:t xml:space="preserve"> There is no existing CORESET#0 configuration with 30 kHz SCS that can be used for </w:t>
      </w:r>
      <w:r w:rsidR="006373C4">
        <w:rPr>
          <w:rFonts w:eastAsia="MS Mincho"/>
          <w:b/>
          <w:bCs/>
          <w:lang w:val="en-US" w:eastAsia="ja-JP"/>
        </w:rPr>
        <w:t xml:space="preserve">BW1/BW2 </w:t>
      </w:r>
      <w:r>
        <w:rPr>
          <w:rFonts w:eastAsia="MS Mincho"/>
          <w:b/>
          <w:bCs/>
          <w:lang w:val="en-US" w:eastAsia="ja-JP"/>
        </w:rPr>
        <w:t>.</w:t>
      </w:r>
    </w:p>
    <w:p w14:paraId="600B5C3E" w14:textId="75D72B9A" w:rsidR="002773D6" w:rsidRDefault="002773D6" w:rsidP="002773D6">
      <w:pPr>
        <w:jc w:val="both"/>
        <w:rPr>
          <w:b/>
          <w:noProof/>
          <w:lang w:val="en-US" w:eastAsia="en-GB"/>
        </w:rPr>
      </w:pPr>
      <w:r w:rsidRPr="00177B90">
        <w:rPr>
          <w:b/>
          <w:noProof/>
          <w:lang w:val="en-US" w:eastAsia="en-GB"/>
        </w:rPr>
        <w:t xml:space="preserve">Observation </w:t>
      </w:r>
      <w:r w:rsidR="00521AD2">
        <w:rPr>
          <w:b/>
          <w:noProof/>
          <w:lang w:val="en-US" w:eastAsia="en-GB"/>
        </w:rPr>
        <w:t>8</w:t>
      </w:r>
      <w:r w:rsidRPr="00177B90">
        <w:rPr>
          <w:b/>
          <w:noProof/>
          <w:lang w:val="en-US" w:eastAsia="en-GB"/>
        </w:rPr>
        <w:t>:</w:t>
      </w:r>
      <w:r>
        <w:rPr>
          <w:b/>
          <w:noProof/>
          <w:lang w:val="en-US" w:eastAsia="en-GB"/>
        </w:rPr>
        <w:t xml:space="preserve"> RedCap UE supporting BW1</w:t>
      </w:r>
      <w:r w:rsidR="00521AD2">
        <w:rPr>
          <w:b/>
          <w:noProof/>
          <w:lang w:val="en-US" w:eastAsia="en-GB"/>
        </w:rPr>
        <w:t>/BW2/BW3</w:t>
      </w:r>
      <w:r>
        <w:rPr>
          <w:b/>
          <w:noProof/>
          <w:lang w:val="en-US" w:eastAsia="en-GB"/>
        </w:rPr>
        <w:t xml:space="preserve"> can coexist with legacy UEs.</w:t>
      </w:r>
    </w:p>
    <w:p w14:paraId="467EF211" w14:textId="09BE2311" w:rsidR="002773D6" w:rsidRDefault="002773D6" w:rsidP="002773D6">
      <w:pPr>
        <w:spacing w:before="120"/>
        <w:jc w:val="both"/>
        <w:rPr>
          <w:b/>
          <w:noProof/>
          <w:lang w:val="en-US" w:eastAsia="en-GB"/>
        </w:rPr>
      </w:pPr>
      <w:r w:rsidRPr="00177B90">
        <w:rPr>
          <w:b/>
          <w:noProof/>
          <w:lang w:val="en-US" w:eastAsia="en-GB"/>
        </w:rPr>
        <w:t xml:space="preserve">Observation </w:t>
      </w:r>
      <w:r w:rsidR="00521AD2">
        <w:rPr>
          <w:b/>
          <w:noProof/>
          <w:lang w:val="en-US" w:eastAsia="en-GB"/>
        </w:rPr>
        <w:t>9</w:t>
      </w:r>
      <w:r w:rsidRPr="00177B90">
        <w:rPr>
          <w:b/>
          <w:noProof/>
          <w:lang w:val="en-US" w:eastAsia="en-GB"/>
        </w:rPr>
        <w:t>:</w:t>
      </w:r>
      <w:r>
        <w:rPr>
          <w:b/>
          <w:noProof/>
          <w:lang w:val="en-US" w:eastAsia="en-GB"/>
        </w:rPr>
        <w:t xml:space="preserve"> Specification impact from BW1</w:t>
      </w:r>
      <w:r w:rsidR="00521AD2">
        <w:rPr>
          <w:b/>
          <w:noProof/>
          <w:lang w:val="en-US" w:eastAsia="en-GB"/>
        </w:rPr>
        <w:t>/BW2</w:t>
      </w:r>
      <w:r>
        <w:rPr>
          <w:b/>
          <w:noProof/>
          <w:lang w:val="en-US" w:eastAsia="en-GB"/>
        </w:rPr>
        <w:t xml:space="preserve"> include CORESET#0 configurations. Additional enhancements may be considered related to CORESET configuration, initial access</w:t>
      </w:r>
      <w:r w:rsidR="00136DAC">
        <w:rPr>
          <w:b/>
          <w:noProof/>
          <w:lang w:val="en-US" w:eastAsia="en-GB"/>
        </w:rPr>
        <w:t xml:space="preserve"> (e.g. SIB1)</w:t>
      </w:r>
      <w:r>
        <w:rPr>
          <w:b/>
          <w:noProof/>
          <w:lang w:val="en-US" w:eastAsia="en-GB"/>
        </w:rPr>
        <w:t>, random access, and early indication.</w:t>
      </w:r>
    </w:p>
    <w:p w14:paraId="47DF4AF6" w14:textId="13AED132" w:rsidR="002773D6" w:rsidRDefault="002773D6" w:rsidP="002773D6">
      <w:pPr>
        <w:spacing w:before="120"/>
        <w:jc w:val="both"/>
        <w:rPr>
          <w:b/>
          <w:noProof/>
          <w:lang w:val="en-US" w:eastAsia="en-GB"/>
        </w:rPr>
      </w:pPr>
      <w:r w:rsidRPr="00177B90">
        <w:rPr>
          <w:b/>
          <w:noProof/>
          <w:lang w:val="en-US" w:eastAsia="en-GB"/>
        </w:rPr>
        <w:t xml:space="preserve">Observation </w:t>
      </w:r>
      <w:r w:rsidR="00521AD2">
        <w:rPr>
          <w:b/>
          <w:noProof/>
          <w:lang w:val="en-US" w:eastAsia="en-GB"/>
        </w:rPr>
        <w:t>10</w:t>
      </w:r>
      <w:r w:rsidRPr="00177B90">
        <w:rPr>
          <w:b/>
          <w:noProof/>
          <w:lang w:val="en-US" w:eastAsia="en-GB"/>
        </w:rPr>
        <w:t>:</w:t>
      </w:r>
      <w:r>
        <w:rPr>
          <w:b/>
          <w:noProof/>
          <w:lang w:val="en-US" w:eastAsia="en-GB"/>
        </w:rPr>
        <w:t xml:space="preserve"> BW3 has minimal specification impact.</w:t>
      </w:r>
    </w:p>
    <w:p w14:paraId="1978BF10" w14:textId="77777777" w:rsidR="00C73666" w:rsidRPr="001B74E0" w:rsidRDefault="001D3C1F" w:rsidP="00C73666">
      <w:pPr>
        <w:pStyle w:val="Heading2"/>
        <w:ind w:hanging="1144"/>
        <w:rPr>
          <w:sz w:val="28"/>
          <w:lang w:val="en-US"/>
        </w:rPr>
      </w:pPr>
      <w:r w:rsidRPr="001D3C1F">
        <w:rPr>
          <w:sz w:val="28"/>
          <w:lang w:val="en-US"/>
        </w:rPr>
        <w:lastRenderedPageBreak/>
        <w:t xml:space="preserve">PR1: </w:t>
      </w:r>
      <w:r w:rsidR="007F0D51">
        <w:rPr>
          <w:sz w:val="28"/>
          <w:lang w:val="en-US"/>
        </w:rPr>
        <w:t>C</w:t>
      </w:r>
      <w:r w:rsidRPr="001D3C1F">
        <w:rPr>
          <w:sz w:val="28"/>
          <w:lang w:val="en-US"/>
        </w:rPr>
        <w:t>onstraint</w:t>
      </w:r>
      <w:r w:rsidR="007F0D51">
        <w:rPr>
          <w:sz w:val="28"/>
          <w:lang w:val="en-US"/>
        </w:rPr>
        <w:t xml:space="preserve"> relaxation</w:t>
      </w:r>
    </w:p>
    <w:p w14:paraId="3E08ED76" w14:textId="77777777" w:rsidR="00047E2C" w:rsidRDefault="00047E2C" w:rsidP="00047E2C">
      <w:pPr>
        <w:jc w:val="both"/>
        <w:rPr>
          <w:lang w:val="en-US"/>
        </w:rPr>
      </w:pPr>
      <w:r>
        <w:rPr>
          <w:lang w:val="en-US"/>
        </w:rPr>
        <w:t>For PR1, the objective is to relax this constraint in 36.306 –</w:t>
      </w:r>
    </w:p>
    <w:p w14:paraId="778A9C75" w14:textId="77ADAD52" w:rsidR="00047E2C" w:rsidRDefault="00047E2C" w:rsidP="00047E2C">
      <w:pPr>
        <w:ind w:left="284"/>
        <w:jc w:val="both"/>
        <w:rPr>
          <w:lang w:val="en-US"/>
        </w:rPr>
      </w:pPr>
      <w:r w:rsidRPr="001C651F">
        <w:t xml:space="preserve">For single carrier NR SA operation, the UE shall support a data rate for the carrier that is no smaller than the data rate computed using the above formula, with </w:t>
      </w:r>
      <m:oMath>
        <m:r>
          <w:rPr>
            <w:rFonts w:ascii="Cambria Math"/>
          </w:rPr>
          <m:t>J=1 CC</m:t>
        </m:r>
      </m:oMath>
      <w:r w:rsidRPr="001C651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C651F">
        <w:t xml:space="preserve"> is no smaller than 4.</w:t>
      </w:r>
    </w:p>
    <w:p w14:paraId="1BA1377B" w14:textId="18311266" w:rsidR="00047E2C" w:rsidRDefault="00047E2C" w:rsidP="00047E2C">
      <w:pPr>
        <w:jc w:val="both"/>
        <w:rPr>
          <w:lang w:val="en-US"/>
        </w:rPr>
      </w:pPr>
      <w:r>
        <w:rPr>
          <w:lang w:val="en-US"/>
        </w:rPr>
        <w:t xml:space="preserve">The </w:t>
      </w:r>
      <w:r>
        <w:rPr>
          <w:lang w:val="en-US" w:eastAsia="zh-CN"/>
        </w:rPr>
        <w:t>constraint can be relaxed to 1 instead of 4</w:t>
      </w:r>
      <w:r>
        <w:rPr>
          <w:lang w:val="en-US"/>
        </w:rPr>
        <w:t xml:space="preserve">. This would target 10 Mbps peak data rate in the DL and UL. It is up to implementation how to select the parameters such that the relaxed constraint is achieved. </w:t>
      </w:r>
      <w:r w:rsidR="00116EB9">
        <w:rPr>
          <w:lang w:val="en-US"/>
        </w:rPr>
        <w:t>As agreed in RAN1#109-e, PR2</w:t>
      </w:r>
      <w:r w:rsidR="00116EB9" w:rsidRPr="007C06BF">
        <w:rPr>
          <w:lang w:val="en-US"/>
        </w:rPr>
        <w:t xml:space="preserve"> applies to both </w:t>
      </w:r>
      <w:r w:rsidR="00116EB9">
        <w:rPr>
          <w:lang w:val="en-US"/>
        </w:rPr>
        <w:t>unicast and broadcast channels. Furthermore, the UE bandwidth and resource allocation spans 20 MHz, and the same option is used for DL/UL and idle/inactive/connected mode.</w:t>
      </w:r>
    </w:p>
    <w:p w14:paraId="12DA30A5" w14:textId="4993678B" w:rsidR="00047E2C" w:rsidRDefault="0044408A" w:rsidP="00047E2C">
      <w:pPr>
        <w:jc w:val="both"/>
        <w:rPr>
          <w:u w:val="single"/>
          <w:lang w:val="en-US"/>
        </w:rPr>
      </w:pPr>
      <w:r w:rsidRPr="002971DF">
        <w:rPr>
          <w:b/>
          <w:bCs/>
          <w:u w:val="single"/>
          <w:lang w:val="en-US"/>
        </w:rPr>
        <w:t>UE Complexity reduction:</w:t>
      </w:r>
    </w:p>
    <w:p w14:paraId="0094EEF5" w14:textId="21B96763" w:rsidR="00C73666" w:rsidRPr="00907F26" w:rsidRDefault="00047E2C" w:rsidP="00047E2C">
      <w:pPr>
        <w:jc w:val="both"/>
        <w:rPr>
          <w:u w:val="single"/>
          <w:lang w:val="en-US"/>
        </w:rPr>
      </w:pPr>
      <w:r>
        <w:rPr>
          <w:lang w:val="en-US"/>
        </w:rPr>
        <w:t xml:space="preserve">In this analysis, we use 1 layer, maximum modulation of 64-QAM, and select the scaling factor such that the peak data rates are 10/5 Mbps for DL/UL and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B571A">
        <w:rPr>
          <w:iCs/>
          <w:lang w:val="en-US"/>
        </w:rPr>
        <w:fldChar w:fldCharType="begin"/>
      </w:r>
      <w:r w:rsidRPr="009B571A">
        <w:rPr>
          <w:iCs/>
          <w:lang w:val="en-US"/>
        </w:rPr>
        <w:instrText xml:space="preserve"> QUOTE </w:instrText>
      </w:r>
      <m:oMath>
        <m:sSubSup>
          <m:sSubSupPr>
            <m:ctrlPr>
              <w:rPr>
                <w:rFonts w:ascii="Cambria Math" w:hAnsi="Cambria Math"/>
                <w:i/>
              </w:rPr>
            </m:ctrlPr>
          </m:sSubSupPr>
          <m:e>
            <m:r>
              <m:rPr>
                <m:sty m:val="p"/>
              </m:rPr>
              <w:rPr>
                <w:rFonts w:ascii="Cambria Math"/>
              </w:rPr>
              <m:t>v</m:t>
            </m:r>
          </m:e>
          <m:sub>
            <m:r>
              <m:rPr>
                <m:sty m:val="p"/>
              </m:rPr>
              <w:rPr>
                <w:rFonts w:ascii="Cambria Math"/>
              </w:rPr>
              <m:t>Layers</m:t>
            </m:r>
          </m:sub>
          <m:sup>
            <m:r>
              <m:rPr>
                <m:sty m:val="p"/>
              </m:rPr>
              <w:rPr>
                <w:rFonts w:ascii="Cambria Math"/>
              </w:rPr>
              <m:t>(j)</m:t>
            </m:r>
          </m:sup>
        </m:sSubSup>
        <m:r>
          <m:rPr>
            <m:sty m:val="p"/>
          </m:rPr>
          <w:rPr>
            <w:rFonts w:ascii="Cambria Math" w:hAnsi="Cambria Math" w:cs="Cambria Math"/>
          </w:rPr>
          <m:t>⋅</m:t>
        </m:r>
        <m:sSubSup>
          <m:sSubSupPr>
            <m:ctrlPr>
              <w:rPr>
                <w:rFonts w:ascii="Cambria Math" w:hAnsi="Cambria Math"/>
                <w:i/>
              </w:rPr>
            </m:ctrlPr>
          </m:sSubSupPr>
          <m:e>
            <m:r>
              <m:rPr>
                <m:sty m:val="p"/>
              </m:rPr>
              <w:rPr>
                <w:rFonts w:ascii="Cambria Math"/>
              </w:rPr>
              <m:t>Q</m:t>
            </m:r>
          </m:e>
          <m:sub>
            <m:r>
              <m:rPr>
                <m:sty m:val="p"/>
              </m:rPr>
              <w:rPr>
                <w:rFonts w:ascii="Cambria Math"/>
              </w:rPr>
              <m:t>m</m:t>
            </m:r>
          </m:sub>
          <m:sup>
            <m:d>
              <m:dPr>
                <m:ctrlPr>
                  <w:rPr>
                    <w:rFonts w:ascii="Cambria Math" w:hAnsi="Cambria Math"/>
                    <w:i/>
                  </w:rPr>
                </m:ctrlPr>
              </m:dPr>
              <m:e>
                <m:r>
                  <m:rPr>
                    <m:sty m:val="p"/>
                  </m:rPr>
                  <w:rPr>
                    <w:rFonts w:ascii="Cambria Math"/>
                  </w:rPr>
                  <m:t>j</m:t>
                </m:r>
              </m:e>
            </m:d>
          </m:sup>
        </m:sSubSup>
        <m:r>
          <m:rPr>
            <m:sty m:val="p"/>
          </m:rPr>
          <w:rPr>
            <w:rFonts w:ascii="Cambria Math" w:hAnsi="Cambria Math" w:cs="Cambria Math"/>
          </w:rPr>
          <m:t>⋅</m:t>
        </m:r>
        <m:sSubSup>
          <m:sSubSupPr>
            <m:ctrlPr>
              <w:rPr>
                <w:rFonts w:ascii="Cambria Math" w:hAnsi="Cambria Math"/>
                <w:i/>
              </w:rPr>
            </m:ctrlPr>
          </m:sSubSupPr>
          <m:e>
            <m:r>
              <m:rPr>
                <m:sty m:val="p"/>
              </m:rPr>
              <w:rPr>
                <w:rFonts w:ascii="Cambria Math"/>
              </w:rPr>
              <m:t>f</m:t>
            </m:r>
          </m:e>
          <m:sub/>
          <m:sup>
            <m:d>
              <m:dPr>
                <m:ctrlPr>
                  <w:rPr>
                    <w:rFonts w:ascii="Cambria Math" w:hAnsi="Cambria Math"/>
                    <w:i/>
                  </w:rPr>
                </m:ctrlPr>
              </m:dPr>
              <m:e>
                <m:r>
                  <m:rPr>
                    <m:sty m:val="p"/>
                  </m:rPr>
                  <w:rPr>
                    <w:rFonts w:ascii="Cambria Math"/>
                  </w:rPr>
                  <m:t>j</m:t>
                </m:r>
              </m:e>
            </m:d>
          </m:sup>
        </m:sSubSup>
      </m:oMath>
      <w:r w:rsidRPr="009B571A">
        <w:rPr>
          <w:iCs/>
          <w:lang w:val="en-US"/>
        </w:rPr>
        <w:instrText xml:space="preserve"> </w:instrText>
      </w:r>
      <w:r w:rsidRPr="009B571A">
        <w:rPr>
          <w:iCs/>
          <w:lang w:val="en-US"/>
        </w:rPr>
        <w:fldChar w:fldCharType="separate"/>
      </w:r>
      <m:oMath>
        <m:sSubSup>
          <m:sSubSupPr>
            <m:ctrlPr>
              <w:rPr>
                <w:rFonts w:ascii="Cambria Math" w:hAnsi="Cambria Math"/>
                <w:i/>
              </w:rPr>
            </m:ctrlPr>
          </m:sSubSupPr>
          <m:e>
            <m:r>
              <m:rPr>
                <m:sty m:val="p"/>
              </m:rPr>
              <w:rPr>
                <w:rFonts w:ascii="Cambria Math"/>
              </w:rPr>
              <m:t>v</m:t>
            </m:r>
          </m:e>
          <m:sub>
            <m:r>
              <m:rPr>
                <m:sty m:val="p"/>
              </m:rPr>
              <w:rPr>
                <w:rFonts w:ascii="Cambria Math"/>
              </w:rPr>
              <m:t>Layers</m:t>
            </m:r>
          </m:sub>
          <m:sup>
            <m:r>
              <m:rPr>
                <m:sty m:val="p"/>
              </m:rPr>
              <w:rPr>
                <w:rFonts w:ascii="Cambria Math"/>
              </w:rPr>
              <m:t>(j)</m:t>
            </m:r>
          </m:sup>
        </m:sSubSup>
        <m:r>
          <m:rPr>
            <m:sty m:val="p"/>
          </m:rPr>
          <w:rPr>
            <w:rFonts w:ascii="Cambria Math" w:hAnsi="Cambria Math" w:cs="Cambria Math"/>
          </w:rPr>
          <m:t>⋅</m:t>
        </m:r>
        <m:sSubSup>
          <m:sSubSupPr>
            <m:ctrlPr>
              <w:rPr>
                <w:rFonts w:ascii="Cambria Math" w:hAnsi="Cambria Math"/>
                <w:i/>
              </w:rPr>
            </m:ctrlPr>
          </m:sSubSupPr>
          <m:e>
            <m:r>
              <m:rPr>
                <m:sty m:val="p"/>
              </m:rPr>
              <w:rPr>
                <w:rFonts w:ascii="Cambria Math"/>
              </w:rPr>
              <m:t>Q</m:t>
            </m:r>
          </m:e>
          <m:sub>
            <m:r>
              <m:rPr>
                <m:sty m:val="p"/>
              </m:rPr>
              <w:rPr>
                <w:rFonts w:ascii="Cambria Math"/>
              </w:rPr>
              <m:t>m</m:t>
            </m:r>
          </m:sub>
          <m:sup>
            <m:d>
              <m:dPr>
                <m:ctrlPr>
                  <w:rPr>
                    <w:rFonts w:ascii="Cambria Math" w:hAnsi="Cambria Math"/>
                    <w:i/>
                  </w:rPr>
                </m:ctrlPr>
              </m:dPr>
              <m:e>
                <m:r>
                  <m:rPr>
                    <m:sty m:val="p"/>
                  </m:rPr>
                  <w:rPr>
                    <w:rFonts w:ascii="Cambria Math"/>
                  </w:rPr>
                  <m:t>j</m:t>
                </m:r>
              </m:e>
            </m:d>
          </m:sup>
        </m:sSubSup>
        <m:r>
          <m:rPr>
            <m:sty m:val="p"/>
          </m:rPr>
          <w:rPr>
            <w:rFonts w:ascii="Cambria Math" w:hAnsi="Cambria Math" w:cs="Cambria Math"/>
          </w:rPr>
          <m:t>⋅</m:t>
        </m:r>
        <m:sSubSup>
          <m:sSubSupPr>
            <m:ctrlPr>
              <w:rPr>
                <w:rFonts w:ascii="Cambria Math" w:hAnsi="Cambria Math"/>
                <w:i/>
              </w:rPr>
            </m:ctrlPr>
          </m:sSubSupPr>
          <m:e>
            <m:r>
              <m:rPr>
                <m:sty m:val="p"/>
              </m:rPr>
              <w:rPr>
                <w:rFonts w:ascii="Cambria Math"/>
              </w:rPr>
              <m:t>f</m:t>
            </m:r>
          </m:e>
          <m:sub/>
          <m:sup>
            <m:d>
              <m:dPr>
                <m:ctrlPr>
                  <w:rPr>
                    <w:rFonts w:ascii="Cambria Math" w:hAnsi="Cambria Math"/>
                    <w:i/>
                  </w:rPr>
                </m:ctrlPr>
              </m:dPr>
              <m:e>
                <m:r>
                  <m:rPr>
                    <m:sty m:val="p"/>
                  </m:rPr>
                  <w:rPr>
                    <w:rFonts w:ascii="Cambria Math"/>
                  </w:rPr>
                  <m:t>j</m:t>
                </m:r>
              </m:e>
            </m:d>
          </m:sup>
        </m:sSubSup>
      </m:oMath>
      <w:r w:rsidRPr="009B571A">
        <w:rPr>
          <w:iCs/>
          <w:lang w:val="en-US"/>
        </w:rPr>
        <w:fldChar w:fldCharType="end"/>
      </w:r>
      <w:r>
        <w:rPr>
          <w:iCs/>
          <w:lang w:val="en-US"/>
        </w:rPr>
        <w:t xml:space="preserve"> is 1</w:t>
      </w:r>
      <w:r w:rsidRPr="00354093">
        <w:rPr>
          <w:iCs/>
          <w:lang w:val="en-US"/>
        </w:rPr>
        <w:fldChar w:fldCharType="begin"/>
      </w:r>
      <w:r w:rsidRPr="00354093">
        <w:rPr>
          <w:iCs/>
          <w:lang w:val="en-US"/>
        </w:rPr>
        <w:instrText xml:space="preserve"> QUOTE </w:instrText>
      </w:r>
      <m:oMath>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rPr>
              <m:t>v</m:t>
            </m:r>
          </m:e>
          <m:sub>
            <m:r>
              <m:rPr>
                <m:sty m:val="p"/>
              </m:rPr>
              <w:rPr>
                <w:rFonts w:ascii="Cambria Math" w:hAnsi="Cambria Math"/>
              </w:rPr>
              <m:t>Layers</m:t>
            </m:r>
          </m:sub>
          <m:sup>
            <m:d>
              <m:dPr>
                <m:ctrlPr>
                  <w:rPr>
                    <w:rFonts w:ascii="Cambria Math" w:hAnsi="Cambria Math"/>
                    <w:i/>
                  </w:rPr>
                </m:ctrlPr>
              </m:dPr>
              <m:e>
                <m:r>
                  <m:rPr>
                    <m:sty m:val="p"/>
                  </m:rPr>
                  <w:rPr>
                    <w:rFonts w:ascii="Cambria Math" w:hAnsi="Cambria Math"/>
                  </w:rPr>
                  <m:t>j</m:t>
                </m:r>
              </m:e>
            </m:d>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i/>
                    <w:iCs/>
                  </w:rPr>
                </m:ctrlPr>
              </m:dPr>
              <m:e>
                <m:r>
                  <m:rPr>
                    <m:sty m:val="p"/>
                  </m:rPr>
                  <w:rPr>
                    <w:rFonts w:ascii="Cambria Math" w:hAnsi="Cambria Math"/>
                  </w:rPr>
                  <m:t>j</m:t>
                </m:r>
              </m:e>
            </m:d>
          </m:sup>
        </m:sSubSup>
        <m:r>
          <m:rPr>
            <m:sty m:val="p"/>
          </m:rPr>
          <w:rPr>
            <w:rFonts w:ascii="Cambria Math" w:hAnsi="Cambria Math"/>
            <w:lang w:val="en-US"/>
          </w:rPr>
          <m:t>⋅</m:t>
        </m:r>
        <m:sSup>
          <m:sSupPr>
            <m:ctrlPr>
              <w:rPr>
                <w:rFonts w:ascii="Cambria Math" w:hAnsi="Cambria Math"/>
                <w:iCs/>
              </w:rPr>
            </m:ctrlPr>
          </m:sSupPr>
          <m:e>
            <m:r>
              <m:rPr>
                <m:sty m:val="p"/>
              </m:rPr>
              <w:rPr>
                <w:rFonts w:ascii="Cambria Math" w:hAnsi="Cambria Math"/>
              </w:rPr>
              <m:t>f</m:t>
            </m:r>
          </m:e>
          <m:sup>
            <m:d>
              <m:dPr>
                <m:ctrlPr>
                  <w:rPr>
                    <w:rFonts w:ascii="Cambria Math" w:hAnsi="Cambria Math"/>
                    <w:i/>
                    <w:iCs/>
                  </w:rPr>
                </m:ctrlPr>
              </m:dPr>
              <m:e>
                <m:r>
                  <m:rPr>
                    <m:sty m:val="p"/>
                  </m:rPr>
                  <w:rPr>
                    <w:rFonts w:ascii="Cambria Math" w:hAnsi="Cambria Math"/>
                  </w:rPr>
                  <m:t>j</m:t>
                </m:r>
              </m:e>
            </m:d>
          </m:sup>
        </m:sSup>
        <m:r>
          <m:rPr>
            <m:sty m:val="p"/>
          </m:rPr>
          <w:rPr>
            <w:rFonts w:ascii="Cambria Math" w:hAnsi="Cambria Math"/>
            <w:lang w:val="en-US"/>
          </w:rPr>
          <m:t>≥4)</m:t>
        </m:r>
      </m:oMath>
      <w:r w:rsidRPr="00354093">
        <w:rPr>
          <w:iCs/>
          <w:lang w:val="en-US"/>
        </w:rPr>
        <w:instrText xml:space="preserve"> </w:instrText>
      </w:r>
      <w:r w:rsidRPr="00354093">
        <w:rPr>
          <w:iCs/>
          <w:lang w:val="en-US"/>
        </w:rPr>
        <w:fldChar w:fldCharType="separate"/>
      </w:r>
      <m:oMath>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rPr>
              <m:t>v</m:t>
            </m:r>
          </m:e>
          <m:sub>
            <m:r>
              <m:rPr>
                <m:sty m:val="p"/>
              </m:rPr>
              <w:rPr>
                <w:rFonts w:ascii="Cambria Math" w:hAnsi="Cambria Math"/>
              </w:rPr>
              <m:t>Layers</m:t>
            </m:r>
          </m:sub>
          <m:sup>
            <m:d>
              <m:dPr>
                <m:ctrlPr>
                  <w:rPr>
                    <w:rFonts w:ascii="Cambria Math" w:hAnsi="Cambria Math"/>
                    <w:i/>
                  </w:rPr>
                </m:ctrlPr>
              </m:dPr>
              <m:e>
                <m:r>
                  <m:rPr>
                    <m:sty m:val="p"/>
                  </m:rPr>
                  <w:rPr>
                    <w:rFonts w:ascii="Cambria Math" w:hAnsi="Cambria Math"/>
                  </w:rPr>
                  <m:t>j</m:t>
                </m:r>
              </m:e>
            </m:d>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i/>
                    <w:iCs/>
                  </w:rPr>
                </m:ctrlPr>
              </m:dPr>
              <m:e>
                <m:r>
                  <m:rPr>
                    <m:sty m:val="p"/>
                  </m:rPr>
                  <w:rPr>
                    <w:rFonts w:ascii="Cambria Math" w:hAnsi="Cambria Math"/>
                  </w:rPr>
                  <m:t>j</m:t>
                </m:r>
              </m:e>
            </m:d>
          </m:sup>
        </m:sSubSup>
        <m:r>
          <m:rPr>
            <m:sty m:val="p"/>
          </m:rPr>
          <w:rPr>
            <w:rFonts w:ascii="Cambria Math" w:hAnsi="Cambria Math"/>
            <w:lang w:val="en-US"/>
          </w:rPr>
          <m:t>⋅</m:t>
        </m:r>
        <m:sSup>
          <m:sSupPr>
            <m:ctrlPr>
              <w:rPr>
                <w:rFonts w:ascii="Cambria Math" w:hAnsi="Cambria Math"/>
                <w:iCs/>
              </w:rPr>
            </m:ctrlPr>
          </m:sSupPr>
          <m:e>
            <m:r>
              <m:rPr>
                <m:sty m:val="p"/>
              </m:rPr>
              <w:rPr>
                <w:rFonts w:ascii="Cambria Math" w:hAnsi="Cambria Math"/>
              </w:rPr>
              <m:t>f</m:t>
            </m:r>
          </m:e>
          <m:sup>
            <m:d>
              <m:dPr>
                <m:ctrlPr>
                  <w:rPr>
                    <w:rFonts w:ascii="Cambria Math" w:hAnsi="Cambria Math"/>
                    <w:i/>
                    <w:iCs/>
                  </w:rPr>
                </m:ctrlPr>
              </m:dPr>
              <m:e>
                <m:r>
                  <m:rPr>
                    <m:sty m:val="p"/>
                  </m:rPr>
                  <w:rPr>
                    <w:rFonts w:ascii="Cambria Math" w:hAnsi="Cambria Math"/>
                  </w:rPr>
                  <m:t>j</m:t>
                </m:r>
              </m:e>
            </m:d>
          </m:sup>
        </m:sSup>
        <m:r>
          <m:rPr>
            <m:sty m:val="p"/>
          </m:rPr>
          <w:rPr>
            <w:rFonts w:ascii="Cambria Math" w:hAnsi="Cambria Math"/>
            <w:lang w:val="en-US"/>
          </w:rPr>
          <m:t>≥4)</m:t>
        </m:r>
      </m:oMath>
      <w:r w:rsidRPr="00354093">
        <w:rPr>
          <w:iCs/>
          <w:lang w:val="en-US"/>
        </w:rPr>
        <w:fldChar w:fldCharType="end"/>
      </w:r>
      <w:r>
        <w:rPr>
          <w:lang w:val="en-US"/>
        </w:rPr>
        <w:t>.</w:t>
      </w:r>
      <w:r w:rsidR="001F763A">
        <w:rPr>
          <w:lang w:val="en-US"/>
        </w:rPr>
        <w:t xml:space="preserve"> </w:t>
      </w:r>
      <w:r w:rsidR="00D95A1B">
        <w:rPr>
          <w:lang w:val="en-US"/>
        </w:rPr>
        <w:fldChar w:fldCharType="begin"/>
      </w:r>
      <w:r w:rsidR="00D95A1B">
        <w:rPr>
          <w:lang w:val="en-US"/>
        </w:rPr>
        <w:instrText xml:space="preserve"> REF _Ref110248978 \h </w:instrText>
      </w:r>
      <w:r w:rsidR="00D95A1B">
        <w:rPr>
          <w:lang w:val="en-US"/>
        </w:rPr>
      </w:r>
      <w:r w:rsidR="00D95A1B">
        <w:rPr>
          <w:lang w:val="en-US"/>
        </w:rPr>
        <w:fldChar w:fldCharType="separate"/>
      </w:r>
      <w:r w:rsidR="00034224">
        <w:t xml:space="preserve">Table </w:t>
      </w:r>
      <w:r w:rsidR="00034224">
        <w:rPr>
          <w:noProof/>
        </w:rPr>
        <w:t>5</w:t>
      </w:r>
      <w:r w:rsidR="00D95A1B">
        <w:rPr>
          <w:lang w:val="en-US"/>
        </w:rPr>
        <w:fldChar w:fldCharType="end"/>
      </w:r>
      <w:r>
        <w:rPr>
          <w:lang w:val="en-US"/>
        </w:rPr>
        <w:t xml:space="preserve"> provides estimate complexity reduction estimates for various UE configurations. From the table, it can be seen that complexity reduction in the order of </w:t>
      </w:r>
      <w:r w:rsidR="00D95A1B">
        <w:rPr>
          <w:lang w:val="en-US"/>
        </w:rPr>
        <w:t>7-9</w:t>
      </w:r>
      <w:r>
        <w:rPr>
          <w:lang w:val="en-US"/>
        </w:rPr>
        <w:t>% is possible.</w:t>
      </w:r>
    </w:p>
    <w:p w14:paraId="6C9FCC65" w14:textId="34B2BA8D" w:rsidR="00C21F08" w:rsidRPr="00A963F0" w:rsidRDefault="00C21F08" w:rsidP="00C21F08">
      <w:pPr>
        <w:pStyle w:val="Caption"/>
        <w:keepNext/>
        <w:jc w:val="center"/>
        <w:rPr>
          <w:lang w:val="en-US"/>
        </w:rPr>
      </w:pPr>
      <w:bookmarkStart w:id="21" w:name="_Ref110248978"/>
      <w:r>
        <w:t xml:space="preserve">Table </w:t>
      </w:r>
      <w:r w:rsidR="00731A2A">
        <w:fldChar w:fldCharType="begin"/>
      </w:r>
      <w:r w:rsidR="00731A2A">
        <w:instrText xml:space="preserve"> SEQ Table \* ARABIC </w:instrText>
      </w:r>
      <w:r w:rsidR="00731A2A">
        <w:fldChar w:fldCharType="separate"/>
      </w:r>
      <w:r w:rsidR="00034224">
        <w:rPr>
          <w:noProof/>
        </w:rPr>
        <w:t>5</w:t>
      </w:r>
      <w:r w:rsidR="00731A2A">
        <w:rPr>
          <w:noProof/>
        </w:rPr>
        <w:fldChar w:fldCharType="end"/>
      </w:r>
      <w:bookmarkEnd w:id="21"/>
      <w:r>
        <w:rPr>
          <w:lang w:val="en-US"/>
        </w:rPr>
        <w:t>. C</w:t>
      </w:r>
      <w:r w:rsidRPr="00A963F0">
        <w:rPr>
          <w:lang w:val="en-US"/>
        </w:rPr>
        <w:t>omplexity reduction estimat</w:t>
      </w:r>
      <w:r>
        <w:rPr>
          <w:lang w:val="en-US"/>
        </w:rPr>
        <w:t>es</w:t>
      </w:r>
      <w:r w:rsidRPr="00A963F0">
        <w:rPr>
          <w:lang w:val="en-US"/>
        </w:rPr>
        <w:t xml:space="preserve"> </w:t>
      </w:r>
      <w:r>
        <w:rPr>
          <w:lang w:val="en-US"/>
        </w:rPr>
        <w:t xml:space="preserve">for </w:t>
      </w:r>
      <w:r w:rsidR="001F763A">
        <w:rPr>
          <w:lang w:val="en-US"/>
        </w:rPr>
        <w:t>PR1</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C21F08" w:rsidRPr="004C0C03" w14:paraId="1CFCBFE6"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9714304" w14:textId="77777777" w:rsidR="00C21F08" w:rsidRPr="004C0C03" w:rsidRDefault="00C21F08"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924CD4B"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3E46BBF"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D064C63"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5AD4F2D"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4C349AF"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2EEC4B3" w14:textId="77777777" w:rsidR="00C21F08" w:rsidRPr="004C0C03" w:rsidRDefault="00C21F08" w:rsidP="007867CB">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C21F08" w:rsidRPr="004C0C03" w14:paraId="5034F86A"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275AAF3A" w14:textId="77777777" w:rsidR="00C21F08" w:rsidRPr="004C0C03" w:rsidRDefault="00C21F08" w:rsidP="007867CB">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D01184A"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E0DAF05"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E000804"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24059F2"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9C76040"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0C427BB" w14:textId="77777777" w:rsidR="00C21F08" w:rsidRPr="004C0C03" w:rsidRDefault="00C21F08" w:rsidP="007867CB">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665025" w:rsidRPr="004C0C03" w14:paraId="086BAE7C" w14:textId="77777777" w:rsidTr="007867CB">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1B2ADF4A" w14:textId="77777777" w:rsidR="00665025" w:rsidRPr="004C0C03" w:rsidRDefault="00665025" w:rsidP="00665025">
            <w:pPr>
              <w:overflowPunct/>
              <w:autoSpaceDE/>
              <w:autoSpaceDN/>
              <w:adjustRightInd/>
              <w:spacing w:after="0"/>
              <w:textAlignment w:val="auto"/>
              <w:rPr>
                <w:rFonts w:eastAsia="Times New Roman"/>
                <w:lang w:val="en-US"/>
              </w:rPr>
            </w:pPr>
            <w:r>
              <w:rPr>
                <w:rFonts w:eastAsia="Times New Roman"/>
                <w:lang w:val="en-US"/>
              </w:rPr>
              <w:t>PR1</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56C4D91F"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43.35%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58CA5FCA"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36.95%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6C9A6F1"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27.64%</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1164E3B"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64.90%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FC40FBE"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58.50%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0F9CAB7E"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40.33%</w:t>
            </w:r>
          </w:p>
        </w:tc>
      </w:tr>
      <w:tr w:rsidR="00665025" w:rsidRPr="004C0C03" w14:paraId="1E726C22" w14:textId="77777777" w:rsidTr="007867CB">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261176E2" w14:textId="77777777" w:rsidR="00665025" w:rsidRPr="004C0C03" w:rsidRDefault="00665025" w:rsidP="00665025">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070A798C"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7E5A13D"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-8.6%</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F676F88"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-7.9%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E2EB476"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0CDD6AE"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-8.1%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3B19373" w14:textId="77777777" w:rsidR="00665025" w:rsidRPr="004C0C03" w:rsidRDefault="00665025" w:rsidP="00665025">
            <w:pPr>
              <w:overflowPunct/>
              <w:autoSpaceDE/>
              <w:autoSpaceDN/>
              <w:adjustRightInd/>
              <w:spacing w:after="0"/>
              <w:jc w:val="right"/>
              <w:textAlignment w:val="auto"/>
              <w:rPr>
                <w:rFonts w:eastAsia="Times New Roman"/>
                <w:lang w:val="en-US"/>
              </w:rPr>
            </w:pPr>
            <w:r w:rsidRPr="004C0C03">
              <w:rPr>
                <w:rFonts w:eastAsia="Times New Roman"/>
                <w:lang w:val="en-US"/>
              </w:rPr>
              <w:t>-7.3%</w:t>
            </w:r>
          </w:p>
        </w:tc>
      </w:tr>
    </w:tbl>
    <w:p w14:paraId="26AB2786" w14:textId="77777777" w:rsidR="00C73666" w:rsidRDefault="00C73666" w:rsidP="00C73666">
      <w:pPr>
        <w:jc w:val="both"/>
        <w:rPr>
          <w:rFonts w:eastAsia="MS Mincho"/>
          <w:lang w:val="en-US" w:eastAsia="ja-JP"/>
        </w:rPr>
      </w:pPr>
    </w:p>
    <w:p w14:paraId="21FD7DC1" w14:textId="77777777" w:rsidR="002F2E80" w:rsidRDefault="002F2E80" w:rsidP="00C73666">
      <w:pPr>
        <w:jc w:val="both"/>
        <w:rPr>
          <w:b/>
          <w:bCs/>
          <w:u w:val="single"/>
          <w:lang w:val="en-US"/>
        </w:rPr>
      </w:pPr>
      <w:r w:rsidRPr="002971DF">
        <w:rPr>
          <w:b/>
          <w:bCs/>
          <w:u w:val="single"/>
          <w:lang w:val="en-US"/>
        </w:rPr>
        <w:t>Performance impact</w:t>
      </w:r>
      <w:r>
        <w:rPr>
          <w:b/>
          <w:bCs/>
          <w:u w:val="single"/>
          <w:lang w:val="en-US"/>
        </w:rPr>
        <w:t>:</w:t>
      </w:r>
    </w:p>
    <w:p w14:paraId="0F180AFC" w14:textId="19991D15" w:rsidR="00C73666" w:rsidRPr="00D92EE7" w:rsidRDefault="00C73666" w:rsidP="00C73666">
      <w:pPr>
        <w:jc w:val="both"/>
        <w:rPr>
          <w:i/>
          <w:iCs/>
          <w:u w:val="single"/>
          <w:lang w:val="en-US"/>
        </w:rPr>
      </w:pPr>
      <w:r w:rsidRPr="00D92EE7">
        <w:rPr>
          <w:i/>
          <w:iCs/>
          <w:u w:val="single"/>
          <w:lang w:val="en-US"/>
        </w:rPr>
        <w:t>Coverage analysis</w:t>
      </w:r>
    </w:p>
    <w:p w14:paraId="0C768884" w14:textId="6577151A" w:rsidR="00C73666" w:rsidRDefault="00F60E28" w:rsidP="00C73666">
      <w:pPr>
        <w:jc w:val="both"/>
        <w:rPr>
          <w:rFonts w:eastAsia="MS Mincho"/>
          <w:lang w:val="en-US" w:eastAsia="ja-JP"/>
        </w:rPr>
      </w:pPr>
      <w:r>
        <w:rPr>
          <w:lang w:val="en-US"/>
        </w:rPr>
        <w:t>Peak rate reduction option</w:t>
      </w:r>
      <w:r w:rsidR="0017143B">
        <w:rPr>
          <w:lang w:val="en-US"/>
        </w:rPr>
        <w:t>s</w:t>
      </w:r>
      <w:r>
        <w:rPr>
          <w:lang w:val="en-US"/>
        </w:rPr>
        <w:t xml:space="preserve"> do not have an impact to coverage</w:t>
      </w:r>
      <w:r w:rsidR="00C73666">
        <w:rPr>
          <w:lang w:val="en-US"/>
        </w:rPr>
        <w:t xml:space="preserve">. </w:t>
      </w:r>
    </w:p>
    <w:p w14:paraId="3A5FDBDD" w14:textId="77777777" w:rsidR="00773E7F" w:rsidRPr="00D92EE7" w:rsidRDefault="00773E7F" w:rsidP="00773E7F">
      <w:pPr>
        <w:jc w:val="both"/>
        <w:rPr>
          <w:i/>
          <w:iCs/>
          <w:u w:val="single"/>
          <w:lang w:val="en-US"/>
        </w:rPr>
      </w:pPr>
      <w:r w:rsidRPr="00D92EE7">
        <w:rPr>
          <w:i/>
          <w:iCs/>
          <w:u w:val="single"/>
          <w:lang w:val="en-US"/>
        </w:rPr>
        <w:t>Cell spectral efficiency analysis</w:t>
      </w:r>
    </w:p>
    <w:p w14:paraId="0A8271B3" w14:textId="61883FB0" w:rsidR="00773E7F" w:rsidRDefault="00382035" w:rsidP="00773E7F">
      <w:pPr>
        <w:jc w:val="both"/>
        <w:rPr>
          <w:lang w:val="en-US"/>
        </w:rPr>
      </w:pPr>
      <w:r>
        <w:rPr>
          <w:lang w:val="en-US"/>
        </w:rPr>
        <w:t xml:space="preserve">PR1 is not expected to have an impact to cell spectral efficiency </w:t>
      </w:r>
      <w:r w:rsidR="004D6C5F">
        <w:rPr>
          <w:lang w:val="en-US"/>
        </w:rPr>
        <w:t>beyond the impact of reducing the peak data rates to 10 Mbps for DL/UL</w:t>
      </w:r>
      <w:r w:rsidR="00773E7F">
        <w:rPr>
          <w:lang w:val="en-US"/>
        </w:rPr>
        <w:t>.</w:t>
      </w:r>
    </w:p>
    <w:p w14:paraId="49508D49" w14:textId="77777777" w:rsidR="00773E7F" w:rsidRPr="00D92EE7" w:rsidRDefault="00773E7F" w:rsidP="00773E7F">
      <w:pPr>
        <w:jc w:val="both"/>
        <w:rPr>
          <w:i/>
          <w:iCs/>
          <w:u w:val="single"/>
          <w:lang w:val="en-US"/>
        </w:rPr>
      </w:pPr>
      <w:r w:rsidRPr="00D92EE7">
        <w:rPr>
          <w:i/>
          <w:iCs/>
          <w:u w:val="single"/>
          <w:lang w:val="en-US"/>
        </w:rPr>
        <w:t>Power consumption analysis</w:t>
      </w:r>
    </w:p>
    <w:p w14:paraId="3248F845" w14:textId="71B0A165" w:rsidR="00773E7F" w:rsidRDefault="004446DD" w:rsidP="00773E7F">
      <w:pPr>
        <w:jc w:val="both"/>
        <w:rPr>
          <w:lang w:val="en-US"/>
        </w:rPr>
      </w:pPr>
      <w:r>
        <w:rPr>
          <w:lang w:val="en-US"/>
        </w:rPr>
        <w:t>Power consumption may increase slightly for a UE with good SNR (i.e. UE capable of data rate beyond 10 Mbps) due to longer Tx/Rx times. It is, however, not expected to impact overall power consumption significantly.</w:t>
      </w:r>
    </w:p>
    <w:p w14:paraId="29100F36" w14:textId="77777777" w:rsidR="003B0F77" w:rsidRPr="00D92EE7" w:rsidRDefault="003B0F77" w:rsidP="003B0F77">
      <w:pPr>
        <w:jc w:val="both"/>
        <w:rPr>
          <w:i/>
          <w:iCs/>
          <w:u w:val="single"/>
          <w:lang w:val="en-US"/>
        </w:rPr>
      </w:pPr>
      <w:r>
        <w:rPr>
          <w:i/>
          <w:iCs/>
          <w:u w:val="single"/>
          <w:lang w:val="en-US"/>
        </w:rPr>
        <w:t xml:space="preserve">Latency </w:t>
      </w:r>
      <w:r w:rsidRPr="00D92EE7">
        <w:rPr>
          <w:i/>
          <w:iCs/>
          <w:u w:val="single"/>
          <w:lang w:val="en-US"/>
        </w:rPr>
        <w:t>analysis</w:t>
      </w:r>
    </w:p>
    <w:p w14:paraId="68244369" w14:textId="523B0735" w:rsidR="003B0F77" w:rsidRDefault="003B0F77" w:rsidP="003B0F77">
      <w:pPr>
        <w:jc w:val="both"/>
        <w:rPr>
          <w:lang w:val="en-US"/>
        </w:rPr>
      </w:pPr>
      <w:r>
        <w:rPr>
          <w:lang w:val="en-US"/>
        </w:rPr>
        <w:t xml:space="preserve">Reducing the peak data rates will increase latency for some UEs (typically those with good SNR). However, it is expected that the latency considered in Rel-17 RedCap (i.e. </w:t>
      </w:r>
      <w:r w:rsidRPr="002C4A15">
        <w:t>end-to-end latency less than 100 ms</w:t>
      </w:r>
      <w:r>
        <w:t xml:space="preserve"> for industrial sensor and 5-10ms for </w:t>
      </w:r>
      <w:r w:rsidRPr="0034101B">
        <w:t>safety related sensors</w:t>
      </w:r>
      <w:r>
        <w:rPr>
          <w:lang w:val="en-US"/>
        </w:rPr>
        <w:t>) can still be met.</w:t>
      </w:r>
    </w:p>
    <w:p w14:paraId="3469453C" w14:textId="2CE51B02" w:rsidR="00773E7F" w:rsidRPr="00907F26" w:rsidRDefault="00262FB6" w:rsidP="00773E7F">
      <w:pPr>
        <w:jc w:val="both"/>
        <w:rPr>
          <w:u w:val="single"/>
          <w:lang w:val="en-US"/>
        </w:rPr>
      </w:pPr>
      <w:r w:rsidRPr="009445E0">
        <w:rPr>
          <w:b/>
          <w:bCs/>
          <w:u w:val="single"/>
          <w:lang w:val="en-US" w:eastAsia="zh-CN"/>
        </w:rPr>
        <w:t>Network deployment and coexistence impact:</w:t>
      </w:r>
    </w:p>
    <w:p w14:paraId="34A80B13" w14:textId="56944852" w:rsidR="00881EE0" w:rsidRPr="008C4739" w:rsidRDefault="00881EE0" w:rsidP="00773E7F">
      <w:pPr>
        <w:jc w:val="both"/>
        <w:rPr>
          <w:lang w:val="en-US"/>
        </w:rPr>
      </w:pPr>
      <w:r>
        <w:rPr>
          <w:lang w:val="en-US"/>
        </w:rPr>
        <w:t>The maximum SIB</w:t>
      </w:r>
      <w:r w:rsidR="00A023A9">
        <w:rPr>
          <w:lang w:val="en-US"/>
        </w:rPr>
        <w:t xml:space="preserve">1 or SI message size is 2976 bits which is well below </w:t>
      </w:r>
      <w:r w:rsidR="009A3443">
        <w:rPr>
          <w:lang w:val="en-US"/>
        </w:rPr>
        <w:t>the limit</w:t>
      </w:r>
      <w:r w:rsidR="00F17017">
        <w:rPr>
          <w:lang w:val="en-US"/>
        </w:rPr>
        <w:t xml:space="preserve"> of 10 Mbps peak data rate</w:t>
      </w:r>
      <w:r w:rsidR="009A3443">
        <w:rPr>
          <w:lang w:val="en-US"/>
        </w:rPr>
        <w:t xml:space="preserve">. Other messages </w:t>
      </w:r>
      <w:r w:rsidR="00F17017">
        <w:rPr>
          <w:lang w:val="en-US"/>
        </w:rPr>
        <w:t xml:space="preserve">used during random access and paging procedures are even smaller. Therefore, </w:t>
      </w:r>
      <w:r w:rsidR="000872ED">
        <w:rPr>
          <w:lang w:val="en-US"/>
        </w:rPr>
        <w:t>PR1 option</w:t>
      </w:r>
      <w:r w:rsidR="00F17017">
        <w:rPr>
          <w:lang w:val="en-US"/>
        </w:rPr>
        <w:t xml:space="preserve"> do</w:t>
      </w:r>
      <w:r w:rsidR="000872ED">
        <w:rPr>
          <w:lang w:val="en-US"/>
        </w:rPr>
        <w:t>es</w:t>
      </w:r>
      <w:r w:rsidR="00F17017">
        <w:rPr>
          <w:lang w:val="en-US"/>
        </w:rPr>
        <w:t xml:space="preserve"> not have an impact to coexistence</w:t>
      </w:r>
      <w:r w:rsidR="00665863">
        <w:rPr>
          <w:lang w:val="en-US"/>
        </w:rPr>
        <w:t xml:space="preserve"> and network deployment</w:t>
      </w:r>
      <w:r w:rsidR="00F17017">
        <w:rPr>
          <w:lang w:val="en-US"/>
        </w:rPr>
        <w:t>.</w:t>
      </w:r>
    </w:p>
    <w:p w14:paraId="08EFCE64" w14:textId="64389C8D" w:rsidR="00773E7F" w:rsidRDefault="001F1587" w:rsidP="00773E7F">
      <w:pPr>
        <w:jc w:val="both"/>
        <w:rPr>
          <w:u w:val="single"/>
          <w:lang w:val="en-US"/>
        </w:rPr>
      </w:pPr>
      <w:r w:rsidRPr="002971DF">
        <w:rPr>
          <w:b/>
          <w:bCs/>
          <w:u w:val="single"/>
          <w:lang w:val="en-US"/>
        </w:rPr>
        <w:t>Specification impact:</w:t>
      </w:r>
    </w:p>
    <w:p w14:paraId="72CD8E31" w14:textId="2EE2D48B" w:rsidR="00773E7F" w:rsidRDefault="00173FE7" w:rsidP="00173FE7">
      <w:pPr>
        <w:jc w:val="both"/>
        <w:rPr>
          <w:rFonts w:eastAsia="MS Mincho"/>
          <w:lang w:val="en-US" w:eastAsia="ja-JP"/>
        </w:rPr>
      </w:pPr>
      <w:r>
        <w:rPr>
          <w:lang w:val="en-US"/>
        </w:rPr>
        <w:lastRenderedPageBreak/>
        <w:t xml:space="preserve">PR1 is not expected to have an impact to RAN1 specification. In RAN2 36.306, the </w:t>
      </w:r>
      <w:r w:rsidRPr="001C651F">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C651F">
        <w:t xml:space="preserve"> </w:t>
      </w:r>
      <w:r>
        <w:t xml:space="preserve">would be </w:t>
      </w:r>
      <w:r w:rsidR="008840EC">
        <w:t>1 or smaller for Rel-18 RedCap UE</w:t>
      </w:r>
      <w:r w:rsidR="00773E7F">
        <w:rPr>
          <w:rFonts w:eastAsia="MS Mincho"/>
          <w:lang w:val="en-US" w:eastAsia="ja-JP"/>
        </w:rPr>
        <w:t>.</w:t>
      </w:r>
    </w:p>
    <w:p w14:paraId="3F01D2E2" w14:textId="00BD40E5" w:rsidR="00C223DC" w:rsidRPr="001B74E0" w:rsidRDefault="001D7300" w:rsidP="00004A8F">
      <w:pPr>
        <w:pStyle w:val="Heading2"/>
        <w:ind w:hanging="1144"/>
        <w:rPr>
          <w:sz w:val="28"/>
          <w:lang w:val="en-US"/>
        </w:rPr>
      </w:pPr>
      <w:r w:rsidRPr="001D3C1F">
        <w:rPr>
          <w:sz w:val="28"/>
          <w:lang w:val="en-US"/>
        </w:rPr>
        <w:t>PR</w:t>
      </w:r>
      <w:r w:rsidR="00F514DB">
        <w:rPr>
          <w:sz w:val="28"/>
          <w:lang w:val="en-US"/>
        </w:rPr>
        <w:t>2</w:t>
      </w:r>
      <w:r w:rsidRPr="001D3C1F">
        <w:rPr>
          <w:sz w:val="28"/>
          <w:lang w:val="en-US"/>
        </w:rPr>
        <w:t xml:space="preserve">: </w:t>
      </w:r>
      <w:r>
        <w:rPr>
          <w:sz w:val="28"/>
          <w:lang w:val="en-US"/>
        </w:rPr>
        <w:t>Maximum TBS restriction</w:t>
      </w:r>
    </w:p>
    <w:p w14:paraId="0FAF76E4" w14:textId="5334622F" w:rsidR="00F514DB" w:rsidRDefault="00F514DB" w:rsidP="001F3EDD">
      <w:pPr>
        <w:spacing w:after="120"/>
        <w:jc w:val="both"/>
        <w:rPr>
          <w:lang w:val="en-US"/>
        </w:rPr>
      </w:pPr>
      <w:r>
        <w:rPr>
          <w:lang w:val="en-US"/>
        </w:rPr>
        <w:t xml:space="preserve">For PR2, </w:t>
      </w:r>
      <w:r w:rsidR="001D7300">
        <w:rPr>
          <w:lang w:val="en-US"/>
        </w:rPr>
        <w:t>the maximum transport block size</w:t>
      </w:r>
      <w:r>
        <w:rPr>
          <w:lang w:val="en-US"/>
        </w:rPr>
        <w:t xml:space="preserve"> would be restricted to –</w:t>
      </w:r>
    </w:p>
    <w:p w14:paraId="7CB5CAD8" w14:textId="0730B0B2" w:rsidR="00F514DB" w:rsidRPr="00F514DB" w:rsidRDefault="00F514DB" w:rsidP="001F3EDD">
      <w:pPr>
        <w:pStyle w:val="ListParagraph"/>
        <w:numPr>
          <w:ilvl w:val="0"/>
          <w:numId w:val="20"/>
        </w:numPr>
        <w:spacing w:after="120"/>
        <w:jc w:val="both"/>
        <w:rPr>
          <w:lang w:val="en-US"/>
        </w:rPr>
      </w:pPr>
      <w:r w:rsidRPr="00F514DB">
        <w:rPr>
          <w:lang w:val="en-US"/>
        </w:rPr>
        <w:t>For 15 kHz SCS, the maximum TBS is 10000 bits per TB and per slot.</w:t>
      </w:r>
    </w:p>
    <w:p w14:paraId="6533A9F7" w14:textId="4ADD93FA" w:rsidR="00F514DB" w:rsidRPr="00F514DB" w:rsidRDefault="00F514DB" w:rsidP="001F3EDD">
      <w:pPr>
        <w:pStyle w:val="ListParagraph"/>
        <w:numPr>
          <w:ilvl w:val="0"/>
          <w:numId w:val="20"/>
        </w:numPr>
        <w:spacing w:after="120"/>
        <w:jc w:val="both"/>
        <w:rPr>
          <w:lang w:val="en-US"/>
        </w:rPr>
      </w:pPr>
      <w:r w:rsidRPr="00F514DB">
        <w:rPr>
          <w:lang w:val="en-US"/>
        </w:rPr>
        <w:t>For 30 kHz SCS, the maximum TBS is 5000 bits per TB and per slot.</w:t>
      </w:r>
    </w:p>
    <w:p w14:paraId="7BBDB204" w14:textId="6B7A8432" w:rsidR="00046586" w:rsidRPr="00D24944" w:rsidRDefault="00D01B50" w:rsidP="001C1421">
      <w:pPr>
        <w:jc w:val="both"/>
        <w:rPr>
          <w:lang w:val="en-US"/>
        </w:rPr>
      </w:pPr>
      <w:r>
        <w:rPr>
          <w:lang w:val="en-US"/>
        </w:rPr>
        <w:t>Note that</w:t>
      </w:r>
      <w:r w:rsidR="001D7300">
        <w:rPr>
          <w:lang w:val="en-US"/>
        </w:rPr>
        <w:t xml:space="preserve">, the </w:t>
      </w:r>
      <w:r>
        <w:rPr>
          <w:lang w:val="en-US"/>
        </w:rPr>
        <w:t xml:space="preserve">Rel-17 </w:t>
      </w:r>
      <w:r w:rsidR="001D7300">
        <w:rPr>
          <w:lang w:val="en-US"/>
        </w:rPr>
        <w:t>reference UE has peak data rates of 89 Mbps DL and 91 Mbps UL for 20 MHz FDD UE.</w:t>
      </w:r>
      <w:r w:rsidR="007C06BF">
        <w:rPr>
          <w:lang w:val="en-US"/>
        </w:rPr>
        <w:t xml:space="preserve"> As agreed in RAN1#109-e, PR2</w:t>
      </w:r>
      <w:r w:rsidR="007C06BF" w:rsidRPr="007C06BF">
        <w:rPr>
          <w:lang w:val="en-US"/>
        </w:rPr>
        <w:t xml:space="preserve"> applies to both </w:t>
      </w:r>
      <w:r w:rsidR="00EB7947">
        <w:rPr>
          <w:lang w:val="en-US"/>
        </w:rPr>
        <w:t>unicast and broadcast channels. Furthermore, the UE bandwidth and resource allocation spans 20 MHz, and the</w:t>
      </w:r>
      <w:r w:rsidR="001C1421">
        <w:rPr>
          <w:lang w:val="en-US"/>
        </w:rPr>
        <w:t xml:space="preserve"> </w:t>
      </w:r>
      <w:r w:rsidR="00EB7947">
        <w:rPr>
          <w:lang w:val="en-US"/>
        </w:rPr>
        <w:t>same option is used for DL</w:t>
      </w:r>
      <w:r w:rsidR="001C1421">
        <w:rPr>
          <w:lang w:val="en-US"/>
        </w:rPr>
        <w:t xml:space="preserve">/UL </w:t>
      </w:r>
      <w:r w:rsidR="00EB7947">
        <w:rPr>
          <w:lang w:val="en-US"/>
        </w:rPr>
        <w:t xml:space="preserve">and </w:t>
      </w:r>
      <w:r w:rsidR="001C1421">
        <w:rPr>
          <w:lang w:val="en-US"/>
        </w:rPr>
        <w:t>idle/inactive/connected mode</w:t>
      </w:r>
      <w:r w:rsidR="00EB7947">
        <w:rPr>
          <w:lang w:val="en-US"/>
        </w:rPr>
        <w:t>.</w:t>
      </w:r>
    </w:p>
    <w:p w14:paraId="5B305A99" w14:textId="65F3D54B" w:rsidR="00C223DC" w:rsidRPr="00907F26" w:rsidRDefault="0044408A" w:rsidP="00C223DC">
      <w:pPr>
        <w:jc w:val="both"/>
        <w:rPr>
          <w:u w:val="single"/>
          <w:lang w:val="en-US"/>
        </w:rPr>
      </w:pPr>
      <w:r w:rsidRPr="002971DF">
        <w:rPr>
          <w:b/>
          <w:bCs/>
          <w:u w:val="single"/>
          <w:lang w:val="en-US"/>
        </w:rPr>
        <w:t>UE Complexity reduction:</w:t>
      </w:r>
    </w:p>
    <w:p w14:paraId="691077EC" w14:textId="187E5FF5" w:rsidR="00C223DC" w:rsidRDefault="00D01B50" w:rsidP="00C223DC">
      <w:pPr>
        <w:jc w:val="both"/>
        <w:rPr>
          <w:bCs/>
          <w:noProof/>
          <w:lang w:val="en-US" w:eastAsia="en-GB"/>
        </w:rPr>
      </w:pPr>
      <w:r>
        <w:rPr>
          <w:lang w:val="en-US"/>
        </w:rPr>
        <w:t xml:space="preserve">In this case, complexity reduction can be achieved in the LDPC decoding, HARQ buffer, and UL processing block. </w:t>
      </w:r>
      <w:r w:rsidR="00684E70">
        <w:rPr>
          <w:lang w:val="en-US"/>
        </w:rPr>
        <w:fldChar w:fldCharType="begin"/>
      </w:r>
      <w:r w:rsidR="00684E70">
        <w:rPr>
          <w:lang w:val="en-US"/>
        </w:rPr>
        <w:instrText xml:space="preserve"> REF _Ref110249647 \h </w:instrText>
      </w:r>
      <w:r w:rsidR="00684E70">
        <w:rPr>
          <w:lang w:val="en-US"/>
        </w:rPr>
      </w:r>
      <w:r w:rsidR="00684E70">
        <w:rPr>
          <w:lang w:val="en-US"/>
        </w:rPr>
        <w:fldChar w:fldCharType="separate"/>
      </w:r>
      <w:r w:rsidR="00034224">
        <w:t xml:space="preserve">Table </w:t>
      </w:r>
      <w:r w:rsidR="00034224">
        <w:rPr>
          <w:noProof/>
        </w:rPr>
        <w:t>6</w:t>
      </w:r>
      <w:r w:rsidR="00684E70">
        <w:rPr>
          <w:lang w:val="en-US"/>
        </w:rPr>
        <w:fldChar w:fldCharType="end"/>
      </w:r>
      <w:r w:rsidR="008C0DA0">
        <w:rPr>
          <w:lang w:val="en-US"/>
        </w:rPr>
        <w:t xml:space="preserve"> provides estimate complexity reduction estimates for various UE configurations. From the table, it can be seen that complexity reduction in the order of 7-9% is possible.</w:t>
      </w:r>
    </w:p>
    <w:p w14:paraId="37D5787E" w14:textId="24D4E48E" w:rsidR="00C223DC" w:rsidRPr="00A963F0" w:rsidRDefault="00C223DC" w:rsidP="00C223DC">
      <w:pPr>
        <w:pStyle w:val="Caption"/>
        <w:keepNext/>
        <w:jc w:val="center"/>
        <w:rPr>
          <w:lang w:val="en-US"/>
        </w:rPr>
      </w:pPr>
      <w:bookmarkStart w:id="22" w:name="_Ref110249647"/>
      <w:r>
        <w:t xml:space="preserve">Table </w:t>
      </w:r>
      <w:r w:rsidR="00731A2A">
        <w:fldChar w:fldCharType="begin"/>
      </w:r>
      <w:r w:rsidR="00731A2A">
        <w:instrText xml:space="preserve"> SEQ Table \* ARABIC </w:instrText>
      </w:r>
      <w:r w:rsidR="00731A2A">
        <w:fldChar w:fldCharType="separate"/>
      </w:r>
      <w:r w:rsidR="00034224">
        <w:rPr>
          <w:noProof/>
        </w:rPr>
        <w:t>6</w:t>
      </w:r>
      <w:r w:rsidR="00731A2A">
        <w:rPr>
          <w:noProof/>
        </w:rPr>
        <w:fldChar w:fldCharType="end"/>
      </w:r>
      <w:bookmarkEnd w:id="22"/>
      <w:r>
        <w:rPr>
          <w:lang w:val="en-US"/>
        </w:rPr>
        <w:t>. C</w:t>
      </w:r>
      <w:r w:rsidRPr="00A963F0">
        <w:rPr>
          <w:lang w:val="en-US"/>
        </w:rPr>
        <w:t>omplexity reduction estimat</w:t>
      </w:r>
      <w:r>
        <w:rPr>
          <w:lang w:val="en-US"/>
        </w:rPr>
        <w:t>es</w:t>
      </w:r>
      <w:r w:rsidRPr="00A963F0">
        <w:rPr>
          <w:lang w:val="en-US"/>
        </w:rPr>
        <w:t xml:space="preserve"> </w:t>
      </w:r>
      <w:r>
        <w:rPr>
          <w:lang w:val="en-US"/>
        </w:rPr>
        <w:t>for PR2</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C223DC" w:rsidRPr="004C0C03" w14:paraId="4AB9C4E7" w14:textId="77777777" w:rsidTr="00E76164">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7C58DC" w14:textId="77777777" w:rsidR="00C223DC" w:rsidRPr="004C0C03" w:rsidRDefault="00C223DC" w:rsidP="00E76164">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469B6A8"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691107E"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63273DD"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893A0B4"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288F4CE"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B244D64" w14:textId="77777777" w:rsidR="00C223DC" w:rsidRPr="004C0C03" w:rsidRDefault="00C223DC"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C223DC" w:rsidRPr="004C0C03" w14:paraId="6B8CBC62" w14:textId="77777777" w:rsidTr="00E76164">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53C3A802" w14:textId="77777777" w:rsidR="00C223DC" w:rsidRPr="004C0C03" w:rsidRDefault="00C223DC" w:rsidP="00E76164">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411499E"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641F3A8"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B2D7C40"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B0485C7"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78D1E06"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BC5BA65"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C223DC" w:rsidRPr="004C0C03" w14:paraId="3334F14E" w14:textId="77777777" w:rsidTr="00E76164">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1123FA02" w14:textId="77777777" w:rsidR="00C223DC" w:rsidRPr="004C0C03" w:rsidRDefault="00C223DC" w:rsidP="00E76164">
            <w:pPr>
              <w:overflowPunct/>
              <w:autoSpaceDE/>
              <w:autoSpaceDN/>
              <w:adjustRightInd/>
              <w:spacing w:after="0"/>
              <w:textAlignment w:val="auto"/>
              <w:rPr>
                <w:rFonts w:eastAsia="Times New Roman"/>
                <w:lang w:val="en-US"/>
              </w:rPr>
            </w:pPr>
            <w:r>
              <w:rPr>
                <w:rFonts w:eastAsia="Times New Roman"/>
                <w:lang w:val="en-US"/>
              </w:rPr>
              <w:t>PR2</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C3AE2B0"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43.35%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6A174A1C"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36.95%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A82FBA7"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27.64%</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DFCE33A"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64.90%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59A5EC54"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58.50%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D683E90"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40.33%</w:t>
            </w:r>
          </w:p>
        </w:tc>
      </w:tr>
      <w:tr w:rsidR="00C223DC" w:rsidRPr="004C0C03" w14:paraId="4ED5E8D9" w14:textId="77777777" w:rsidTr="00E76164">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111A12C2" w14:textId="77777777" w:rsidR="00C223DC" w:rsidRPr="004C0C03" w:rsidRDefault="00C223DC" w:rsidP="00E76164">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304E52A7"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7C590A8"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-8.6%</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14B5B85"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-7.9%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302B2AA"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98D0A2F"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-8.1%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2CC9DFF" w14:textId="77777777" w:rsidR="00C223DC" w:rsidRPr="004C0C03" w:rsidRDefault="00C223DC" w:rsidP="00E76164">
            <w:pPr>
              <w:overflowPunct/>
              <w:autoSpaceDE/>
              <w:autoSpaceDN/>
              <w:adjustRightInd/>
              <w:spacing w:after="0"/>
              <w:jc w:val="right"/>
              <w:textAlignment w:val="auto"/>
              <w:rPr>
                <w:rFonts w:eastAsia="Times New Roman"/>
                <w:lang w:val="en-US"/>
              </w:rPr>
            </w:pPr>
            <w:r w:rsidRPr="004C0C03">
              <w:rPr>
                <w:rFonts w:eastAsia="Times New Roman"/>
                <w:lang w:val="en-US"/>
              </w:rPr>
              <w:t>-7.3%</w:t>
            </w:r>
          </w:p>
        </w:tc>
      </w:tr>
    </w:tbl>
    <w:p w14:paraId="3D2FE553" w14:textId="77777777" w:rsidR="00C6004F" w:rsidRDefault="00C6004F" w:rsidP="00C223DC">
      <w:pPr>
        <w:jc w:val="both"/>
        <w:rPr>
          <w:u w:val="single"/>
          <w:lang w:val="en-US"/>
        </w:rPr>
      </w:pPr>
    </w:p>
    <w:p w14:paraId="5605D8F3" w14:textId="77777777" w:rsidR="002F2E80" w:rsidRDefault="002F2E80" w:rsidP="0041021C">
      <w:pPr>
        <w:jc w:val="both"/>
        <w:rPr>
          <w:b/>
          <w:bCs/>
          <w:u w:val="single"/>
          <w:lang w:val="en-US"/>
        </w:rPr>
      </w:pPr>
      <w:r w:rsidRPr="002971DF">
        <w:rPr>
          <w:b/>
          <w:bCs/>
          <w:u w:val="single"/>
          <w:lang w:val="en-US"/>
        </w:rPr>
        <w:t>Performance impact</w:t>
      </w:r>
      <w:r>
        <w:rPr>
          <w:b/>
          <w:bCs/>
          <w:u w:val="single"/>
          <w:lang w:val="en-US"/>
        </w:rPr>
        <w:t>:</w:t>
      </w:r>
    </w:p>
    <w:p w14:paraId="038F1AB5" w14:textId="43D824BA" w:rsidR="0041021C" w:rsidRPr="00D92EE7" w:rsidRDefault="0041021C" w:rsidP="0041021C">
      <w:pPr>
        <w:jc w:val="both"/>
        <w:rPr>
          <w:i/>
          <w:iCs/>
          <w:u w:val="single"/>
          <w:lang w:val="en-US"/>
        </w:rPr>
      </w:pPr>
      <w:r w:rsidRPr="00D92EE7">
        <w:rPr>
          <w:i/>
          <w:iCs/>
          <w:u w:val="single"/>
          <w:lang w:val="en-US"/>
        </w:rPr>
        <w:t>Coverage analysis</w:t>
      </w:r>
    </w:p>
    <w:p w14:paraId="24003BA4" w14:textId="77777777" w:rsidR="0041021C" w:rsidRDefault="0041021C" w:rsidP="0041021C">
      <w:pPr>
        <w:jc w:val="both"/>
        <w:rPr>
          <w:rFonts w:eastAsia="MS Mincho"/>
          <w:lang w:val="en-US" w:eastAsia="ja-JP"/>
        </w:rPr>
      </w:pPr>
      <w:r>
        <w:rPr>
          <w:lang w:val="en-US"/>
        </w:rPr>
        <w:t xml:space="preserve">Peak rate reduction options do not have an impact to coverage. </w:t>
      </w:r>
    </w:p>
    <w:p w14:paraId="37FCCAA9" w14:textId="77777777" w:rsidR="0041021C" w:rsidRPr="00D92EE7" w:rsidRDefault="0041021C" w:rsidP="0041021C">
      <w:pPr>
        <w:jc w:val="both"/>
        <w:rPr>
          <w:i/>
          <w:iCs/>
          <w:u w:val="single"/>
          <w:lang w:val="en-US"/>
        </w:rPr>
      </w:pPr>
      <w:r w:rsidRPr="00D92EE7">
        <w:rPr>
          <w:i/>
          <w:iCs/>
          <w:u w:val="single"/>
          <w:lang w:val="en-US"/>
        </w:rPr>
        <w:t>Cell spectral efficiency analysis</w:t>
      </w:r>
    </w:p>
    <w:p w14:paraId="77F78531" w14:textId="6EF0AFDD" w:rsidR="0041021C" w:rsidRDefault="0041021C" w:rsidP="0041021C">
      <w:pPr>
        <w:jc w:val="both"/>
        <w:rPr>
          <w:lang w:val="en-US"/>
        </w:rPr>
      </w:pPr>
      <w:r>
        <w:rPr>
          <w:lang w:val="en-US"/>
        </w:rPr>
        <w:t>PR</w:t>
      </w:r>
      <w:r w:rsidR="00D371AA">
        <w:rPr>
          <w:lang w:val="en-US"/>
        </w:rPr>
        <w:t>2</w:t>
      </w:r>
      <w:r>
        <w:rPr>
          <w:lang w:val="en-US"/>
        </w:rPr>
        <w:t xml:space="preserve"> is not expected to have an impact to cell spectral efficiency beyond the impact of reducing the peak data rates to 10 Mbps for DL/UL.</w:t>
      </w:r>
    </w:p>
    <w:p w14:paraId="6DBD93CC" w14:textId="77777777" w:rsidR="0041021C" w:rsidRPr="00D92EE7" w:rsidRDefault="0041021C" w:rsidP="0041021C">
      <w:pPr>
        <w:jc w:val="both"/>
        <w:rPr>
          <w:i/>
          <w:iCs/>
          <w:u w:val="single"/>
          <w:lang w:val="en-US"/>
        </w:rPr>
      </w:pPr>
      <w:r w:rsidRPr="00D92EE7">
        <w:rPr>
          <w:i/>
          <w:iCs/>
          <w:u w:val="single"/>
          <w:lang w:val="en-US"/>
        </w:rPr>
        <w:t>Power consumption analysis</w:t>
      </w:r>
    </w:p>
    <w:p w14:paraId="1CDBE1A3" w14:textId="6A70CF06" w:rsidR="0041021C" w:rsidRDefault="004446DD" w:rsidP="0041021C">
      <w:pPr>
        <w:jc w:val="both"/>
        <w:rPr>
          <w:lang w:val="en-US"/>
        </w:rPr>
      </w:pPr>
      <w:r>
        <w:rPr>
          <w:lang w:val="en-US"/>
        </w:rPr>
        <w:t xml:space="preserve">Power consumption may increase slightly for a UE with good SNR (i.e. UE capable of data rate beyond 10 Mbps) due to longer Tx/Rx times. It is, however, not expected to impact overall power consumption significantly. </w:t>
      </w:r>
    </w:p>
    <w:p w14:paraId="1F2790AB" w14:textId="77777777" w:rsidR="003B0F77" w:rsidRPr="00D92EE7" w:rsidRDefault="003B0F77" w:rsidP="003B0F77">
      <w:pPr>
        <w:jc w:val="both"/>
        <w:rPr>
          <w:i/>
          <w:iCs/>
          <w:u w:val="single"/>
          <w:lang w:val="en-US"/>
        </w:rPr>
      </w:pPr>
      <w:r>
        <w:rPr>
          <w:i/>
          <w:iCs/>
          <w:u w:val="single"/>
          <w:lang w:val="en-US"/>
        </w:rPr>
        <w:t xml:space="preserve">Latency </w:t>
      </w:r>
      <w:r w:rsidRPr="00D92EE7">
        <w:rPr>
          <w:i/>
          <w:iCs/>
          <w:u w:val="single"/>
          <w:lang w:val="en-US"/>
        </w:rPr>
        <w:t>analysis</w:t>
      </w:r>
    </w:p>
    <w:p w14:paraId="2E895B0D" w14:textId="43911874" w:rsidR="0034101B" w:rsidRDefault="003B0F77" w:rsidP="003B0F77">
      <w:pPr>
        <w:jc w:val="both"/>
        <w:rPr>
          <w:lang w:val="en-US"/>
        </w:rPr>
      </w:pPr>
      <w:r>
        <w:rPr>
          <w:lang w:val="en-US"/>
        </w:rPr>
        <w:t xml:space="preserve">Reducing the peak data rates will increase latency for some UEs (typically those with good SNR). However, it is expected that the latency considered in Rel-17 RedCap (i.e. </w:t>
      </w:r>
      <w:r w:rsidRPr="002C4A15">
        <w:t>end-to-end latency less than 100 ms</w:t>
      </w:r>
      <w:r>
        <w:t xml:space="preserve"> for industrial sensor and 5-10ms for </w:t>
      </w:r>
      <w:r w:rsidRPr="0034101B">
        <w:t>safety related sensors</w:t>
      </w:r>
      <w:r>
        <w:rPr>
          <w:lang w:val="en-US"/>
        </w:rPr>
        <w:t>) can still be met.</w:t>
      </w:r>
    </w:p>
    <w:p w14:paraId="3A6BECAD" w14:textId="7E074D6C" w:rsidR="0041021C" w:rsidRPr="00907F26" w:rsidRDefault="00262FB6" w:rsidP="0041021C">
      <w:pPr>
        <w:jc w:val="both"/>
        <w:rPr>
          <w:u w:val="single"/>
          <w:lang w:val="en-US"/>
        </w:rPr>
      </w:pPr>
      <w:r w:rsidRPr="009445E0">
        <w:rPr>
          <w:b/>
          <w:bCs/>
          <w:u w:val="single"/>
          <w:lang w:val="en-US" w:eastAsia="zh-CN"/>
        </w:rPr>
        <w:t>Network deployment and coexistence impact:</w:t>
      </w:r>
    </w:p>
    <w:p w14:paraId="07BA384E" w14:textId="295EA659" w:rsidR="00EB4A7A" w:rsidRPr="008C4739" w:rsidRDefault="00EB4A7A" w:rsidP="00EB4A7A">
      <w:pPr>
        <w:jc w:val="both"/>
        <w:rPr>
          <w:lang w:val="en-US"/>
        </w:rPr>
      </w:pPr>
      <w:r>
        <w:rPr>
          <w:lang w:val="en-US"/>
        </w:rPr>
        <w:t xml:space="preserve">The maximum SIB1 or SI message size is 2976 bits which is well below the limit of 10000/5000 bits for 15/30 kHz SCS. Other messages used during random access and paging procedures are even smaller. Therefore, </w:t>
      </w:r>
      <w:r w:rsidR="000872ED">
        <w:rPr>
          <w:lang w:val="en-US"/>
        </w:rPr>
        <w:t>PR2 option</w:t>
      </w:r>
      <w:r>
        <w:rPr>
          <w:lang w:val="en-US"/>
        </w:rPr>
        <w:t xml:space="preserve"> do</w:t>
      </w:r>
      <w:r w:rsidR="000872ED">
        <w:rPr>
          <w:lang w:val="en-US"/>
        </w:rPr>
        <w:t>es</w:t>
      </w:r>
      <w:r>
        <w:rPr>
          <w:lang w:val="en-US"/>
        </w:rPr>
        <w:t xml:space="preserve"> not have an impact to coexistence and network deployment.</w:t>
      </w:r>
    </w:p>
    <w:p w14:paraId="5A4303FA" w14:textId="63D744FF" w:rsidR="0041021C" w:rsidRDefault="001F1587" w:rsidP="0041021C">
      <w:pPr>
        <w:jc w:val="both"/>
        <w:rPr>
          <w:u w:val="single"/>
          <w:lang w:val="en-US"/>
        </w:rPr>
      </w:pPr>
      <w:r w:rsidRPr="002971DF">
        <w:rPr>
          <w:b/>
          <w:bCs/>
          <w:u w:val="single"/>
          <w:lang w:val="en-US"/>
        </w:rPr>
        <w:t>Specification impact:</w:t>
      </w:r>
    </w:p>
    <w:p w14:paraId="57FC809C" w14:textId="36A57AAB" w:rsidR="0041021C" w:rsidRDefault="0041021C" w:rsidP="0041021C">
      <w:pPr>
        <w:jc w:val="both"/>
        <w:rPr>
          <w:rFonts w:eastAsia="MS Mincho"/>
          <w:lang w:val="en-US" w:eastAsia="ja-JP"/>
        </w:rPr>
      </w:pPr>
      <w:r>
        <w:rPr>
          <w:lang w:val="en-US"/>
        </w:rPr>
        <w:t xml:space="preserve">PR2 is expected to have a minor impact to RAN1 specification by restricting the maximum TBS </w:t>
      </w:r>
      <w:r w:rsidR="00E00EE4">
        <w:rPr>
          <w:lang w:val="en-US"/>
        </w:rPr>
        <w:t>for the UE (e.g. 10000 bits for 15 kHz SCS and 5000 bits for 30 kHz SCS</w:t>
      </w:r>
      <w:r w:rsidR="00B44B5C">
        <w:rPr>
          <w:lang w:val="en-US"/>
        </w:rPr>
        <w:t>)</w:t>
      </w:r>
      <w:r>
        <w:rPr>
          <w:rFonts w:eastAsia="MS Mincho"/>
          <w:lang w:val="en-US" w:eastAsia="ja-JP"/>
        </w:rPr>
        <w:t>.</w:t>
      </w:r>
    </w:p>
    <w:p w14:paraId="24344E9F" w14:textId="12D0B915" w:rsidR="00C6004F" w:rsidRDefault="00C6004F" w:rsidP="0021577D">
      <w:pPr>
        <w:jc w:val="both"/>
        <w:rPr>
          <w:lang w:val="en-US" w:eastAsia="x-none"/>
        </w:rPr>
      </w:pPr>
      <w:r>
        <w:rPr>
          <w:lang w:val="en-US" w:eastAsia="x-none"/>
        </w:rPr>
        <w:lastRenderedPageBreak/>
        <w:t>Note that, when compared to PR1, the complexity reduction estimates are the same</w:t>
      </w:r>
      <w:r w:rsidR="0021577D">
        <w:rPr>
          <w:lang w:val="en-US" w:eastAsia="x-none"/>
        </w:rPr>
        <w:t xml:space="preserve"> for PR1 and PR2</w:t>
      </w:r>
      <w:r>
        <w:rPr>
          <w:lang w:val="en-US" w:eastAsia="x-none"/>
        </w:rPr>
        <w:t xml:space="preserve">. However, TBS restriction is preferred as </w:t>
      </w:r>
      <w:r w:rsidR="0021577D">
        <w:rPr>
          <w:lang w:val="en-US" w:eastAsia="x-none"/>
        </w:rPr>
        <w:t>the</w:t>
      </w:r>
      <w:r>
        <w:rPr>
          <w:lang w:val="en-US" w:eastAsia="x-none"/>
        </w:rPr>
        <w:t xml:space="preserve"> specification</w:t>
      </w:r>
      <w:r w:rsidR="0021577D">
        <w:rPr>
          <w:lang w:val="en-US" w:eastAsia="x-none"/>
        </w:rPr>
        <w:t xml:space="preserve"> impact for PR2 is </w:t>
      </w:r>
      <w:r w:rsidR="00E50B15">
        <w:rPr>
          <w:lang w:val="en-US" w:eastAsia="x-none"/>
        </w:rPr>
        <w:t>clear while PR1 would rely on the scheduler to manage the three components.</w:t>
      </w:r>
      <w:r>
        <w:rPr>
          <w:lang w:val="en-US" w:eastAsia="x-none"/>
        </w:rPr>
        <w:t xml:space="preserve"> </w:t>
      </w:r>
    </w:p>
    <w:p w14:paraId="390B104F" w14:textId="77777777" w:rsidR="0041021C" w:rsidRDefault="0041021C" w:rsidP="0041021C">
      <w:pPr>
        <w:jc w:val="both"/>
        <w:rPr>
          <w:rFonts w:eastAsia="MS Mincho"/>
          <w:lang w:val="en-US" w:eastAsia="ja-JP"/>
        </w:rPr>
      </w:pPr>
      <w:r>
        <w:rPr>
          <w:rFonts w:eastAsia="MS Mincho"/>
          <w:lang w:val="en-US" w:eastAsia="ja-JP"/>
        </w:rPr>
        <w:t>Based on the above discussion, the following observations can be drawn –</w:t>
      </w:r>
    </w:p>
    <w:p w14:paraId="273D73DC" w14:textId="6B77626E" w:rsidR="00863E27" w:rsidRPr="001B74E0" w:rsidRDefault="00863E27" w:rsidP="00863E27">
      <w:pPr>
        <w:pStyle w:val="Heading2"/>
        <w:ind w:hanging="1144"/>
        <w:rPr>
          <w:sz w:val="28"/>
          <w:lang w:val="en-US"/>
        </w:rPr>
      </w:pPr>
      <w:r w:rsidRPr="001D3C1F">
        <w:rPr>
          <w:sz w:val="28"/>
          <w:lang w:val="en-US"/>
        </w:rPr>
        <w:t>PR</w:t>
      </w:r>
      <w:r>
        <w:rPr>
          <w:sz w:val="28"/>
          <w:lang w:val="en-US"/>
        </w:rPr>
        <w:t>3</w:t>
      </w:r>
      <w:r w:rsidRPr="001D3C1F">
        <w:rPr>
          <w:sz w:val="28"/>
          <w:lang w:val="en-US"/>
        </w:rPr>
        <w:t xml:space="preserve">: </w:t>
      </w:r>
      <w:r>
        <w:rPr>
          <w:sz w:val="28"/>
          <w:lang w:val="en-US"/>
        </w:rPr>
        <w:t xml:space="preserve">Maximum </w:t>
      </w:r>
      <w:r w:rsidR="009A254B">
        <w:rPr>
          <w:sz w:val="28"/>
          <w:lang w:val="en-US"/>
        </w:rPr>
        <w:t>PRB</w:t>
      </w:r>
      <w:r>
        <w:rPr>
          <w:sz w:val="28"/>
          <w:lang w:val="en-US"/>
        </w:rPr>
        <w:t xml:space="preserve"> restriction</w:t>
      </w:r>
    </w:p>
    <w:p w14:paraId="7B927CBC" w14:textId="3D643F24" w:rsidR="00863E27" w:rsidRDefault="00863E27" w:rsidP="00863E27">
      <w:pPr>
        <w:spacing w:after="120"/>
        <w:jc w:val="both"/>
        <w:rPr>
          <w:lang w:val="en-US"/>
        </w:rPr>
      </w:pPr>
      <w:r>
        <w:rPr>
          <w:lang w:val="en-US"/>
        </w:rPr>
        <w:t>For PR</w:t>
      </w:r>
      <w:r w:rsidR="009A254B">
        <w:rPr>
          <w:lang w:val="en-US"/>
        </w:rPr>
        <w:t>3</w:t>
      </w:r>
      <w:r>
        <w:rPr>
          <w:lang w:val="en-US"/>
        </w:rPr>
        <w:t xml:space="preserve">, the maximum </w:t>
      </w:r>
      <w:r w:rsidR="009A254B">
        <w:rPr>
          <w:lang w:val="en-US"/>
        </w:rPr>
        <w:t xml:space="preserve">number of scheduled resource blocks </w:t>
      </w:r>
      <w:r w:rsidR="00F62FB4">
        <w:rPr>
          <w:lang w:val="en-US"/>
        </w:rPr>
        <w:t xml:space="preserve">for PDSCH/PUSCH </w:t>
      </w:r>
      <w:r>
        <w:rPr>
          <w:lang w:val="en-US"/>
        </w:rPr>
        <w:t>would be restricted to –</w:t>
      </w:r>
    </w:p>
    <w:p w14:paraId="794D3304" w14:textId="77777777" w:rsidR="00541B32" w:rsidRPr="00541B32" w:rsidRDefault="00541B32" w:rsidP="00541B32">
      <w:pPr>
        <w:pStyle w:val="ListParagraph"/>
        <w:numPr>
          <w:ilvl w:val="0"/>
          <w:numId w:val="20"/>
        </w:numPr>
        <w:spacing w:after="120"/>
        <w:jc w:val="both"/>
        <w:rPr>
          <w:lang w:val="en-US"/>
        </w:rPr>
      </w:pPr>
      <w:r w:rsidRPr="00541B32">
        <w:rPr>
          <w:lang w:val="en-US"/>
        </w:rPr>
        <w:t>For 15 kHz SCS, the maximum number of RBs is 25.</w:t>
      </w:r>
    </w:p>
    <w:p w14:paraId="4454C1DF" w14:textId="7F221DE1" w:rsidR="00863E27" w:rsidRPr="0059401A" w:rsidRDefault="00541B32" w:rsidP="0059401A">
      <w:pPr>
        <w:pStyle w:val="ListParagraph"/>
        <w:numPr>
          <w:ilvl w:val="0"/>
          <w:numId w:val="20"/>
        </w:numPr>
        <w:spacing w:after="120"/>
        <w:jc w:val="both"/>
        <w:rPr>
          <w:lang w:val="en-US"/>
        </w:rPr>
      </w:pPr>
      <w:r w:rsidRPr="00541B32">
        <w:rPr>
          <w:lang w:val="en-US"/>
        </w:rPr>
        <w:t>For 30 kHz SCS, the maximum number of RBs is 11.</w:t>
      </w:r>
    </w:p>
    <w:p w14:paraId="029E6394" w14:textId="598DFD51" w:rsidR="00863E27" w:rsidRPr="00D24944" w:rsidRDefault="00863E27" w:rsidP="00863E27">
      <w:pPr>
        <w:jc w:val="both"/>
        <w:rPr>
          <w:lang w:val="en-US"/>
        </w:rPr>
      </w:pPr>
      <w:r>
        <w:rPr>
          <w:lang w:val="en-US"/>
        </w:rPr>
        <w:t>Note that</w:t>
      </w:r>
      <w:r w:rsidR="0059401A">
        <w:rPr>
          <w:lang w:val="en-US"/>
        </w:rPr>
        <w:t xml:space="preserve"> other</w:t>
      </w:r>
      <w:r w:rsidR="0059401A" w:rsidRPr="0059401A">
        <w:rPr>
          <w:lang w:val="en-US"/>
        </w:rPr>
        <w:t xml:space="preserve"> number of </w:t>
      </w:r>
      <w:r w:rsidR="0059401A">
        <w:rPr>
          <w:lang w:val="en-US"/>
        </w:rPr>
        <w:t>P</w:t>
      </w:r>
      <w:r w:rsidR="0059401A" w:rsidRPr="0059401A">
        <w:rPr>
          <w:lang w:val="en-US"/>
        </w:rPr>
        <w:t>RBs that meet the 10-Mbps peak rate target can optionally be studied</w:t>
      </w:r>
      <w:r>
        <w:rPr>
          <w:lang w:val="en-US"/>
        </w:rPr>
        <w:t>.</w:t>
      </w:r>
      <w:r w:rsidR="001C1421">
        <w:rPr>
          <w:lang w:val="en-US"/>
        </w:rPr>
        <w:t xml:space="preserve"> As agreed in RAN1#109-e, PR2</w:t>
      </w:r>
      <w:r w:rsidR="001C1421" w:rsidRPr="007C06BF">
        <w:rPr>
          <w:lang w:val="en-US"/>
        </w:rPr>
        <w:t xml:space="preserve"> applies to both </w:t>
      </w:r>
      <w:r w:rsidR="001C1421">
        <w:rPr>
          <w:lang w:val="en-US"/>
        </w:rPr>
        <w:t>unicast and broadcast channels. Furthermore, the UE bandwidth and resource allocation spans 20 MHz, and the same option is used for DL/UL and idle/inactive/connected mode.</w:t>
      </w:r>
    </w:p>
    <w:p w14:paraId="115ED6E5" w14:textId="04775871" w:rsidR="00863E27" w:rsidRPr="00907F26" w:rsidRDefault="0044408A" w:rsidP="00863E27">
      <w:pPr>
        <w:jc w:val="both"/>
        <w:rPr>
          <w:u w:val="single"/>
          <w:lang w:val="en-US"/>
        </w:rPr>
      </w:pPr>
      <w:r w:rsidRPr="002971DF">
        <w:rPr>
          <w:b/>
          <w:bCs/>
          <w:u w:val="single"/>
          <w:lang w:val="en-US"/>
        </w:rPr>
        <w:t>UE Complexity reduction:</w:t>
      </w:r>
    </w:p>
    <w:p w14:paraId="7E66D686" w14:textId="32A6818A" w:rsidR="00863E27" w:rsidRDefault="00863E27" w:rsidP="00863E27">
      <w:pPr>
        <w:jc w:val="both"/>
        <w:rPr>
          <w:bCs/>
          <w:noProof/>
          <w:lang w:val="en-US" w:eastAsia="en-GB"/>
        </w:rPr>
      </w:pPr>
      <w:r>
        <w:rPr>
          <w:lang w:val="en-US"/>
        </w:rPr>
        <w:t xml:space="preserve">In this case, complexity reduction can be achieved in the LDPC decoding, HARQ buffer, and UL processing block. </w:t>
      </w:r>
      <w:r w:rsidR="002B044B">
        <w:rPr>
          <w:lang w:val="en-US"/>
        </w:rPr>
        <w:fldChar w:fldCharType="begin"/>
      </w:r>
      <w:r w:rsidR="002B044B">
        <w:rPr>
          <w:lang w:val="en-US"/>
        </w:rPr>
        <w:instrText xml:space="preserve"> REF _Ref110250217 \h </w:instrText>
      </w:r>
      <w:r w:rsidR="002B044B">
        <w:rPr>
          <w:lang w:val="en-US"/>
        </w:rPr>
      </w:r>
      <w:r w:rsidR="002B044B">
        <w:rPr>
          <w:lang w:val="en-US"/>
        </w:rPr>
        <w:fldChar w:fldCharType="separate"/>
      </w:r>
      <w:r w:rsidR="00034224">
        <w:t xml:space="preserve">Table </w:t>
      </w:r>
      <w:r w:rsidR="00034224">
        <w:rPr>
          <w:noProof/>
        </w:rPr>
        <w:t>7</w:t>
      </w:r>
      <w:r w:rsidR="002B044B">
        <w:rPr>
          <w:lang w:val="en-US"/>
        </w:rPr>
        <w:fldChar w:fldCharType="end"/>
      </w:r>
      <w:r>
        <w:rPr>
          <w:lang w:val="en-US"/>
        </w:rPr>
        <w:t xml:space="preserve"> provides estimate complexity reduction estimates for various UE configurations. From the table, it can be seen that complexity reduction in the order of </w:t>
      </w:r>
      <w:r w:rsidR="008C1730">
        <w:rPr>
          <w:lang w:val="en-US"/>
        </w:rPr>
        <w:t>13</w:t>
      </w:r>
      <w:r>
        <w:rPr>
          <w:lang w:val="en-US"/>
        </w:rPr>
        <w:t>-</w:t>
      </w:r>
      <w:r w:rsidR="008C1730">
        <w:rPr>
          <w:lang w:val="en-US"/>
        </w:rPr>
        <w:t>16</w:t>
      </w:r>
      <w:r>
        <w:rPr>
          <w:lang w:val="en-US"/>
        </w:rPr>
        <w:t>% is possible.</w:t>
      </w:r>
    </w:p>
    <w:p w14:paraId="4A40C086" w14:textId="007DA2CE" w:rsidR="00863E27" w:rsidRPr="00A963F0" w:rsidRDefault="00863E27" w:rsidP="00863E27">
      <w:pPr>
        <w:pStyle w:val="Caption"/>
        <w:keepNext/>
        <w:jc w:val="center"/>
        <w:rPr>
          <w:lang w:val="en-US"/>
        </w:rPr>
      </w:pPr>
      <w:bookmarkStart w:id="23" w:name="_Ref110250217"/>
      <w:r>
        <w:t xml:space="preserve">Table </w:t>
      </w:r>
      <w:r w:rsidR="00731A2A">
        <w:fldChar w:fldCharType="begin"/>
      </w:r>
      <w:r w:rsidR="00731A2A">
        <w:instrText xml:space="preserve"> SEQ Table \* ARABIC </w:instrText>
      </w:r>
      <w:r w:rsidR="00731A2A">
        <w:fldChar w:fldCharType="separate"/>
      </w:r>
      <w:r w:rsidR="00034224">
        <w:rPr>
          <w:noProof/>
        </w:rPr>
        <w:t>7</w:t>
      </w:r>
      <w:r w:rsidR="00731A2A">
        <w:rPr>
          <w:noProof/>
        </w:rPr>
        <w:fldChar w:fldCharType="end"/>
      </w:r>
      <w:bookmarkEnd w:id="23"/>
      <w:r>
        <w:rPr>
          <w:lang w:val="en-US"/>
        </w:rPr>
        <w:t>. C</w:t>
      </w:r>
      <w:r w:rsidRPr="00A963F0">
        <w:rPr>
          <w:lang w:val="en-US"/>
        </w:rPr>
        <w:t>omplexity reduction estimat</w:t>
      </w:r>
      <w:r>
        <w:rPr>
          <w:lang w:val="en-US"/>
        </w:rPr>
        <w:t>es</w:t>
      </w:r>
      <w:r w:rsidRPr="00A963F0">
        <w:rPr>
          <w:lang w:val="en-US"/>
        </w:rPr>
        <w:t xml:space="preserve"> </w:t>
      </w:r>
      <w:r>
        <w:rPr>
          <w:lang w:val="en-US"/>
        </w:rPr>
        <w:t>for PR</w:t>
      </w:r>
      <w:r w:rsidR="0037734A">
        <w:rPr>
          <w:lang w:val="en-US"/>
        </w:rPr>
        <w:t>3</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863E27" w:rsidRPr="004C0C03" w14:paraId="4899DA13" w14:textId="77777777" w:rsidTr="00E76164">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126B99C" w14:textId="77777777" w:rsidR="00863E27" w:rsidRPr="004C0C03" w:rsidRDefault="00863E27" w:rsidP="00E76164">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5AB62D9"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AFBFC1F"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003EA36"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13CCEE4"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4D9E04B"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57E47EB" w14:textId="77777777" w:rsidR="00863E27" w:rsidRPr="004C0C03" w:rsidRDefault="00863E27"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863E27" w:rsidRPr="004C0C03" w14:paraId="251641DC" w14:textId="77777777" w:rsidTr="00E76164">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514FE903" w14:textId="77777777" w:rsidR="00863E27" w:rsidRPr="004C0C03" w:rsidRDefault="00863E27" w:rsidP="00E76164">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1AAF754"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6DEFFD3"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408FEE0"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8268AD9"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9A99EDE"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B408409" w14:textId="77777777" w:rsidR="00863E27" w:rsidRPr="004C0C03" w:rsidRDefault="00863E27" w:rsidP="00E76164">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37734A" w:rsidRPr="004C0C03" w14:paraId="684172DB" w14:textId="77777777" w:rsidTr="00E76164">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hideMark/>
          </w:tcPr>
          <w:p w14:paraId="61E960AC" w14:textId="76A32934" w:rsidR="0037734A" w:rsidRPr="004C0C03" w:rsidRDefault="0037734A" w:rsidP="0037734A">
            <w:pPr>
              <w:overflowPunct/>
              <w:autoSpaceDE/>
              <w:autoSpaceDN/>
              <w:adjustRightInd/>
              <w:spacing w:after="0"/>
              <w:textAlignment w:val="auto"/>
              <w:rPr>
                <w:rFonts w:eastAsia="Times New Roman"/>
                <w:lang w:val="en-US"/>
              </w:rPr>
            </w:pPr>
            <w:r>
              <w:rPr>
                <w:rFonts w:eastAsia="Times New Roman"/>
                <w:lang w:val="en-US"/>
              </w:rPr>
              <w:t>PR3</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512E98D3" w14:textId="1DB8B69B"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40.98%</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03A9B78A" w14:textId="4ABF7035"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34.58%</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20F2D74A" w14:textId="20263DB8"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26.26%</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F3A0787" w14:textId="6F2D6E75"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59.88%</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103F9120" w14:textId="64453804"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53.48%</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71AF2C3F" w14:textId="0E304638" w:rsidR="0037734A" w:rsidRPr="004C0C03" w:rsidRDefault="0037734A" w:rsidP="0037734A">
            <w:pPr>
              <w:overflowPunct/>
              <w:autoSpaceDE/>
              <w:autoSpaceDN/>
              <w:adjustRightInd/>
              <w:spacing w:after="0"/>
              <w:jc w:val="right"/>
              <w:textAlignment w:val="auto"/>
              <w:rPr>
                <w:rFonts w:eastAsia="Times New Roman"/>
                <w:lang w:val="en-US"/>
              </w:rPr>
            </w:pPr>
            <w:r w:rsidRPr="004C0C03">
              <w:rPr>
                <w:rFonts w:eastAsia="Times New Roman"/>
                <w:lang w:val="en-US"/>
              </w:rPr>
              <w:t>37.31%</w:t>
            </w:r>
          </w:p>
        </w:tc>
      </w:tr>
      <w:tr w:rsidR="00E1067B" w:rsidRPr="004C0C03" w14:paraId="3914258C" w14:textId="77777777" w:rsidTr="00E76164">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31E03312" w14:textId="77777777" w:rsidR="00E1067B" w:rsidRPr="004C0C03" w:rsidRDefault="00E1067B" w:rsidP="00E1067B">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01140885" w14:textId="21BD17B1"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-12.5%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89774A9" w14:textId="0C215EA8"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-14.5%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56366E3" w14:textId="6336E9D3"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-12.5%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16F02A2" w14:textId="5FE506A5"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-14.6%</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AC4D779" w14:textId="679D9369"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-16.0%</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C8AEF89" w14:textId="128183BC" w:rsidR="00E1067B" w:rsidRPr="004C0C03" w:rsidRDefault="00E1067B" w:rsidP="00E1067B">
            <w:pPr>
              <w:overflowPunct/>
              <w:autoSpaceDE/>
              <w:autoSpaceDN/>
              <w:adjustRightInd/>
              <w:spacing w:after="0"/>
              <w:jc w:val="right"/>
              <w:textAlignment w:val="auto"/>
              <w:rPr>
                <w:rFonts w:eastAsia="Times New Roman"/>
                <w:lang w:val="en-US"/>
              </w:rPr>
            </w:pPr>
            <w:r w:rsidRPr="004C0C03">
              <w:rPr>
                <w:rFonts w:eastAsia="Times New Roman"/>
                <w:lang w:val="en-US"/>
              </w:rPr>
              <w:t>-14.2%</w:t>
            </w:r>
          </w:p>
        </w:tc>
      </w:tr>
    </w:tbl>
    <w:p w14:paraId="54F15056" w14:textId="620F08CB" w:rsidR="00863E27" w:rsidRDefault="00863E27" w:rsidP="00863E27">
      <w:pPr>
        <w:jc w:val="both"/>
        <w:rPr>
          <w:u w:val="single"/>
          <w:lang w:val="en-US"/>
        </w:rPr>
      </w:pPr>
    </w:p>
    <w:p w14:paraId="76753226" w14:textId="3E137969" w:rsidR="00DD268F" w:rsidRDefault="00DD268F" w:rsidP="00DD268F">
      <w:pPr>
        <w:jc w:val="both"/>
        <w:rPr>
          <w:lang w:val="en-US" w:eastAsia="x-none"/>
        </w:rPr>
      </w:pPr>
      <w:r>
        <w:rPr>
          <w:lang w:val="en-US" w:eastAsia="x-none"/>
        </w:rPr>
        <w:t xml:space="preserve">Note that, when compared to PR1 and PR2, PR3 has better saving. This is due to the </w:t>
      </w:r>
      <w:r w:rsidR="007F7718">
        <w:rPr>
          <w:lang w:val="en-US" w:eastAsia="x-none"/>
        </w:rPr>
        <w:t>reduc</w:t>
      </w:r>
      <w:r w:rsidR="00B9236B">
        <w:rPr>
          <w:lang w:val="en-US" w:eastAsia="x-none"/>
        </w:rPr>
        <w:t>tion in the receiver processing block</w:t>
      </w:r>
      <w:r>
        <w:rPr>
          <w:lang w:val="en-US" w:eastAsia="x-none"/>
        </w:rPr>
        <w:t xml:space="preserve">. </w:t>
      </w:r>
    </w:p>
    <w:p w14:paraId="423785E1" w14:textId="77777777" w:rsidR="002F2E80" w:rsidRDefault="002F2E80" w:rsidP="00863E27">
      <w:pPr>
        <w:jc w:val="both"/>
        <w:rPr>
          <w:b/>
          <w:bCs/>
          <w:u w:val="single"/>
          <w:lang w:val="en-US"/>
        </w:rPr>
      </w:pPr>
      <w:r w:rsidRPr="002971DF">
        <w:rPr>
          <w:b/>
          <w:bCs/>
          <w:u w:val="single"/>
          <w:lang w:val="en-US"/>
        </w:rPr>
        <w:t>Performance impact</w:t>
      </w:r>
      <w:r>
        <w:rPr>
          <w:b/>
          <w:bCs/>
          <w:u w:val="single"/>
          <w:lang w:val="en-US"/>
        </w:rPr>
        <w:t>:</w:t>
      </w:r>
    </w:p>
    <w:p w14:paraId="48A3E356" w14:textId="4DBC0C7A" w:rsidR="00863E27" w:rsidRPr="00D92EE7" w:rsidRDefault="00863E27" w:rsidP="00863E27">
      <w:pPr>
        <w:jc w:val="both"/>
        <w:rPr>
          <w:i/>
          <w:iCs/>
          <w:u w:val="single"/>
          <w:lang w:val="en-US"/>
        </w:rPr>
      </w:pPr>
      <w:r w:rsidRPr="00D92EE7">
        <w:rPr>
          <w:i/>
          <w:iCs/>
          <w:u w:val="single"/>
          <w:lang w:val="en-US"/>
        </w:rPr>
        <w:t>Coverage analysis</w:t>
      </w:r>
    </w:p>
    <w:p w14:paraId="169AFD88" w14:textId="62624A9E" w:rsidR="001F48F9" w:rsidRDefault="001F48F9" w:rsidP="00863E27">
      <w:pPr>
        <w:jc w:val="both"/>
        <w:rPr>
          <w:rFonts w:eastAsia="MS Mincho"/>
          <w:lang w:val="en-US" w:eastAsia="ja-JP"/>
        </w:rPr>
      </w:pPr>
      <w:r>
        <w:rPr>
          <w:lang w:val="en-US"/>
        </w:rPr>
        <w:t xml:space="preserve">Based on the coverage evaluations for BW1 discussed in </w:t>
      </w:r>
      <w:r>
        <w:rPr>
          <w:lang w:val="en-US"/>
        </w:rPr>
        <w:fldChar w:fldCharType="begin"/>
      </w:r>
      <w:r>
        <w:rPr>
          <w:lang w:val="en-US"/>
        </w:rPr>
        <w:instrText xml:space="preserve"> REF _Ref111044486 \r \h </w:instrText>
      </w:r>
      <w:r>
        <w:rPr>
          <w:lang w:val="en-US"/>
        </w:rPr>
      </w:r>
      <w:r>
        <w:rPr>
          <w:lang w:val="en-US"/>
        </w:rPr>
        <w:fldChar w:fldCharType="separate"/>
      </w:r>
      <w:r w:rsidR="00034224">
        <w:rPr>
          <w:lang w:val="en-US"/>
        </w:rPr>
        <w:t>[2]</w:t>
      </w:r>
      <w:r>
        <w:rPr>
          <w:lang w:val="en-US"/>
        </w:rPr>
        <w:fldChar w:fldCharType="end"/>
      </w:r>
      <w:r>
        <w:rPr>
          <w:lang w:val="en-US"/>
        </w:rPr>
        <w:t>, the maximum PRB restriction on PDSCH is expected to result in some coverage loss. However, the loss is expected to be small enough (coverage not degraded below that of the limiting channel) that system coverage is not affected.</w:t>
      </w:r>
    </w:p>
    <w:p w14:paraId="2834ECE4" w14:textId="77777777" w:rsidR="00863E27" w:rsidRPr="00D92EE7" w:rsidRDefault="00863E27" w:rsidP="00863E27">
      <w:pPr>
        <w:jc w:val="both"/>
        <w:rPr>
          <w:i/>
          <w:iCs/>
          <w:u w:val="single"/>
          <w:lang w:val="en-US"/>
        </w:rPr>
      </w:pPr>
      <w:r w:rsidRPr="00D92EE7">
        <w:rPr>
          <w:i/>
          <w:iCs/>
          <w:u w:val="single"/>
          <w:lang w:val="en-US"/>
        </w:rPr>
        <w:t>Cell spectral efficiency analysis</w:t>
      </w:r>
    </w:p>
    <w:p w14:paraId="1170B13C" w14:textId="4331FD5F" w:rsidR="00863E27" w:rsidRDefault="00863E27" w:rsidP="00863E27">
      <w:pPr>
        <w:jc w:val="both"/>
        <w:rPr>
          <w:lang w:val="en-US"/>
        </w:rPr>
      </w:pPr>
      <w:r>
        <w:rPr>
          <w:lang w:val="en-US"/>
        </w:rPr>
        <w:t>PR</w:t>
      </w:r>
      <w:r w:rsidR="004B71D2">
        <w:rPr>
          <w:lang w:val="en-US"/>
        </w:rPr>
        <w:t>3</w:t>
      </w:r>
      <w:r>
        <w:rPr>
          <w:lang w:val="en-US"/>
        </w:rPr>
        <w:t xml:space="preserve"> is not expected to have an impact to cell spectral efficiency beyond the impact of reducing the peak data rates to 10 Mbps for DL/UL.</w:t>
      </w:r>
    </w:p>
    <w:p w14:paraId="2B4C0C70" w14:textId="77777777" w:rsidR="00863E27" w:rsidRPr="00D92EE7" w:rsidRDefault="00863E27" w:rsidP="00863E27">
      <w:pPr>
        <w:jc w:val="both"/>
        <w:rPr>
          <w:i/>
          <w:iCs/>
          <w:u w:val="single"/>
          <w:lang w:val="en-US"/>
        </w:rPr>
      </w:pPr>
      <w:r w:rsidRPr="00D92EE7">
        <w:rPr>
          <w:i/>
          <w:iCs/>
          <w:u w:val="single"/>
          <w:lang w:val="en-US"/>
        </w:rPr>
        <w:t>Power consumption analysis</w:t>
      </w:r>
    </w:p>
    <w:p w14:paraId="1F85DCA9" w14:textId="77777777" w:rsidR="00863E27" w:rsidRDefault="00863E27" w:rsidP="00863E27">
      <w:pPr>
        <w:jc w:val="both"/>
        <w:rPr>
          <w:lang w:val="en-US"/>
        </w:rPr>
      </w:pPr>
      <w:r>
        <w:rPr>
          <w:lang w:val="en-US"/>
        </w:rPr>
        <w:t xml:space="preserve">Power consumption may increase slightly for a UE with good SNR (i.e. UE capable of data rate beyond 10 Mbps) due to longer Tx/Rx times. It is, however, not expected to impact overall power consumption significantly. </w:t>
      </w:r>
    </w:p>
    <w:p w14:paraId="014C543E" w14:textId="77777777" w:rsidR="003B0F77" w:rsidRPr="00D92EE7" w:rsidRDefault="003B0F77" w:rsidP="003B0F77">
      <w:pPr>
        <w:jc w:val="both"/>
        <w:rPr>
          <w:i/>
          <w:iCs/>
          <w:u w:val="single"/>
          <w:lang w:val="en-US"/>
        </w:rPr>
      </w:pPr>
      <w:r>
        <w:rPr>
          <w:i/>
          <w:iCs/>
          <w:u w:val="single"/>
          <w:lang w:val="en-US"/>
        </w:rPr>
        <w:t xml:space="preserve">Latency </w:t>
      </w:r>
      <w:r w:rsidRPr="00D92EE7">
        <w:rPr>
          <w:i/>
          <w:iCs/>
          <w:u w:val="single"/>
          <w:lang w:val="en-US"/>
        </w:rPr>
        <w:t>analysis</w:t>
      </w:r>
    </w:p>
    <w:p w14:paraId="27D24B04" w14:textId="42B85444" w:rsidR="0034101B" w:rsidRDefault="003B0F77" w:rsidP="003B0F77">
      <w:pPr>
        <w:jc w:val="both"/>
        <w:rPr>
          <w:lang w:val="en-US"/>
        </w:rPr>
      </w:pPr>
      <w:r>
        <w:rPr>
          <w:lang w:val="en-US"/>
        </w:rPr>
        <w:t xml:space="preserve">Reducing the peak data rates will increase latency for some UEs (typically those with good SNR). However, it is expected that the latency considered in Rel-17 RedCap (i.e. </w:t>
      </w:r>
      <w:r w:rsidRPr="002C4A15">
        <w:t>end-to-end latency less than 100 ms</w:t>
      </w:r>
      <w:r>
        <w:t xml:space="preserve"> for industrial sensor and 5-10ms for </w:t>
      </w:r>
      <w:r w:rsidRPr="0034101B">
        <w:t>safety related sensors</w:t>
      </w:r>
      <w:r>
        <w:rPr>
          <w:lang w:val="en-US"/>
        </w:rPr>
        <w:t>) can still be met.</w:t>
      </w:r>
    </w:p>
    <w:p w14:paraId="6D6F0D2B" w14:textId="72175D77" w:rsidR="00863E27" w:rsidRPr="00907F26" w:rsidRDefault="00262FB6" w:rsidP="00863E27">
      <w:pPr>
        <w:jc w:val="both"/>
        <w:rPr>
          <w:u w:val="single"/>
          <w:lang w:val="en-US"/>
        </w:rPr>
      </w:pPr>
      <w:r w:rsidRPr="009445E0">
        <w:rPr>
          <w:b/>
          <w:bCs/>
          <w:u w:val="single"/>
          <w:lang w:val="en-US" w:eastAsia="zh-CN"/>
        </w:rPr>
        <w:t>Network deployment and coexistence impact:</w:t>
      </w:r>
    </w:p>
    <w:p w14:paraId="21D25665" w14:textId="6BA89E82" w:rsidR="000872ED" w:rsidRPr="008C4739" w:rsidRDefault="000872ED" w:rsidP="000872ED">
      <w:pPr>
        <w:jc w:val="both"/>
        <w:rPr>
          <w:lang w:val="en-US"/>
        </w:rPr>
      </w:pPr>
      <w:r>
        <w:rPr>
          <w:lang w:val="en-US"/>
        </w:rPr>
        <w:lastRenderedPageBreak/>
        <w:t xml:space="preserve">The maximum SIB1 or SI message size is 2976 bits which </w:t>
      </w:r>
      <w:r w:rsidR="00707254">
        <w:rPr>
          <w:lang w:val="en-US"/>
        </w:rPr>
        <w:t>must be transmitted within 25/11 PRBs for 15/30 kHz</w:t>
      </w:r>
      <w:r>
        <w:rPr>
          <w:lang w:val="en-US"/>
        </w:rPr>
        <w:t xml:space="preserve">. Other messages used during random access and paging procedures are </w:t>
      </w:r>
      <w:r w:rsidR="00443D1A">
        <w:rPr>
          <w:lang w:val="en-US"/>
        </w:rPr>
        <w:t xml:space="preserve">much </w:t>
      </w:r>
      <w:r>
        <w:rPr>
          <w:lang w:val="en-US"/>
        </w:rPr>
        <w:t>smaller</w:t>
      </w:r>
      <w:r w:rsidR="00443D1A">
        <w:rPr>
          <w:lang w:val="en-US"/>
        </w:rPr>
        <w:t xml:space="preserve"> and generally not a concern</w:t>
      </w:r>
      <w:r w:rsidR="00620121">
        <w:rPr>
          <w:lang w:val="en-US"/>
        </w:rPr>
        <w:t xml:space="preserve">. </w:t>
      </w:r>
      <w:r w:rsidR="001F48F9">
        <w:rPr>
          <w:lang w:val="en-US"/>
        </w:rPr>
        <w:t xml:space="preserve">Coverage evaluations in </w:t>
      </w:r>
      <w:r w:rsidR="001F48F9">
        <w:rPr>
          <w:lang w:val="en-US"/>
        </w:rPr>
        <w:fldChar w:fldCharType="begin"/>
      </w:r>
      <w:r w:rsidR="001F48F9">
        <w:rPr>
          <w:lang w:val="en-US"/>
        </w:rPr>
        <w:instrText xml:space="preserve"> REF _Ref111044486 \r \h </w:instrText>
      </w:r>
      <w:r w:rsidR="001F48F9">
        <w:rPr>
          <w:lang w:val="en-US"/>
        </w:rPr>
      </w:r>
      <w:r w:rsidR="001F48F9">
        <w:rPr>
          <w:lang w:val="en-US"/>
        </w:rPr>
        <w:fldChar w:fldCharType="separate"/>
      </w:r>
      <w:r w:rsidR="00034224">
        <w:rPr>
          <w:lang w:val="en-US"/>
        </w:rPr>
        <w:t>[2]</w:t>
      </w:r>
      <w:r w:rsidR="001F48F9">
        <w:rPr>
          <w:lang w:val="en-US"/>
        </w:rPr>
        <w:fldChar w:fldCharType="end"/>
      </w:r>
      <w:r w:rsidR="001F48F9">
        <w:rPr>
          <w:lang w:val="en-US"/>
        </w:rPr>
        <w:t xml:space="preserve"> indicate that for SIB1 with a typical size of 1256 bits, there is a coverage loss but not enough to degrade the coverage below that of the limiting channel.</w:t>
      </w:r>
    </w:p>
    <w:p w14:paraId="6D2C10A9" w14:textId="21242CE3" w:rsidR="00863E27" w:rsidRDefault="001F1587" w:rsidP="00863E27">
      <w:pPr>
        <w:jc w:val="both"/>
        <w:rPr>
          <w:u w:val="single"/>
          <w:lang w:val="en-US"/>
        </w:rPr>
      </w:pPr>
      <w:r w:rsidRPr="002971DF">
        <w:rPr>
          <w:b/>
          <w:bCs/>
          <w:u w:val="single"/>
          <w:lang w:val="en-US"/>
        </w:rPr>
        <w:t>Specification impact:</w:t>
      </w:r>
    </w:p>
    <w:p w14:paraId="4E8808FF" w14:textId="123138AF" w:rsidR="00863E27" w:rsidRDefault="00863E27" w:rsidP="00863E27">
      <w:pPr>
        <w:jc w:val="both"/>
        <w:rPr>
          <w:rFonts w:eastAsia="MS Mincho"/>
          <w:lang w:val="en-US" w:eastAsia="ja-JP"/>
        </w:rPr>
      </w:pPr>
      <w:r>
        <w:rPr>
          <w:lang w:val="en-US"/>
        </w:rPr>
        <w:t>PR</w:t>
      </w:r>
      <w:r w:rsidR="004B71D2">
        <w:rPr>
          <w:lang w:val="en-US"/>
        </w:rPr>
        <w:t>3</w:t>
      </w:r>
      <w:r>
        <w:rPr>
          <w:lang w:val="en-US"/>
        </w:rPr>
        <w:t xml:space="preserve"> is expected to have a minor impact to RAN1 specification by restricting the maximum </w:t>
      </w:r>
      <w:r w:rsidR="004B71D2">
        <w:rPr>
          <w:lang w:val="en-US"/>
        </w:rPr>
        <w:t>of scheduled PRBs</w:t>
      </w:r>
      <w:r>
        <w:rPr>
          <w:lang w:val="en-US"/>
        </w:rPr>
        <w:t xml:space="preserve"> for the UE (e.g. </w:t>
      </w:r>
      <w:r w:rsidR="004B71D2">
        <w:rPr>
          <w:lang w:val="en-US"/>
        </w:rPr>
        <w:t>25</w:t>
      </w:r>
      <w:r>
        <w:rPr>
          <w:lang w:val="en-US"/>
        </w:rPr>
        <w:t xml:space="preserve"> bits for 15 kHz SCS and </w:t>
      </w:r>
      <w:r w:rsidR="004B71D2">
        <w:rPr>
          <w:lang w:val="en-US"/>
        </w:rPr>
        <w:t>11</w:t>
      </w:r>
      <w:r>
        <w:rPr>
          <w:lang w:val="en-US"/>
        </w:rPr>
        <w:t xml:space="preserve"> bits for 30 kHz SCS)</w:t>
      </w:r>
      <w:r>
        <w:rPr>
          <w:rFonts w:eastAsia="MS Mincho"/>
          <w:lang w:val="en-US" w:eastAsia="ja-JP"/>
        </w:rPr>
        <w:t>.</w:t>
      </w:r>
    </w:p>
    <w:p w14:paraId="45D79D0F" w14:textId="0061BAB3" w:rsidR="00544AAE" w:rsidRPr="001B74E0" w:rsidRDefault="00544AAE" w:rsidP="00544AAE">
      <w:pPr>
        <w:pStyle w:val="Heading2"/>
        <w:ind w:hanging="1144"/>
        <w:rPr>
          <w:sz w:val="28"/>
          <w:lang w:val="en-US"/>
        </w:rPr>
      </w:pPr>
      <w:r>
        <w:rPr>
          <w:sz w:val="28"/>
          <w:lang w:val="en-US"/>
        </w:rPr>
        <w:t xml:space="preserve">Observations for </w:t>
      </w:r>
      <w:r w:rsidR="0023363A">
        <w:rPr>
          <w:sz w:val="28"/>
          <w:lang w:val="en-US"/>
        </w:rPr>
        <w:t>PR</w:t>
      </w:r>
      <w:r>
        <w:rPr>
          <w:sz w:val="28"/>
          <w:lang w:val="en-US"/>
        </w:rPr>
        <w:t xml:space="preserve"> reduction options</w:t>
      </w:r>
    </w:p>
    <w:p w14:paraId="7BB1341E" w14:textId="77777777" w:rsidR="00544AAE" w:rsidRDefault="00544AAE" w:rsidP="00544AAE">
      <w:pPr>
        <w:jc w:val="both"/>
        <w:rPr>
          <w:rFonts w:eastAsia="MS Mincho"/>
          <w:lang w:val="en-US" w:eastAsia="ja-JP"/>
        </w:rPr>
      </w:pPr>
      <w:r>
        <w:rPr>
          <w:rFonts w:eastAsia="MS Mincho"/>
          <w:lang w:val="en-US" w:eastAsia="ja-JP"/>
        </w:rPr>
        <w:t>Based on the above discussion, the following observations can be drawn –</w:t>
      </w:r>
    </w:p>
    <w:p w14:paraId="120891F7" w14:textId="55BB855E" w:rsidR="00544AAE" w:rsidRDefault="00544AAE" w:rsidP="00544AAE">
      <w:pPr>
        <w:spacing w:before="120"/>
        <w:jc w:val="both"/>
        <w:rPr>
          <w:b/>
          <w:noProof/>
          <w:lang w:val="en-US" w:eastAsia="en-GB"/>
        </w:rPr>
      </w:pPr>
      <w:r w:rsidRPr="00177B90">
        <w:rPr>
          <w:b/>
          <w:noProof/>
          <w:lang w:val="en-US" w:eastAsia="en-GB"/>
        </w:rPr>
        <w:t xml:space="preserve">Observation </w:t>
      </w:r>
      <w:r w:rsidR="008D0716">
        <w:rPr>
          <w:b/>
          <w:noProof/>
          <w:lang w:val="en-US" w:eastAsia="en-GB"/>
        </w:rPr>
        <w:t>11</w:t>
      </w:r>
      <w:r w:rsidRPr="00177B90">
        <w:rPr>
          <w:b/>
          <w:noProof/>
          <w:lang w:val="en-US" w:eastAsia="en-GB"/>
        </w:rPr>
        <w:t>:</w:t>
      </w:r>
      <w:r>
        <w:rPr>
          <w:b/>
          <w:noProof/>
          <w:lang w:val="en-US" w:eastAsia="en-GB"/>
        </w:rPr>
        <w:t xml:space="preserve"> PR1</w:t>
      </w:r>
      <w:r w:rsidR="00CD0BA0">
        <w:rPr>
          <w:b/>
          <w:noProof/>
          <w:lang w:val="en-US" w:eastAsia="en-GB"/>
        </w:rPr>
        <w:t>/PR2</w:t>
      </w:r>
      <w:r>
        <w:rPr>
          <w:b/>
          <w:noProof/>
          <w:lang w:val="en-US" w:eastAsia="en-GB"/>
        </w:rPr>
        <w:t xml:space="preserve"> provide complexity reduction of around 8% compared to Rel-17 RedCap U</w:t>
      </w:r>
      <w:r w:rsidR="001D72D2">
        <w:rPr>
          <w:b/>
          <w:noProof/>
          <w:lang w:val="en-US" w:eastAsia="en-GB"/>
        </w:rPr>
        <w:t>E, while PR3 can provide 14% complexity reduction</w:t>
      </w:r>
      <w:r>
        <w:rPr>
          <w:b/>
          <w:noProof/>
          <w:lang w:val="en-US" w:eastAsia="en-GB"/>
        </w:rPr>
        <w:t xml:space="preserve">. </w:t>
      </w:r>
      <w:r w:rsidR="003A1E76">
        <w:rPr>
          <w:b/>
          <w:noProof/>
          <w:lang w:val="en-US" w:eastAsia="en-GB"/>
        </w:rPr>
        <w:t>For PR1/PR2, this</w:t>
      </w:r>
      <w:r>
        <w:rPr>
          <w:b/>
          <w:noProof/>
          <w:lang w:val="en-US" w:eastAsia="en-GB"/>
        </w:rPr>
        <w:t xml:space="preserve"> is substantially lower than BW </w:t>
      </w:r>
      <w:r w:rsidR="00BF07AF">
        <w:rPr>
          <w:b/>
          <w:noProof/>
          <w:lang w:val="en-US" w:eastAsia="en-GB"/>
        </w:rPr>
        <w:t xml:space="preserve">reduction </w:t>
      </w:r>
      <w:r>
        <w:rPr>
          <w:b/>
          <w:noProof/>
          <w:lang w:val="en-US" w:eastAsia="en-GB"/>
        </w:rPr>
        <w:t>options.</w:t>
      </w:r>
    </w:p>
    <w:p w14:paraId="6DD466D4" w14:textId="27624552" w:rsidR="00544AAE" w:rsidRDefault="00544AAE" w:rsidP="00544AAE">
      <w:pPr>
        <w:spacing w:before="120"/>
        <w:jc w:val="both"/>
        <w:rPr>
          <w:b/>
          <w:noProof/>
          <w:lang w:val="en-US" w:eastAsia="en-GB"/>
        </w:rPr>
      </w:pPr>
      <w:r w:rsidRPr="00177B90">
        <w:rPr>
          <w:b/>
          <w:noProof/>
          <w:lang w:val="en-US" w:eastAsia="en-GB"/>
        </w:rPr>
        <w:t xml:space="preserve">Observation </w:t>
      </w:r>
      <w:r w:rsidR="008D0716">
        <w:rPr>
          <w:b/>
          <w:noProof/>
          <w:lang w:val="en-US" w:eastAsia="en-GB"/>
        </w:rPr>
        <w:t>12</w:t>
      </w:r>
      <w:r w:rsidRPr="00177B90">
        <w:rPr>
          <w:b/>
          <w:noProof/>
          <w:lang w:val="en-US" w:eastAsia="en-GB"/>
        </w:rPr>
        <w:t>:</w:t>
      </w:r>
      <w:r>
        <w:rPr>
          <w:b/>
          <w:noProof/>
          <w:lang w:val="en-US" w:eastAsia="en-GB"/>
        </w:rPr>
        <w:t xml:space="preserve"> There is no impact to coverage, network deployment, and coexistence for PR1</w:t>
      </w:r>
      <w:r w:rsidR="00A4781E">
        <w:rPr>
          <w:b/>
          <w:noProof/>
          <w:lang w:val="en-US" w:eastAsia="en-GB"/>
        </w:rPr>
        <w:t>/PR2/PR3</w:t>
      </w:r>
      <w:r>
        <w:rPr>
          <w:b/>
          <w:noProof/>
          <w:lang w:val="en-US" w:eastAsia="en-GB"/>
        </w:rPr>
        <w:t>. There are small impacts to cell spectral efficiency, power consumption, and latency.</w:t>
      </w:r>
    </w:p>
    <w:p w14:paraId="64A5C085" w14:textId="767F691A" w:rsidR="00544AAE" w:rsidRDefault="00544AAE" w:rsidP="00544AAE">
      <w:pPr>
        <w:jc w:val="both"/>
        <w:rPr>
          <w:rFonts w:eastAsia="MS Mincho"/>
          <w:lang w:val="en-US" w:eastAsia="ja-JP"/>
        </w:rPr>
      </w:pPr>
      <w:r w:rsidRPr="00177B90">
        <w:rPr>
          <w:b/>
          <w:noProof/>
          <w:lang w:val="en-US" w:eastAsia="en-GB"/>
        </w:rPr>
        <w:t xml:space="preserve">Observation </w:t>
      </w:r>
      <w:r w:rsidR="008D0716">
        <w:rPr>
          <w:b/>
          <w:noProof/>
          <w:lang w:val="en-US" w:eastAsia="en-GB"/>
        </w:rPr>
        <w:t>13</w:t>
      </w:r>
      <w:r w:rsidRPr="00177B90">
        <w:rPr>
          <w:b/>
          <w:noProof/>
          <w:lang w:val="en-US" w:eastAsia="en-GB"/>
        </w:rPr>
        <w:t>:</w:t>
      </w:r>
      <w:r>
        <w:rPr>
          <w:b/>
          <w:noProof/>
          <w:lang w:val="en-US" w:eastAsia="en-GB"/>
        </w:rPr>
        <w:t xml:space="preserve"> </w:t>
      </w:r>
      <w:r w:rsidR="00A4781E">
        <w:rPr>
          <w:b/>
          <w:noProof/>
          <w:lang w:val="en-US" w:eastAsia="en-GB"/>
        </w:rPr>
        <w:t>PR1/PR2/PR3</w:t>
      </w:r>
      <w:r>
        <w:rPr>
          <w:b/>
          <w:noProof/>
          <w:lang w:val="en-US" w:eastAsia="en-GB"/>
        </w:rPr>
        <w:t xml:space="preserve"> has minimal specification impact.</w:t>
      </w:r>
    </w:p>
    <w:p w14:paraId="1F9DC4CC" w14:textId="77777777" w:rsidR="00B2236C" w:rsidRPr="001B74E0" w:rsidRDefault="00B06028" w:rsidP="00B2236C">
      <w:pPr>
        <w:pStyle w:val="Heading2"/>
        <w:ind w:hanging="1144"/>
        <w:rPr>
          <w:sz w:val="28"/>
          <w:lang w:val="en-US"/>
        </w:rPr>
      </w:pPr>
      <w:r w:rsidRPr="00B06028">
        <w:rPr>
          <w:sz w:val="28"/>
          <w:lang w:val="en-US"/>
        </w:rPr>
        <w:t>Relaxed UE processing time</w:t>
      </w:r>
    </w:p>
    <w:p w14:paraId="12638CE9" w14:textId="6F98E5F5" w:rsidR="0048298F" w:rsidRDefault="00D24944" w:rsidP="00F645F9">
      <w:pPr>
        <w:jc w:val="both"/>
        <w:rPr>
          <w:lang w:val="en-US"/>
        </w:rPr>
      </w:pPr>
      <w:r>
        <w:rPr>
          <w:lang w:val="en-US"/>
        </w:rPr>
        <w:t xml:space="preserve">In </w:t>
      </w:r>
      <w:r w:rsidR="006B6B8C">
        <w:rPr>
          <w:lang w:val="en-US"/>
        </w:rPr>
        <w:t>Rel-17 study</w:t>
      </w:r>
      <w:r>
        <w:rPr>
          <w:lang w:val="en-US"/>
        </w:rPr>
        <w:t xml:space="preserve">, it was agreed to consider </w:t>
      </w:r>
      <w:r w:rsidR="00F645F9">
        <w:rPr>
          <w:lang w:val="en-US"/>
        </w:rPr>
        <w:t xml:space="preserve">both </w:t>
      </w:r>
      <w:r>
        <w:rPr>
          <w:lang w:val="en-US"/>
        </w:rPr>
        <w:t xml:space="preserve">(N1,N2) relaxation </w:t>
      </w:r>
      <w:r w:rsidR="00F645F9">
        <w:rPr>
          <w:lang w:val="en-US"/>
        </w:rPr>
        <w:t xml:space="preserve">and CSI </w:t>
      </w:r>
      <w:r w:rsidR="00A57C90">
        <w:rPr>
          <w:lang w:val="en-US"/>
        </w:rPr>
        <w:t>computation relaxation</w:t>
      </w:r>
      <w:r w:rsidR="0004725A">
        <w:rPr>
          <w:lang w:val="en-US"/>
        </w:rPr>
        <w:t xml:space="preserve">. In both cases, a relaxation factor of 2 is studied. </w:t>
      </w:r>
      <w:r w:rsidR="0048298F">
        <w:rPr>
          <w:lang w:val="en-US"/>
        </w:rPr>
        <w:t>The cases are summarized below –</w:t>
      </w:r>
    </w:p>
    <w:p w14:paraId="3605BAD2" w14:textId="26160427" w:rsidR="00E74EE7" w:rsidRDefault="00E74EE7" w:rsidP="00E74EE7">
      <w:pPr>
        <w:numPr>
          <w:ilvl w:val="0"/>
          <w:numId w:val="13"/>
        </w:numPr>
        <w:jc w:val="both"/>
        <w:rPr>
          <w:lang w:val="en-US"/>
        </w:rPr>
      </w:pPr>
      <w:r w:rsidRPr="00E74EE7">
        <w:rPr>
          <w:lang w:val="en-US"/>
        </w:rPr>
        <w:t>PT1: Relaxation of UE processing time for PDSCH/PUSCH in terms of N1 and N2</w:t>
      </w:r>
    </w:p>
    <w:p w14:paraId="5A199C90" w14:textId="77777777" w:rsidR="00F74C5B" w:rsidRPr="00D24944" w:rsidRDefault="00F74C5B" w:rsidP="00F74C5B">
      <w:pPr>
        <w:numPr>
          <w:ilvl w:val="1"/>
          <w:numId w:val="13"/>
        </w:numPr>
        <w:jc w:val="both"/>
        <w:rPr>
          <w:lang w:val="en-US"/>
        </w:rPr>
      </w:pPr>
      <w:r w:rsidRPr="00D24944">
        <w:rPr>
          <w:lang w:val="en-US"/>
        </w:rPr>
        <w:t>N1 = 16, 20, 34, and 40 symbols for 15, 30, 60, and 120 kHz SCS (assuming only front-loaded DMRS)</w:t>
      </w:r>
    </w:p>
    <w:p w14:paraId="35AA1CA4" w14:textId="23982A1D" w:rsidR="00F74C5B" w:rsidRPr="00E74EE7" w:rsidRDefault="00F74C5B" w:rsidP="00F74C5B">
      <w:pPr>
        <w:numPr>
          <w:ilvl w:val="1"/>
          <w:numId w:val="13"/>
        </w:numPr>
        <w:jc w:val="both"/>
        <w:rPr>
          <w:lang w:val="en-US"/>
        </w:rPr>
      </w:pPr>
      <w:r w:rsidRPr="00D24944">
        <w:rPr>
          <w:lang w:val="en-US"/>
        </w:rPr>
        <w:t>N2 = 20, 24, 46, and 72 symbols for 15, 30, 60, and 120 kHz SCS</w:t>
      </w:r>
    </w:p>
    <w:p w14:paraId="555C7332" w14:textId="03CD6D71" w:rsidR="00E74EE7" w:rsidRPr="00846ECA" w:rsidRDefault="00E74EE7" w:rsidP="00846ECA">
      <w:pPr>
        <w:numPr>
          <w:ilvl w:val="0"/>
          <w:numId w:val="13"/>
        </w:numPr>
        <w:jc w:val="both"/>
        <w:rPr>
          <w:lang w:val="en-US"/>
        </w:rPr>
      </w:pPr>
      <w:r w:rsidRPr="00E74EE7">
        <w:rPr>
          <w:lang w:val="en-US"/>
        </w:rPr>
        <w:t>PT2: Relaxation of UE processing time for CSI in terms of Z and Z’</w:t>
      </w:r>
    </w:p>
    <w:p w14:paraId="06AF0CB6" w14:textId="0129F65D" w:rsidR="00D24944" w:rsidRPr="00D24944" w:rsidRDefault="00D24944" w:rsidP="00D24944">
      <w:pPr>
        <w:jc w:val="both"/>
        <w:rPr>
          <w:lang w:val="en-US"/>
        </w:rPr>
      </w:pPr>
      <w:r>
        <w:rPr>
          <w:lang w:val="en-US"/>
        </w:rPr>
        <w:t xml:space="preserve">In addition, </w:t>
      </w:r>
      <w:r w:rsidR="00846ECA">
        <w:rPr>
          <w:lang w:val="en-US"/>
        </w:rPr>
        <w:t>the combination of PT1 and PT2 is also studied.</w:t>
      </w:r>
      <w:r>
        <w:rPr>
          <w:lang w:val="en-US"/>
        </w:rPr>
        <w:t>.</w:t>
      </w:r>
    </w:p>
    <w:p w14:paraId="04876149" w14:textId="1EF391DB" w:rsidR="00B2236C" w:rsidRPr="00907F26" w:rsidRDefault="0044408A" w:rsidP="00B2236C">
      <w:pPr>
        <w:jc w:val="both"/>
        <w:rPr>
          <w:u w:val="single"/>
          <w:lang w:val="en-US"/>
        </w:rPr>
      </w:pPr>
      <w:r w:rsidRPr="002971DF">
        <w:rPr>
          <w:b/>
          <w:bCs/>
          <w:u w:val="single"/>
          <w:lang w:val="en-US"/>
        </w:rPr>
        <w:t>UE Complexity reduction:</w:t>
      </w:r>
    </w:p>
    <w:p w14:paraId="74BFE9DF" w14:textId="51BCC312" w:rsidR="006C6D33" w:rsidRDefault="006C6D33" w:rsidP="00A32C6C">
      <w:pPr>
        <w:rPr>
          <w:lang w:val="en-US"/>
        </w:rPr>
      </w:pPr>
      <w:r>
        <w:rPr>
          <w:lang w:val="en-US"/>
        </w:rPr>
        <w:fldChar w:fldCharType="begin"/>
      </w:r>
      <w:r>
        <w:rPr>
          <w:lang w:val="en-US"/>
        </w:rPr>
        <w:instrText xml:space="preserve"> REF _Ref110254260 \h </w:instrText>
      </w:r>
      <w:r>
        <w:rPr>
          <w:lang w:val="en-US"/>
        </w:rPr>
      </w:r>
      <w:r>
        <w:rPr>
          <w:lang w:val="en-US"/>
        </w:rPr>
        <w:fldChar w:fldCharType="separate"/>
      </w:r>
      <w:r w:rsidR="00034224">
        <w:t xml:space="preserve">Table </w:t>
      </w:r>
      <w:r w:rsidR="00034224">
        <w:rPr>
          <w:noProof/>
        </w:rPr>
        <w:t>8</w:t>
      </w:r>
      <w:r>
        <w:rPr>
          <w:lang w:val="en-US"/>
        </w:rPr>
        <w:fldChar w:fldCharType="end"/>
      </w:r>
      <w:r w:rsidR="001D2FAF">
        <w:rPr>
          <w:lang w:val="en-US"/>
        </w:rPr>
        <w:t xml:space="preserve"> illustrates the </w:t>
      </w:r>
      <w:r w:rsidR="00133A58">
        <w:rPr>
          <w:lang w:val="en-US"/>
        </w:rPr>
        <w:t xml:space="preserve">standalone </w:t>
      </w:r>
      <w:r w:rsidR="001D2FAF">
        <w:rPr>
          <w:lang w:val="en-US"/>
        </w:rPr>
        <w:t xml:space="preserve">complexity saving for PT1 and PT2 with respect to the Rel-15 reference NR UE. From the table, it is seen that the </w:t>
      </w:r>
      <w:r w:rsidR="000B1624">
        <w:rPr>
          <w:lang w:val="en-US"/>
        </w:rPr>
        <w:t>savings are small</w:t>
      </w:r>
      <w:r w:rsidR="00970FFA">
        <w:rPr>
          <w:lang w:val="en-US"/>
        </w:rPr>
        <w:t xml:space="preserve"> (2-</w:t>
      </w:r>
      <w:r w:rsidR="00AE7ACF">
        <w:rPr>
          <w:lang w:val="en-US"/>
        </w:rPr>
        <w:t>4</w:t>
      </w:r>
      <w:r w:rsidR="00970FFA">
        <w:rPr>
          <w:lang w:val="en-US"/>
        </w:rPr>
        <w:t>%)</w:t>
      </w:r>
      <w:r w:rsidR="000B1624">
        <w:rPr>
          <w:lang w:val="en-US"/>
        </w:rPr>
        <w:t>.</w:t>
      </w:r>
    </w:p>
    <w:p w14:paraId="5E844725" w14:textId="04BB2516" w:rsidR="00060FF0" w:rsidRPr="00A963F0" w:rsidRDefault="00060FF0" w:rsidP="00060FF0">
      <w:pPr>
        <w:pStyle w:val="Caption"/>
        <w:keepNext/>
        <w:jc w:val="center"/>
        <w:rPr>
          <w:lang w:val="en-US"/>
        </w:rPr>
      </w:pPr>
      <w:bookmarkStart w:id="24" w:name="_Ref110254260"/>
      <w:r>
        <w:t xml:space="preserve">Table </w:t>
      </w:r>
      <w:r w:rsidR="00731A2A">
        <w:fldChar w:fldCharType="begin"/>
      </w:r>
      <w:r w:rsidR="00731A2A">
        <w:instrText xml:space="preserve"> SEQ Table \* ARABIC </w:instrText>
      </w:r>
      <w:r w:rsidR="00731A2A">
        <w:fldChar w:fldCharType="separate"/>
      </w:r>
      <w:r w:rsidR="00034224">
        <w:rPr>
          <w:noProof/>
        </w:rPr>
        <w:t>8</w:t>
      </w:r>
      <w:r w:rsidR="00731A2A">
        <w:rPr>
          <w:noProof/>
        </w:rPr>
        <w:fldChar w:fldCharType="end"/>
      </w:r>
      <w:bookmarkEnd w:id="24"/>
      <w:r>
        <w:rPr>
          <w:lang w:val="en-US"/>
        </w:rPr>
        <w:t>. C</w:t>
      </w:r>
      <w:r w:rsidRPr="00A963F0">
        <w:rPr>
          <w:lang w:val="en-US"/>
        </w:rPr>
        <w:t>omplexity reduction estimat</w:t>
      </w:r>
      <w:r>
        <w:rPr>
          <w:lang w:val="en-US"/>
        </w:rPr>
        <w:t>es</w:t>
      </w:r>
      <w:r w:rsidRPr="00A963F0">
        <w:rPr>
          <w:lang w:val="en-US"/>
        </w:rPr>
        <w:t xml:space="preserve"> </w:t>
      </w:r>
      <w:r>
        <w:rPr>
          <w:lang w:val="en-US"/>
        </w:rPr>
        <w:t xml:space="preserve">for </w:t>
      </w:r>
      <w:r w:rsidR="006C6D33">
        <w:rPr>
          <w:lang w:val="en-US"/>
        </w:rPr>
        <w:t>PT1 and PT2</w:t>
      </w:r>
      <w:r w:rsidRPr="00A963F0">
        <w:rPr>
          <w:lang w:val="en-US"/>
        </w:rPr>
        <w:t>.</w:t>
      </w:r>
    </w:p>
    <w:tbl>
      <w:tblPr>
        <w:tblW w:w="4083" w:type="dxa"/>
        <w:jc w:val="center"/>
        <w:tblLook w:val="04A0" w:firstRow="1" w:lastRow="0" w:firstColumn="1" w:lastColumn="0" w:noHBand="0" w:noVBand="1"/>
      </w:tblPr>
      <w:tblGrid>
        <w:gridCol w:w="1361"/>
        <w:gridCol w:w="1361"/>
        <w:gridCol w:w="1361"/>
      </w:tblGrid>
      <w:tr w:rsidR="00045EA6" w:rsidRPr="004C0C03" w14:paraId="71AA87AA" w14:textId="77777777" w:rsidTr="00045EA6">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AA3993" w14:textId="77777777" w:rsidR="00045EA6" w:rsidRPr="004C0C03" w:rsidRDefault="00045EA6" w:rsidP="00E76164">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46F7BCC" w14:textId="731A7DCB" w:rsidR="00045EA6" w:rsidRPr="004C0C03" w:rsidRDefault="00045EA6"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2874626" w14:textId="150B9AD9" w:rsidR="00045EA6" w:rsidRPr="004C0C03" w:rsidRDefault="00045EA6" w:rsidP="00E76164">
            <w:pPr>
              <w:overflowPunct/>
              <w:autoSpaceDE/>
              <w:autoSpaceDN/>
              <w:adjustRightInd/>
              <w:spacing w:after="0"/>
              <w:jc w:val="center"/>
              <w:textAlignment w:val="auto"/>
              <w:rPr>
                <w:rFonts w:eastAsia="Times New Roman"/>
                <w:lang w:val="en-US"/>
              </w:rPr>
            </w:pPr>
            <w:r>
              <w:rPr>
                <w:rFonts w:eastAsia="Times New Roman"/>
                <w:lang w:val="en-US"/>
              </w:rPr>
              <w:t>TDD</w:t>
            </w:r>
          </w:p>
        </w:tc>
      </w:tr>
      <w:tr w:rsidR="00045EA6" w:rsidRPr="004C0C03" w14:paraId="243519AD" w14:textId="77777777" w:rsidTr="00045EA6">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362380EA" w14:textId="380DF94A" w:rsidR="00045EA6" w:rsidRPr="004C0C03" w:rsidRDefault="00045EA6" w:rsidP="0026561E">
            <w:pPr>
              <w:overflowPunct/>
              <w:autoSpaceDE/>
              <w:autoSpaceDN/>
              <w:adjustRightInd/>
              <w:spacing w:after="0"/>
              <w:textAlignment w:val="auto"/>
              <w:rPr>
                <w:rFonts w:eastAsia="Times New Roman"/>
                <w:lang w:val="en-US"/>
              </w:rPr>
            </w:pPr>
            <w:r>
              <w:rPr>
                <w:rFonts w:eastAsia="Times New Roman"/>
                <w:lang w:val="en-US"/>
              </w:rPr>
              <w:t>PT1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B156A1A" w14:textId="4BB08431" w:rsidR="00045EA6" w:rsidRPr="004C0C03" w:rsidRDefault="00045EA6" w:rsidP="0026561E">
            <w:pPr>
              <w:overflowPunct/>
              <w:autoSpaceDE/>
              <w:autoSpaceDN/>
              <w:adjustRightInd/>
              <w:spacing w:after="0"/>
              <w:jc w:val="right"/>
              <w:textAlignment w:val="auto"/>
              <w:rPr>
                <w:rFonts w:eastAsia="Times New Roman"/>
                <w:lang w:val="en-US"/>
              </w:rPr>
            </w:pPr>
            <w:r>
              <w:rPr>
                <w:rFonts w:eastAsia="Times New Roman"/>
                <w:lang w:val="en-US"/>
              </w:rPr>
              <w:t>96.25%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FAE8358" w14:textId="42A37D2F" w:rsidR="00045EA6" w:rsidRPr="004C0C03" w:rsidRDefault="00045EA6" w:rsidP="0026561E">
            <w:pPr>
              <w:overflowPunct/>
              <w:autoSpaceDE/>
              <w:autoSpaceDN/>
              <w:adjustRightInd/>
              <w:spacing w:after="0"/>
              <w:jc w:val="right"/>
              <w:textAlignment w:val="auto"/>
              <w:rPr>
                <w:rFonts w:eastAsia="Times New Roman"/>
                <w:lang w:val="en-US"/>
              </w:rPr>
            </w:pPr>
            <w:r>
              <w:rPr>
                <w:rFonts w:eastAsia="Times New Roman"/>
                <w:lang w:val="en-US"/>
              </w:rPr>
              <w:t>96.55%</w:t>
            </w:r>
          </w:p>
        </w:tc>
      </w:tr>
      <w:tr w:rsidR="00045EA6" w:rsidRPr="004C0C03" w14:paraId="64395FC3" w14:textId="77777777" w:rsidTr="00045EA6">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7B8B9465" w14:textId="1BA1B7FA" w:rsidR="00045EA6" w:rsidRPr="004C0C03" w:rsidRDefault="00045EA6" w:rsidP="0026561E">
            <w:pPr>
              <w:overflowPunct/>
              <w:autoSpaceDE/>
              <w:autoSpaceDN/>
              <w:adjustRightInd/>
              <w:spacing w:after="0"/>
              <w:textAlignment w:val="auto"/>
              <w:rPr>
                <w:rFonts w:eastAsia="Times New Roman"/>
                <w:lang w:val="en-US"/>
              </w:rPr>
            </w:pPr>
            <w:r>
              <w:rPr>
                <w:rFonts w:eastAsia="Times New Roman"/>
                <w:lang w:val="en-US"/>
              </w:rPr>
              <w:t>PT2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4C8E1BA" w14:textId="2BB4F9B2" w:rsidR="00045EA6" w:rsidRPr="004C0C03" w:rsidRDefault="00045EA6" w:rsidP="0026561E">
            <w:pPr>
              <w:overflowPunct/>
              <w:autoSpaceDE/>
              <w:autoSpaceDN/>
              <w:adjustRightInd/>
              <w:spacing w:after="0"/>
              <w:jc w:val="right"/>
              <w:textAlignment w:val="auto"/>
              <w:rPr>
                <w:rFonts w:eastAsia="Times New Roman"/>
                <w:lang w:val="en-US"/>
              </w:rPr>
            </w:pPr>
            <w:r>
              <w:rPr>
                <w:rFonts w:eastAsia="Times New Roman"/>
                <w:lang w:val="en-US"/>
              </w:rPr>
              <w:t>98.56%</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1EEF1CF6" w14:textId="05375CF8" w:rsidR="00045EA6" w:rsidRPr="004C0C03" w:rsidRDefault="00045EA6" w:rsidP="0026561E">
            <w:pPr>
              <w:overflowPunct/>
              <w:autoSpaceDE/>
              <w:autoSpaceDN/>
              <w:adjustRightInd/>
              <w:spacing w:after="0"/>
              <w:jc w:val="right"/>
              <w:textAlignment w:val="auto"/>
              <w:rPr>
                <w:rFonts w:eastAsia="Times New Roman"/>
                <w:lang w:val="en-US"/>
              </w:rPr>
            </w:pPr>
            <w:r>
              <w:rPr>
                <w:rFonts w:eastAsia="Times New Roman"/>
                <w:lang w:val="en-US"/>
              </w:rPr>
              <w:t>98.46%</w:t>
            </w:r>
          </w:p>
        </w:tc>
      </w:tr>
    </w:tbl>
    <w:p w14:paraId="2BF496B0" w14:textId="77777777" w:rsidR="000D40AD" w:rsidRDefault="000D40AD" w:rsidP="00A32C6C">
      <w:pPr>
        <w:rPr>
          <w:lang w:val="en-US"/>
        </w:rPr>
      </w:pPr>
    </w:p>
    <w:p w14:paraId="189D3669" w14:textId="5766F7AB" w:rsidR="00A32C6C" w:rsidRDefault="000D40AD" w:rsidP="000D40AD">
      <w:pPr>
        <w:jc w:val="both"/>
        <w:rPr>
          <w:lang w:val="en-US"/>
        </w:rPr>
      </w:pPr>
      <w:r>
        <w:rPr>
          <w:lang w:val="en-US"/>
        </w:rPr>
        <w:t xml:space="preserve">Note that in RAN1#109-e, it was agreed that </w:t>
      </w:r>
      <w:r w:rsidRPr="00DD028D">
        <w:rPr>
          <w:lang w:val="en-US"/>
        </w:rPr>
        <w:t>UE complexity reduction estimates for relaxed UE processing timeline are only reported for combinations with UE bandwidth reduction or UE peak rate reduction.</w:t>
      </w:r>
      <w:r>
        <w:rPr>
          <w:lang w:val="en-US"/>
        </w:rPr>
        <w:t xml:space="preserve"> These c</w:t>
      </w:r>
      <w:r w:rsidR="00BA09FD">
        <w:rPr>
          <w:lang w:val="en-US"/>
        </w:rPr>
        <w:t>ombination results are shown</w:t>
      </w:r>
      <w:r w:rsidR="00DF6F6F">
        <w:rPr>
          <w:lang w:val="en-US"/>
        </w:rPr>
        <w:t xml:space="preserve"> in full</w:t>
      </w:r>
      <w:r w:rsidR="00BA09FD">
        <w:rPr>
          <w:lang w:val="en-US"/>
        </w:rPr>
        <w:t xml:space="preserve"> in </w:t>
      </w:r>
      <w:r w:rsidR="00BA09FD">
        <w:rPr>
          <w:lang w:val="en-US"/>
        </w:rPr>
        <w:fldChar w:fldCharType="begin"/>
      </w:r>
      <w:r w:rsidR="00BA09FD">
        <w:rPr>
          <w:lang w:val="en-US"/>
        </w:rPr>
        <w:instrText xml:space="preserve"> REF _Ref110244972 \h </w:instrText>
      </w:r>
      <w:r>
        <w:rPr>
          <w:lang w:val="en-US"/>
        </w:rPr>
        <w:instrText xml:space="preserve"> \* MERGEFORMAT </w:instrText>
      </w:r>
      <w:r w:rsidR="00BA09FD">
        <w:rPr>
          <w:lang w:val="en-US"/>
        </w:rPr>
      </w:r>
      <w:r w:rsidR="00BA09FD">
        <w:rPr>
          <w:lang w:val="en-US"/>
        </w:rPr>
        <w:fldChar w:fldCharType="separate"/>
      </w:r>
      <w:r w:rsidR="00034224">
        <w:t xml:space="preserve">Table </w:t>
      </w:r>
      <w:r w:rsidR="00034224">
        <w:rPr>
          <w:noProof/>
        </w:rPr>
        <w:t>10</w:t>
      </w:r>
      <w:r w:rsidR="00BA09FD">
        <w:rPr>
          <w:lang w:val="en-US"/>
        </w:rPr>
        <w:fldChar w:fldCharType="end"/>
      </w:r>
      <w:r w:rsidR="00BA09FD">
        <w:rPr>
          <w:lang w:val="en-US"/>
        </w:rPr>
        <w:t xml:space="preserve"> and </w:t>
      </w:r>
      <w:r w:rsidR="00BA09FD">
        <w:rPr>
          <w:lang w:val="en-US"/>
        </w:rPr>
        <w:fldChar w:fldCharType="begin"/>
      </w:r>
      <w:r w:rsidR="00BA09FD">
        <w:rPr>
          <w:lang w:val="en-US"/>
        </w:rPr>
        <w:instrText xml:space="preserve"> REF _Ref110244974 \h </w:instrText>
      </w:r>
      <w:r>
        <w:rPr>
          <w:lang w:val="en-US"/>
        </w:rPr>
        <w:instrText xml:space="preserve"> \* MERGEFORMAT </w:instrText>
      </w:r>
      <w:r w:rsidR="00BA09FD">
        <w:rPr>
          <w:lang w:val="en-US"/>
        </w:rPr>
      </w:r>
      <w:r w:rsidR="00BA09FD">
        <w:rPr>
          <w:lang w:val="en-US"/>
        </w:rPr>
        <w:fldChar w:fldCharType="separate"/>
      </w:r>
      <w:r w:rsidR="00034224">
        <w:t xml:space="preserve">Table </w:t>
      </w:r>
      <w:r w:rsidR="00034224">
        <w:rPr>
          <w:noProof/>
        </w:rPr>
        <w:t>11</w:t>
      </w:r>
      <w:r w:rsidR="00BA09FD">
        <w:rPr>
          <w:lang w:val="en-US"/>
        </w:rPr>
        <w:fldChar w:fldCharType="end"/>
      </w:r>
      <w:r w:rsidR="00BA09FD">
        <w:rPr>
          <w:lang w:val="en-US"/>
        </w:rPr>
        <w:t>.</w:t>
      </w:r>
      <w:r w:rsidR="0030057B">
        <w:rPr>
          <w:lang w:val="en-US"/>
        </w:rPr>
        <w:t xml:space="preserve"> As expected, the</w:t>
      </w:r>
      <w:r w:rsidR="0089715A">
        <w:rPr>
          <w:lang w:val="en-US"/>
        </w:rPr>
        <w:t xml:space="preserve"> additional</w:t>
      </w:r>
      <w:r w:rsidR="0030057B">
        <w:rPr>
          <w:lang w:val="en-US"/>
        </w:rPr>
        <w:t xml:space="preserve"> savings </w:t>
      </w:r>
      <w:r w:rsidR="0089715A">
        <w:rPr>
          <w:lang w:val="en-US"/>
        </w:rPr>
        <w:t xml:space="preserve">from introducing PT1 and PT2 </w:t>
      </w:r>
      <w:r w:rsidR="0030057B">
        <w:rPr>
          <w:lang w:val="en-US"/>
        </w:rPr>
        <w:t>are small. For example, consider PT1 and PT2 in combination with BW1</w:t>
      </w:r>
      <w:r w:rsidR="00E43A4F">
        <w:rPr>
          <w:lang w:val="en-US"/>
        </w:rPr>
        <w:t xml:space="preserve"> as shown in </w:t>
      </w:r>
      <w:r w:rsidR="00E43A4F">
        <w:rPr>
          <w:lang w:val="en-US"/>
        </w:rPr>
        <w:fldChar w:fldCharType="begin"/>
      </w:r>
      <w:r w:rsidR="00E43A4F">
        <w:rPr>
          <w:lang w:val="en-US"/>
        </w:rPr>
        <w:instrText xml:space="preserve"> REF _Ref110254638 \h </w:instrText>
      </w:r>
      <w:r w:rsidR="00E43A4F">
        <w:rPr>
          <w:lang w:val="en-US"/>
        </w:rPr>
      </w:r>
      <w:r w:rsidR="00E43A4F">
        <w:rPr>
          <w:lang w:val="en-US"/>
        </w:rPr>
        <w:fldChar w:fldCharType="separate"/>
      </w:r>
      <w:r w:rsidR="00034224">
        <w:t xml:space="preserve">Table </w:t>
      </w:r>
      <w:r w:rsidR="00034224">
        <w:rPr>
          <w:noProof/>
        </w:rPr>
        <w:t>9</w:t>
      </w:r>
      <w:r w:rsidR="00E43A4F">
        <w:rPr>
          <w:lang w:val="en-US"/>
        </w:rPr>
        <w:fldChar w:fldCharType="end"/>
      </w:r>
      <w:r w:rsidR="0030057B">
        <w:rPr>
          <w:lang w:val="en-US"/>
        </w:rPr>
        <w:t>.</w:t>
      </w:r>
      <w:r w:rsidR="00E43A4F">
        <w:rPr>
          <w:lang w:val="en-US"/>
        </w:rPr>
        <w:t xml:space="preserve"> For FD-FDD UE with 1Rx, BW1 provides 18.5% saving. When PT1 is included, the saving increases to </w:t>
      </w:r>
      <w:r w:rsidR="002179E2">
        <w:rPr>
          <w:lang w:val="en-US"/>
        </w:rPr>
        <w:t xml:space="preserve">only </w:t>
      </w:r>
      <w:r w:rsidR="00E43A4F">
        <w:rPr>
          <w:lang w:val="en-US"/>
        </w:rPr>
        <w:t>19.2%</w:t>
      </w:r>
      <w:r w:rsidR="0095155F">
        <w:rPr>
          <w:lang w:val="en-US"/>
        </w:rPr>
        <w:t>. When both PT1 and PT2 are considered, the saving increases to 20.1%.</w:t>
      </w:r>
      <w:r w:rsidR="00AC55C2">
        <w:rPr>
          <w:lang w:val="en-US"/>
        </w:rPr>
        <w:t xml:space="preserve"> </w:t>
      </w:r>
      <w:r w:rsidR="006B4BF4">
        <w:rPr>
          <w:lang w:val="en-US"/>
        </w:rPr>
        <w:t>When considered in combinations, t</w:t>
      </w:r>
      <w:r w:rsidR="00AC55C2">
        <w:rPr>
          <w:lang w:val="en-US"/>
        </w:rPr>
        <w:t>hese savings are quite small.</w:t>
      </w:r>
    </w:p>
    <w:p w14:paraId="713EEA53" w14:textId="77777777" w:rsidR="009A32C3" w:rsidRDefault="009A32C3" w:rsidP="000D40AD">
      <w:pPr>
        <w:jc w:val="both"/>
        <w:rPr>
          <w:lang w:val="en-US"/>
        </w:rPr>
      </w:pPr>
    </w:p>
    <w:p w14:paraId="6FA7E6DE" w14:textId="2620C6B9" w:rsidR="0030057B" w:rsidRPr="00A963F0" w:rsidRDefault="0030057B" w:rsidP="0030057B">
      <w:pPr>
        <w:pStyle w:val="Caption"/>
        <w:keepNext/>
        <w:jc w:val="center"/>
        <w:rPr>
          <w:lang w:val="en-US"/>
        </w:rPr>
      </w:pPr>
      <w:bookmarkStart w:id="25" w:name="_Ref110254638"/>
      <w:r>
        <w:lastRenderedPageBreak/>
        <w:t xml:space="preserve">Table </w:t>
      </w:r>
      <w:r w:rsidR="00731A2A">
        <w:fldChar w:fldCharType="begin"/>
      </w:r>
      <w:r w:rsidR="00731A2A">
        <w:instrText xml:space="preserve"> SEQ Table \* ARABIC </w:instrText>
      </w:r>
      <w:r w:rsidR="00731A2A">
        <w:fldChar w:fldCharType="separate"/>
      </w:r>
      <w:r w:rsidR="00034224">
        <w:rPr>
          <w:noProof/>
        </w:rPr>
        <w:t>9</w:t>
      </w:r>
      <w:r w:rsidR="00731A2A">
        <w:rPr>
          <w:noProof/>
        </w:rPr>
        <w:fldChar w:fldCharType="end"/>
      </w:r>
      <w:bookmarkEnd w:id="25"/>
      <w:r>
        <w:rPr>
          <w:lang w:val="en-US"/>
        </w:rPr>
        <w:t>. C</w:t>
      </w:r>
      <w:r w:rsidRPr="00A963F0">
        <w:rPr>
          <w:lang w:val="en-US"/>
        </w:rPr>
        <w:t>omplexity reduction estimat</w:t>
      </w:r>
      <w:r>
        <w:rPr>
          <w:lang w:val="en-US"/>
        </w:rPr>
        <w:t>es</w:t>
      </w:r>
      <w:r w:rsidRPr="00A963F0">
        <w:rPr>
          <w:lang w:val="en-US"/>
        </w:rPr>
        <w:t xml:space="preserve"> </w:t>
      </w:r>
      <w:r>
        <w:rPr>
          <w:lang w:val="en-US"/>
        </w:rPr>
        <w:t xml:space="preserve">for </w:t>
      </w:r>
      <w:r w:rsidR="00933546">
        <w:rPr>
          <w:lang w:val="en-US"/>
        </w:rPr>
        <w:t>combinations of BW1, PT1, and PT2</w:t>
      </w:r>
      <w:r w:rsidRPr="00A963F0">
        <w:rPr>
          <w:lang w:val="en-US"/>
        </w:rPr>
        <w:t>.</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30057B" w:rsidRPr="004C0C03" w14:paraId="43BB138A" w14:textId="77777777" w:rsidTr="00E76164">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750D866" w14:textId="77777777" w:rsidR="0030057B" w:rsidRPr="004C0C03" w:rsidRDefault="0030057B" w:rsidP="00E76164">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38A88EA"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4B333E7"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9DAF5EB"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018F968"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6924FE18"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B34CD76" w14:textId="77777777" w:rsidR="0030057B" w:rsidRPr="004C0C03" w:rsidRDefault="0030057B" w:rsidP="00E76164">
            <w:pPr>
              <w:overflowPunct/>
              <w:autoSpaceDE/>
              <w:autoSpaceDN/>
              <w:adjustRightInd/>
              <w:spacing w:after="0"/>
              <w:jc w:val="center"/>
              <w:textAlignment w:val="auto"/>
              <w:rPr>
                <w:rFonts w:eastAsia="Times New Roman"/>
                <w:lang w:val="en-US"/>
              </w:rPr>
            </w:pPr>
            <w:r w:rsidRPr="004C0C03">
              <w:rPr>
                <w:rFonts w:eastAsia="Times New Roman"/>
                <w:lang w:val="en-US"/>
              </w:rPr>
              <w:t>TDD 2Rx</w:t>
            </w:r>
          </w:p>
        </w:tc>
      </w:tr>
      <w:tr w:rsidR="0030057B" w:rsidRPr="004C0C03" w14:paraId="41C8760C" w14:textId="77777777" w:rsidTr="00D2102D">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FFF2CC"/>
            <w:vAlign w:val="center"/>
          </w:tcPr>
          <w:p w14:paraId="7AE96FA5" w14:textId="77777777" w:rsidR="0030057B" w:rsidRPr="004C0C03" w:rsidRDefault="0030057B" w:rsidP="00E76164">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86CF6F6"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46.82%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74B3C78"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40.42%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C5BA028"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30.02%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21C1332"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70.08%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A1937E2"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63.68%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481C752" w14:textId="77777777" w:rsidR="0030057B" w:rsidRPr="004C0C03" w:rsidRDefault="0030057B" w:rsidP="00E76164">
            <w:pPr>
              <w:overflowPunct/>
              <w:autoSpaceDE/>
              <w:autoSpaceDN/>
              <w:adjustRightInd/>
              <w:spacing w:after="0"/>
              <w:jc w:val="right"/>
              <w:textAlignment w:val="auto"/>
              <w:rPr>
                <w:rFonts w:eastAsia="Times New Roman"/>
                <w:lang w:val="en-US"/>
              </w:rPr>
            </w:pPr>
            <w:r w:rsidRPr="004C0C03">
              <w:rPr>
                <w:rFonts w:eastAsia="Times New Roman"/>
                <w:lang w:val="en-US"/>
              </w:rPr>
              <w:t>43.50%</w:t>
            </w:r>
          </w:p>
        </w:tc>
      </w:tr>
      <w:tr w:rsidR="00D2102D" w:rsidRPr="004C0C03" w14:paraId="4B560DAA" w14:textId="77777777" w:rsidTr="00D2102D">
        <w:trPr>
          <w:trHeight w:val="300"/>
          <w:jc w:val="center"/>
        </w:trPr>
        <w:tc>
          <w:tcPr>
            <w:tcW w:w="1361" w:type="dxa"/>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2657B5B" w14:textId="381946CC" w:rsidR="00D2102D" w:rsidRPr="004C0C03" w:rsidRDefault="00D2102D" w:rsidP="00D2102D">
            <w:pPr>
              <w:overflowPunct/>
              <w:autoSpaceDE/>
              <w:autoSpaceDN/>
              <w:adjustRightInd/>
              <w:spacing w:after="0"/>
              <w:textAlignment w:val="auto"/>
              <w:rPr>
                <w:rFonts w:eastAsia="Times New Roman"/>
                <w:lang w:val="en-US"/>
              </w:rPr>
            </w:pPr>
            <w:r>
              <w:rPr>
                <w:rFonts w:eastAsia="Times New Roman"/>
                <w:lang w:val="en-US"/>
              </w:rPr>
              <w:t>BW1</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A3A3976" w14:textId="61FD88E3"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38.15%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36BB30D2" w14:textId="0659E6B3"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31.75%</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464CB0AB" w14:textId="4D3919B9"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24.40%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07227BCC" w14:textId="6F0A247A"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56.00%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50F3F542" w14:textId="1FFDA658"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49.60%</w:t>
            </w:r>
          </w:p>
        </w:tc>
        <w:tc>
          <w:tcPr>
            <w:tcW w:w="1361" w:type="dxa"/>
            <w:tcBorders>
              <w:top w:val="single" w:sz="4" w:space="0" w:color="auto"/>
              <w:left w:val="nil"/>
              <w:bottom w:val="single" w:sz="4" w:space="0" w:color="auto"/>
              <w:right w:val="single" w:sz="4" w:space="0" w:color="auto"/>
            </w:tcBorders>
            <w:shd w:val="clear" w:color="000000" w:fill="FFF2CC"/>
            <w:vAlign w:val="center"/>
            <w:hideMark/>
          </w:tcPr>
          <w:p w14:paraId="3A14CF00" w14:textId="0B08C4C2"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34.91%</w:t>
            </w:r>
          </w:p>
        </w:tc>
      </w:tr>
      <w:tr w:rsidR="00D2102D" w:rsidRPr="004C0C03" w14:paraId="75BB1F6A" w14:textId="77777777" w:rsidTr="00D2102D">
        <w:trPr>
          <w:trHeight w:val="300"/>
          <w:jc w:val="center"/>
        </w:trPr>
        <w:tc>
          <w:tcPr>
            <w:tcW w:w="1361" w:type="dxa"/>
            <w:vMerge/>
            <w:tcBorders>
              <w:top w:val="single" w:sz="4" w:space="0" w:color="auto"/>
              <w:left w:val="single" w:sz="4" w:space="0" w:color="auto"/>
              <w:bottom w:val="single" w:sz="4" w:space="0" w:color="auto"/>
              <w:right w:val="single" w:sz="4" w:space="0" w:color="auto"/>
            </w:tcBorders>
            <w:shd w:val="clear" w:color="000000" w:fill="FFF2CC"/>
            <w:vAlign w:val="center"/>
          </w:tcPr>
          <w:p w14:paraId="3F57045B" w14:textId="77777777" w:rsidR="00D2102D" w:rsidRPr="004C0C03" w:rsidRDefault="00D2102D" w:rsidP="00D2102D">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084EE97C" w14:textId="094EED0B"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-18.5%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65FE607" w14:textId="77B01B4C"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-21.5%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8088C49" w14:textId="343EA3B0"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-18.7%</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AFA9C05" w14:textId="2C53E93B"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-20.1%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B403AF1" w14:textId="428FE851"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-22.1%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A220233" w14:textId="42123278" w:rsidR="00D2102D" w:rsidRPr="004C0C03" w:rsidRDefault="00D2102D" w:rsidP="00D2102D">
            <w:pPr>
              <w:overflowPunct/>
              <w:autoSpaceDE/>
              <w:autoSpaceDN/>
              <w:adjustRightInd/>
              <w:spacing w:after="0"/>
              <w:jc w:val="right"/>
              <w:textAlignment w:val="auto"/>
              <w:rPr>
                <w:rFonts w:eastAsia="Times New Roman"/>
                <w:lang w:val="en-US"/>
              </w:rPr>
            </w:pPr>
            <w:r w:rsidRPr="004C0C03">
              <w:rPr>
                <w:rFonts w:eastAsia="Times New Roman"/>
                <w:lang w:val="en-US"/>
              </w:rPr>
              <w:t>-19.7%</w:t>
            </w:r>
          </w:p>
        </w:tc>
      </w:tr>
      <w:tr w:rsidR="00D87D17" w:rsidRPr="004C0C03" w14:paraId="3960D861" w14:textId="77777777" w:rsidTr="00E76164">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tcPr>
          <w:p w14:paraId="2A7280BD" w14:textId="6D226CF9" w:rsidR="00D87D17" w:rsidRPr="004C0C03" w:rsidRDefault="00D87D17" w:rsidP="00D87D17">
            <w:pPr>
              <w:overflowPunct/>
              <w:autoSpaceDE/>
              <w:autoSpaceDN/>
              <w:adjustRightInd/>
              <w:spacing w:after="0"/>
              <w:textAlignment w:val="auto"/>
              <w:rPr>
                <w:rFonts w:eastAsia="Times New Roman"/>
                <w:lang w:val="en-US"/>
              </w:rPr>
            </w:pPr>
            <w:r>
              <w:rPr>
                <w:rFonts w:eastAsia="Times New Roman"/>
                <w:lang w:val="en-US"/>
              </w:rPr>
              <w:t>BW1 + PT1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5C1895D" w14:textId="6DAAE9F9"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37.82%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CBF58D3" w14:textId="50DEE3D3"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31.42%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3BF7EA8" w14:textId="11D704ED"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24.17%</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46AAB00" w14:textId="00E4A176"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55.49%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B2F1323" w14:textId="5E12E988"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49.09%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7FE1463" w14:textId="1695F30E"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34.60%</w:t>
            </w:r>
          </w:p>
        </w:tc>
      </w:tr>
      <w:tr w:rsidR="00B931A6" w:rsidRPr="004C0C03" w14:paraId="4C88780E" w14:textId="77777777" w:rsidTr="00E76164">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19B7BAF7" w14:textId="77777777" w:rsidR="00B931A6" w:rsidRPr="004C0C03" w:rsidRDefault="00B931A6" w:rsidP="00B931A6">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388C5592" w14:textId="077C4CCB"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-19.2%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ABB9295" w14:textId="3AA57904"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-22.3%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8F36873" w14:textId="69C6E881"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-19.5%</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CFAC33D" w14:textId="3E96013B"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-20.8%</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B20F598" w14:textId="4B32AB91"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-22.9%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A7A9A90" w14:textId="22C088D5"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-20.5%</w:t>
            </w:r>
          </w:p>
        </w:tc>
      </w:tr>
      <w:tr w:rsidR="00D87D17" w:rsidRPr="004C0C03" w14:paraId="2787EC75" w14:textId="77777777" w:rsidTr="00E76164">
        <w:trPr>
          <w:trHeight w:val="300"/>
          <w:jc w:val="center"/>
        </w:trPr>
        <w:tc>
          <w:tcPr>
            <w:tcW w:w="1361" w:type="dxa"/>
            <w:vMerge w:val="restart"/>
            <w:tcBorders>
              <w:top w:val="single" w:sz="4" w:space="0" w:color="auto"/>
              <w:left w:val="single" w:sz="4" w:space="0" w:color="auto"/>
              <w:right w:val="single" w:sz="4" w:space="0" w:color="auto"/>
            </w:tcBorders>
            <w:shd w:val="clear" w:color="000000" w:fill="FFF2CC"/>
            <w:vAlign w:val="center"/>
          </w:tcPr>
          <w:p w14:paraId="6CB20E69" w14:textId="6A76B35A" w:rsidR="00D87D17" w:rsidRPr="004C0C03" w:rsidRDefault="00D87D17" w:rsidP="00D87D17">
            <w:pPr>
              <w:overflowPunct/>
              <w:autoSpaceDE/>
              <w:autoSpaceDN/>
              <w:adjustRightInd/>
              <w:spacing w:after="0"/>
              <w:textAlignment w:val="auto"/>
              <w:rPr>
                <w:rFonts w:eastAsia="Times New Roman"/>
                <w:lang w:val="en-US"/>
              </w:rPr>
            </w:pPr>
            <w:r>
              <w:rPr>
                <w:rFonts w:eastAsia="Times New Roman"/>
                <w:lang w:val="en-US"/>
              </w:rPr>
              <w:t>BW1 + PT1 + PT2</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5DFC756" w14:textId="2A4F358D"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37.40%</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4EEE503" w14:textId="3BC620A3"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31.00%</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BD49BD4" w14:textId="3ADEF2D1"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23.93%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66AD1AE" w14:textId="16162175"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54.73%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7AFAECDB" w14:textId="6A0E3DB3"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48.33%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075D7616" w14:textId="3F61DEB5" w:rsidR="00D87D17" w:rsidRPr="004C0C03" w:rsidRDefault="00D87D17" w:rsidP="00D87D17">
            <w:pPr>
              <w:overflowPunct/>
              <w:autoSpaceDE/>
              <w:autoSpaceDN/>
              <w:adjustRightInd/>
              <w:spacing w:after="0"/>
              <w:jc w:val="right"/>
              <w:textAlignment w:val="auto"/>
              <w:rPr>
                <w:rFonts w:eastAsia="Times New Roman"/>
                <w:lang w:val="en-US"/>
              </w:rPr>
            </w:pPr>
            <w:r w:rsidRPr="004C0C03">
              <w:rPr>
                <w:rFonts w:eastAsia="Times New Roman"/>
                <w:lang w:val="en-US"/>
              </w:rPr>
              <w:t>34.18%</w:t>
            </w:r>
          </w:p>
        </w:tc>
      </w:tr>
      <w:tr w:rsidR="00B931A6" w:rsidRPr="004C0C03" w14:paraId="67777435" w14:textId="77777777" w:rsidTr="00E76164">
        <w:trPr>
          <w:trHeight w:val="300"/>
          <w:jc w:val="center"/>
        </w:trPr>
        <w:tc>
          <w:tcPr>
            <w:tcW w:w="1361" w:type="dxa"/>
            <w:vMerge/>
            <w:tcBorders>
              <w:left w:val="single" w:sz="4" w:space="0" w:color="auto"/>
              <w:bottom w:val="single" w:sz="4" w:space="0" w:color="auto"/>
              <w:right w:val="single" w:sz="4" w:space="0" w:color="auto"/>
            </w:tcBorders>
            <w:shd w:val="clear" w:color="000000" w:fill="FFF2CC"/>
            <w:vAlign w:val="center"/>
          </w:tcPr>
          <w:p w14:paraId="31875EFA" w14:textId="77777777" w:rsidR="00B931A6" w:rsidRPr="004C0C03" w:rsidRDefault="00B931A6" w:rsidP="00B931A6">
            <w:pPr>
              <w:overflowPunct/>
              <w:autoSpaceDE/>
              <w:autoSpaceDN/>
              <w:adjustRightInd/>
              <w:spacing w:after="0"/>
              <w:textAlignment w:val="auto"/>
              <w:rPr>
                <w:rFonts w:eastAsia="Times New Roman"/>
                <w:lang w:val="en-US"/>
              </w:rPr>
            </w:pPr>
          </w:p>
        </w:tc>
        <w:tc>
          <w:tcPr>
            <w:tcW w:w="1361" w:type="dxa"/>
            <w:tcBorders>
              <w:top w:val="single" w:sz="4" w:space="0" w:color="auto"/>
              <w:left w:val="nil"/>
              <w:bottom w:val="single" w:sz="4" w:space="0" w:color="auto"/>
              <w:right w:val="single" w:sz="4" w:space="0" w:color="auto"/>
            </w:tcBorders>
            <w:shd w:val="clear" w:color="000000" w:fill="FFF2CC"/>
            <w:vAlign w:val="center"/>
          </w:tcPr>
          <w:p w14:paraId="31535A43" w14:textId="6957623A"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-20.1%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65BA9414" w14:textId="586032EB"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-23.3%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41CFB801" w14:textId="7D8E5821"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-20.3%</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58D2D80D" w14:textId="58D7E65E"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-21.9%</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2BB754D3" w14:textId="6DAD9211"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-24.1%</w:t>
            </w:r>
          </w:p>
        </w:tc>
        <w:tc>
          <w:tcPr>
            <w:tcW w:w="1361" w:type="dxa"/>
            <w:tcBorders>
              <w:top w:val="single" w:sz="4" w:space="0" w:color="auto"/>
              <w:left w:val="nil"/>
              <w:bottom w:val="single" w:sz="4" w:space="0" w:color="auto"/>
              <w:right w:val="single" w:sz="4" w:space="0" w:color="auto"/>
            </w:tcBorders>
            <w:shd w:val="clear" w:color="000000" w:fill="FFF2CC"/>
            <w:vAlign w:val="center"/>
          </w:tcPr>
          <w:p w14:paraId="333DDDEC" w14:textId="36C981EC" w:rsidR="00B931A6" w:rsidRPr="004C0C03" w:rsidRDefault="00B931A6" w:rsidP="00B931A6">
            <w:pPr>
              <w:overflowPunct/>
              <w:autoSpaceDE/>
              <w:autoSpaceDN/>
              <w:adjustRightInd/>
              <w:spacing w:after="0"/>
              <w:jc w:val="right"/>
              <w:textAlignment w:val="auto"/>
              <w:rPr>
                <w:rFonts w:eastAsia="Times New Roman"/>
                <w:lang w:val="en-US"/>
              </w:rPr>
            </w:pPr>
            <w:r w:rsidRPr="004C0C03">
              <w:rPr>
                <w:rFonts w:eastAsia="Times New Roman"/>
                <w:lang w:val="en-US"/>
              </w:rPr>
              <w:t>-21.4%</w:t>
            </w:r>
          </w:p>
        </w:tc>
      </w:tr>
    </w:tbl>
    <w:p w14:paraId="4EB308C4" w14:textId="77777777" w:rsidR="0030057B" w:rsidRDefault="0030057B" w:rsidP="000D40AD">
      <w:pPr>
        <w:jc w:val="both"/>
        <w:rPr>
          <w:lang w:val="en-US" w:eastAsia="x-none"/>
        </w:rPr>
      </w:pPr>
    </w:p>
    <w:p w14:paraId="3751FF49" w14:textId="77777777" w:rsidR="002F2E80" w:rsidRDefault="002F2E80" w:rsidP="00804889">
      <w:pPr>
        <w:jc w:val="both"/>
        <w:rPr>
          <w:b/>
          <w:bCs/>
          <w:u w:val="single"/>
          <w:lang w:val="en-US"/>
        </w:rPr>
      </w:pPr>
      <w:r w:rsidRPr="002971DF">
        <w:rPr>
          <w:b/>
          <w:bCs/>
          <w:u w:val="single"/>
          <w:lang w:val="en-US"/>
        </w:rPr>
        <w:t>Performance impact</w:t>
      </w:r>
      <w:r>
        <w:rPr>
          <w:b/>
          <w:bCs/>
          <w:u w:val="single"/>
          <w:lang w:val="en-US"/>
        </w:rPr>
        <w:t>:</w:t>
      </w:r>
    </w:p>
    <w:p w14:paraId="623D17F5" w14:textId="17767ACE" w:rsidR="00804889" w:rsidRPr="00D92EE7" w:rsidRDefault="00804889" w:rsidP="00804889">
      <w:pPr>
        <w:jc w:val="both"/>
        <w:rPr>
          <w:i/>
          <w:iCs/>
          <w:u w:val="single"/>
          <w:lang w:val="en-US"/>
        </w:rPr>
      </w:pPr>
      <w:r w:rsidRPr="00D92EE7">
        <w:rPr>
          <w:i/>
          <w:iCs/>
          <w:u w:val="single"/>
          <w:lang w:val="en-US"/>
        </w:rPr>
        <w:t xml:space="preserve">Coverage </w:t>
      </w:r>
      <w:r w:rsidR="00383A14" w:rsidRPr="00D92EE7">
        <w:rPr>
          <w:i/>
          <w:iCs/>
          <w:u w:val="single"/>
          <w:lang w:val="en-US"/>
        </w:rPr>
        <w:t>a</w:t>
      </w:r>
      <w:r w:rsidRPr="00D92EE7">
        <w:rPr>
          <w:i/>
          <w:iCs/>
          <w:u w:val="single"/>
          <w:lang w:val="en-US"/>
        </w:rPr>
        <w:t>nalysis</w:t>
      </w:r>
    </w:p>
    <w:p w14:paraId="5CCD0C96" w14:textId="4408CD6F" w:rsidR="00804889" w:rsidRDefault="00F937F2" w:rsidP="00804889">
      <w:pPr>
        <w:jc w:val="both"/>
        <w:rPr>
          <w:rFonts w:eastAsia="MS Mincho"/>
          <w:lang w:val="en-US" w:eastAsia="ja-JP"/>
        </w:rPr>
      </w:pPr>
      <w:r>
        <w:rPr>
          <w:lang w:val="en-US"/>
        </w:rPr>
        <w:t>Relaxing the UE processing time</w:t>
      </w:r>
      <w:r w:rsidR="00DD3340">
        <w:rPr>
          <w:lang w:val="en-US"/>
        </w:rPr>
        <w:t>s</w:t>
      </w:r>
      <w:r>
        <w:rPr>
          <w:lang w:val="en-US"/>
        </w:rPr>
        <w:t xml:space="preserve"> </w:t>
      </w:r>
      <w:r w:rsidR="00AA5F30">
        <w:rPr>
          <w:lang w:val="en-US"/>
        </w:rPr>
        <w:t xml:space="preserve">is not expected to reduce </w:t>
      </w:r>
      <w:r>
        <w:rPr>
          <w:lang w:val="en-US"/>
        </w:rPr>
        <w:t>coverage.</w:t>
      </w:r>
    </w:p>
    <w:p w14:paraId="4168B6A0" w14:textId="77777777" w:rsidR="00804889" w:rsidRPr="00D92EE7" w:rsidRDefault="00804889" w:rsidP="00804889">
      <w:pPr>
        <w:jc w:val="both"/>
        <w:rPr>
          <w:i/>
          <w:iCs/>
          <w:u w:val="single"/>
          <w:lang w:val="en-US"/>
        </w:rPr>
      </w:pPr>
      <w:r w:rsidRPr="00D92EE7">
        <w:rPr>
          <w:i/>
          <w:iCs/>
          <w:u w:val="single"/>
          <w:lang w:val="en-US"/>
        </w:rPr>
        <w:t xml:space="preserve">Cell </w:t>
      </w:r>
      <w:r w:rsidR="00383A14" w:rsidRPr="00D92EE7">
        <w:rPr>
          <w:i/>
          <w:iCs/>
          <w:u w:val="single"/>
          <w:lang w:val="en-US"/>
        </w:rPr>
        <w:t>s</w:t>
      </w:r>
      <w:r w:rsidRPr="00D92EE7">
        <w:rPr>
          <w:i/>
          <w:iCs/>
          <w:u w:val="single"/>
          <w:lang w:val="en-US"/>
        </w:rPr>
        <w:t xml:space="preserve">pectral </w:t>
      </w:r>
      <w:r w:rsidR="00383A14" w:rsidRPr="00D92EE7">
        <w:rPr>
          <w:i/>
          <w:iCs/>
          <w:u w:val="single"/>
          <w:lang w:val="en-US"/>
        </w:rPr>
        <w:t>e</w:t>
      </w:r>
      <w:r w:rsidRPr="00D92EE7">
        <w:rPr>
          <w:i/>
          <w:iCs/>
          <w:u w:val="single"/>
          <w:lang w:val="en-US"/>
        </w:rPr>
        <w:t xml:space="preserve">fficiency </w:t>
      </w:r>
      <w:r w:rsidR="00383A14" w:rsidRPr="00D92EE7">
        <w:rPr>
          <w:i/>
          <w:iCs/>
          <w:u w:val="single"/>
          <w:lang w:val="en-US"/>
        </w:rPr>
        <w:t>a</w:t>
      </w:r>
      <w:r w:rsidRPr="00D92EE7">
        <w:rPr>
          <w:i/>
          <w:iCs/>
          <w:u w:val="single"/>
          <w:lang w:val="en-US"/>
        </w:rPr>
        <w:t>nalysis</w:t>
      </w:r>
    </w:p>
    <w:p w14:paraId="6932F3AF" w14:textId="38C7806F" w:rsidR="00F937F2" w:rsidRDefault="00F937F2" w:rsidP="00F937F2">
      <w:pPr>
        <w:jc w:val="both"/>
        <w:rPr>
          <w:lang w:val="en-US"/>
        </w:rPr>
      </w:pPr>
      <w:r>
        <w:rPr>
          <w:lang w:val="en-US"/>
        </w:rPr>
        <w:t>Relaxing the UE processing time</w:t>
      </w:r>
      <w:r w:rsidR="008C0851">
        <w:rPr>
          <w:lang w:val="en-US"/>
        </w:rPr>
        <w:t>s</w:t>
      </w:r>
      <w:r>
        <w:rPr>
          <w:lang w:val="en-US"/>
        </w:rPr>
        <w:t xml:space="preserve"> </w:t>
      </w:r>
      <w:r w:rsidR="0018335A">
        <w:rPr>
          <w:lang w:val="en-US"/>
        </w:rPr>
        <w:t>is not expected to reduce cell spectral efficiency</w:t>
      </w:r>
      <w:r>
        <w:rPr>
          <w:lang w:val="en-US"/>
        </w:rPr>
        <w:t>.</w:t>
      </w:r>
    </w:p>
    <w:p w14:paraId="7579DBDA" w14:textId="77777777" w:rsidR="00262FB6" w:rsidRPr="00D92EE7" w:rsidRDefault="00262FB6" w:rsidP="00262FB6">
      <w:pPr>
        <w:jc w:val="both"/>
        <w:rPr>
          <w:i/>
          <w:iCs/>
          <w:u w:val="single"/>
          <w:lang w:val="en-US"/>
        </w:rPr>
      </w:pPr>
      <w:r w:rsidRPr="00D92EE7">
        <w:rPr>
          <w:i/>
          <w:iCs/>
          <w:u w:val="single"/>
          <w:lang w:val="en-US"/>
        </w:rPr>
        <w:t>Power consumption analysis</w:t>
      </w:r>
    </w:p>
    <w:p w14:paraId="1A778018" w14:textId="7BD768C0" w:rsidR="00262FB6" w:rsidRDefault="00262FB6" w:rsidP="00262FB6">
      <w:pPr>
        <w:jc w:val="both"/>
        <w:rPr>
          <w:rFonts w:eastAsia="MS Mincho"/>
          <w:lang w:val="en-US" w:eastAsia="ja-JP"/>
        </w:rPr>
      </w:pPr>
      <w:r>
        <w:rPr>
          <w:lang w:val="en-US"/>
        </w:rPr>
        <w:t>Relaxing the UE processing time</w:t>
      </w:r>
      <w:r w:rsidR="00880847">
        <w:rPr>
          <w:lang w:val="en-US"/>
        </w:rPr>
        <w:t>s</w:t>
      </w:r>
      <w:r>
        <w:rPr>
          <w:lang w:val="en-US"/>
        </w:rPr>
        <w:t xml:space="preserve"> </w:t>
      </w:r>
      <w:r w:rsidR="00E813B8">
        <w:rPr>
          <w:lang w:val="en-US"/>
        </w:rPr>
        <w:t xml:space="preserve">is not expected to reduce power consumption meaningfully. The UE may </w:t>
      </w:r>
      <w:r w:rsidR="001D610E">
        <w:rPr>
          <w:lang w:val="en-US"/>
        </w:rPr>
        <w:t>need to be</w:t>
      </w:r>
      <w:r w:rsidR="00E813B8">
        <w:rPr>
          <w:lang w:val="en-US"/>
        </w:rPr>
        <w:t xml:space="preserve"> active longer but this should have only small </w:t>
      </w:r>
      <w:r w:rsidR="001D610E">
        <w:rPr>
          <w:lang w:val="en-US"/>
        </w:rPr>
        <w:t>impact to power consumption</w:t>
      </w:r>
      <w:r>
        <w:rPr>
          <w:lang w:val="en-US"/>
        </w:rPr>
        <w:t>.</w:t>
      </w:r>
    </w:p>
    <w:p w14:paraId="0F9B29FB" w14:textId="5B70E571" w:rsidR="00EE2485" w:rsidRPr="00D92EE7" w:rsidRDefault="00EE2485" w:rsidP="00EE2485">
      <w:pPr>
        <w:jc w:val="both"/>
        <w:rPr>
          <w:i/>
          <w:iCs/>
          <w:u w:val="single"/>
          <w:lang w:val="en-US"/>
        </w:rPr>
      </w:pPr>
      <w:r>
        <w:rPr>
          <w:i/>
          <w:iCs/>
          <w:u w:val="single"/>
          <w:lang w:val="en-US"/>
        </w:rPr>
        <w:t>Latency</w:t>
      </w:r>
      <w:r w:rsidR="005B0417">
        <w:rPr>
          <w:i/>
          <w:iCs/>
          <w:u w:val="single"/>
          <w:lang w:val="en-US"/>
        </w:rPr>
        <w:t xml:space="preserve"> </w:t>
      </w:r>
      <w:r w:rsidRPr="00D92EE7">
        <w:rPr>
          <w:i/>
          <w:iCs/>
          <w:u w:val="single"/>
          <w:lang w:val="en-US"/>
        </w:rPr>
        <w:t>analysis</w:t>
      </w:r>
    </w:p>
    <w:p w14:paraId="01D44685" w14:textId="27F554A8" w:rsidR="003B0F77" w:rsidRDefault="00A86BBC" w:rsidP="003B0F77">
      <w:pPr>
        <w:jc w:val="both"/>
        <w:rPr>
          <w:lang w:val="en-US"/>
        </w:rPr>
      </w:pPr>
      <w:r>
        <w:rPr>
          <w:lang w:val="en-US"/>
        </w:rPr>
        <w:t>Relaxing the UE processing times</w:t>
      </w:r>
      <w:r w:rsidR="00821EA8">
        <w:rPr>
          <w:lang w:val="en-US"/>
        </w:rPr>
        <w:t xml:space="preserve"> will increase the latency.</w:t>
      </w:r>
      <w:r w:rsidR="00472985">
        <w:rPr>
          <w:lang w:val="en-US"/>
        </w:rPr>
        <w:t xml:space="preserve"> Without retransmission, </w:t>
      </w:r>
      <w:r w:rsidR="00507561">
        <w:rPr>
          <w:lang w:val="en-US"/>
        </w:rPr>
        <w:t xml:space="preserve">latency increase of up to 1 subframe may be incurred. The increase is larger with HARQ retransmission. In this case, latency increase of up to </w:t>
      </w:r>
      <w:r w:rsidR="008218C3">
        <w:rPr>
          <w:lang w:val="en-US"/>
        </w:rPr>
        <w:t>2 subframes may be incurred.</w:t>
      </w:r>
      <w:r w:rsidR="003B0F77">
        <w:rPr>
          <w:lang w:val="en-US"/>
        </w:rPr>
        <w:t xml:space="preserve"> However, it is expected that the latency considered in Rel-17 RedCap (i.e. </w:t>
      </w:r>
      <w:r w:rsidR="003B0F77" w:rsidRPr="002C4A15">
        <w:t>end-to-end latency less than 100 ms</w:t>
      </w:r>
      <w:r w:rsidR="003B0F77">
        <w:t xml:space="preserve"> for industrial sensor and 5-10ms for </w:t>
      </w:r>
      <w:r w:rsidR="003B0F77" w:rsidRPr="0034101B">
        <w:t>safety related sensors</w:t>
      </w:r>
      <w:r w:rsidR="003B0F77">
        <w:rPr>
          <w:lang w:val="en-US"/>
        </w:rPr>
        <w:t>) can still be met.</w:t>
      </w:r>
    </w:p>
    <w:p w14:paraId="62BB7F6D" w14:textId="431F5436" w:rsidR="00383A14" w:rsidRPr="00907F26" w:rsidRDefault="00262FB6" w:rsidP="00383A14">
      <w:pPr>
        <w:jc w:val="both"/>
        <w:rPr>
          <w:u w:val="single"/>
          <w:lang w:val="en-US"/>
        </w:rPr>
      </w:pPr>
      <w:r w:rsidRPr="009445E0">
        <w:rPr>
          <w:b/>
          <w:bCs/>
          <w:u w:val="single"/>
          <w:lang w:val="en-US" w:eastAsia="zh-CN"/>
        </w:rPr>
        <w:t>Network deployment and coexistence impact:</w:t>
      </w:r>
    </w:p>
    <w:p w14:paraId="7D1993D5" w14:textId="22EB51C2" w:rsidR="00F937F2" w:rsidRDefault="00DC5104" w:rsidP="00F937F2">
      <w:pPr>
        <w:jc w:val="both"/>
        <w:rPr>
          <w:rFonts w:eastAsia="MS Mincho"/>
          <w:lang w:val="en-US" w:eastAsia="ja-JP"/>
        </w:rPr>
      </w:pPr>
      <w:r>
        <w:rPr>
          <w:lang w:val="en-US"/>
        </w:rPr>
        <w:t>Relaxing (N1,N2) will have an impact to legacy UEs unless such UE can be identified in Msg1 during random access procedure. This is because the timing between RAR grant and Msg3 depends on N1 and N2 values.</w:t>
      </w:r>
      <w:r w:rsidR="00830398">
        <w:rPr>
          <w:lang w:val="en-US"/>
        </w:rPr>
        <w:t xml:space="preserve"> Therefore the network would have to schedule all UEs using longer (N1,N2) requirements until the UE capability is known.</w:t>
      </w:r>
      <w:r w:rsidR="009D464C">
        <w:rPr>
          <w:lang w:val="en-US"/>
        </w:rPr>
        <w:t xml:space="preserve"> In addition, the scheduler must now </w:t>
      </w:r>
      <w:r w:rsidR="00356253">
        <w:rPr>
          <w:lang w:val="en-US"/>
        </w:rPr>
        <w:t xml:space="preserve">take into account the additional UE processing times. </w:t>
      </w:r>
      <w:r w:rsidR="009C226A">
        <w:rPr>
          <w:lang w:val="en-US"/>
        </w:rPr>
        <w:t xml:space="preserve">Furthermore, in case of large relaxation, same slot scheduling may no longer be possible. </w:t>
      </w:r>
      <w:r w:rsidR="00356253">
        <w:rPr>
          <w:lang w:val="en-US"/>
        </w:rPr>
        <w:t>This can increase the scheduler complexity</w:t>
      </w:r>
      <w:r w:rsidR="00EB4700">
        <w:rPr>
          <w:lang w:val="en-US"/>
        </w:rPr>
        <w:t xml:space="preserve"> and flexibility</w:t>
      </w:r>
      <w:r w:rsidR="00356253">
        <w:rPr>
          <w:lang w:val="en-US"/>
        </w:rPr>
        <w:t>.</w:t>
      </w:r>
    </w:p>
    <w:p w14:paraId="59495DAB" w14:textId="7B0495E3" w:rsidR="00804889" w:rsidRDefault="001F1587" w:rsidP="00804889">
      <w:pPr>
        <w:jc w:val="both"/>
        <w:rPr>
          <w:u w:val="single"/>
          <w:lang w:val="en-US"/>
        </w:rPr>
      </w:pPr>
      <w:r w:rsidRPr="002971DF">
        <w:rPr>
          <w:b/>
          <w:bCs/>
          <w:u w:val="single"/>
          <w:lang w:val="en-US"/>
        </w:rPr>
        <w:t>Specification impact:</w:t>
      </w:r>
    </w:p>
    <w:p w14:paraId="6E9B5CBC" w14:textId="09FB3131" w:rsidR="00804889" w:rsidRDefault="00804889" w:rsidP="00804889">
      <w:pPr>
        <w:jc w:val="both"/>
        <w:rPr>
          <w:rFonts w:eastAsia="MS Mincho"/>
          <w:lang w:val="en-US" w:eastAsia="ja-JP"/>
        </w:rPr>
      </w:pPr>
      <w:r w:rsidRPr="00500FC6">
        <w:rPr>
          <w:rFonts w:eastAsia="MS Mincho"/>
          <w:lang w:val="en-US" w:eastAsia="ja-JP"/>
        </w:rPr>
        <w:t xml:space="preserve">NR specifications can support </w:t>
      </w:r>
      <w:r w:rsidR="00F937F2" w:rsidRPr="00500FC6">
        <w:rPr>
          <w:rFonts w:eastAsia="MS Mincho"/>
          <w:lang w:val="en-US" w:eastAsia="ja-JP"/>
        </w:rPr>
        <w:t>signaling of N1/N2 processing times</w:t>
      </w:r>
      <w:r w:rsidRPr="00500FC6">
        <w:rPr>
          <w:rFonts w:eastAsia="MS Mincho"/>
          <w:lang w:val="en-US" w:eastAsia="ja-JP"/>
        </w:rPr>
        <w:t xml:space="preserve">. </w:t>
      </w:r>
      <w:r w:rsidR="00F937F2" w:rsidRPr="00500FC6">
        <w:rPr>
          <w:rFonts w:eastAsia="MS Mincho"/>
          <w:lang w:val="en-US" w:eastAsia="ja-JP"/>
        </w:rPr>
        <w:t>Introducing additional values for RedCap UE will have a small impact to RAN1 specification</w:t>
      </w:r>
      <w:r w:rsidRPr="00500FC6">
        <w:rPr>
          <w:rFonts w:eastAsia="MS Mincho"/>
          <w:lang w:val="en-US" w:eastAsia="ja-JP"/>
        </w:rPr>
        <w:t>.</w:t>
      </w:r>
      <w:r>
        <w:rPr>
          <w:rFonts w:eastAsia="MS Mincho"/>
          <w:lang w:val="en-US" w:eastAsia="ja-JP"/>
        </w:rPr>
        <w:t xml:space="preserve"> </w:t>
      </w:r>
      <w:r w:rsidR="00B27249">
        <w:rPr>
          <w:rFonts w:eastAsia="MS Mincho"/>
          <w:lang w:val="en-US" w:eastAsia="ja-JP"/>
        </w:rPr>
        <w:t>In this case, a new UE processing capability would need to be defined (38.214).</w:t>
      </w:r>
      <w:r w:rsidR="007E1478">
        <w:rPr>
          <w:rFonts w:eastAsia="MS Mincho"/>
          <w:lang w:val="en-US" w:eastAsia="ja-JP"/>
        </w:rPr>
        <w:t xml:space="preserve"> If relaxed CSI processing times are also introduced, then new requirements would need to be defined (38.214).</w:t>
      </w:r>
    </w:p>
    <w:p w14:paraId="3E403CF4" w14:textId="77777777" w:rsidR="0067024D" w:rsidRDefault="0067024D" w:rsidP="0067024D">
      <w:pPr>
        <w:jc w:val="both"/>
        <w:rPr>
          <w:rFonts w:eastAsia="MS Mincho"/>
          <w:lang w:val="en-US" w:eastAsia="ja-JP"/>
        </w:rPr>
      </w:pPr>
      <w:r>
        <w:rPr>
          <w:rFonts w:eastAsia="MS Mincho"/>
          <w:lang w:val="en-US" w:eastAsia="ja-JP"/>
        </w:rPr>
        <w:t>Based on the above discussion, the following observations can be drawn –</w:t>
      </w:r>
    </w:p>
    <w:p w14:paraId="416F2492" w14:textId="17F24D93" w:rsidR="0067024D" w:rsidRDefault="0067024D" w:rsidP="0067024D">
      <w:pPr>
        <w:spacing w:before="120"/>
        <w:jc w:val="both"/>
        <w:rPr>
          <w:b/>
          <w:noProof/>
          <w:lang w:val="en-US" w:eastAsia="en-GB"/>
        </w:rPr>
      </w:pPr>
      <w:r w:rsidRPr="00177B90">
        <w:rPr>
          <w:b/>
          <w:noProof/>
          <w:lang w:val="en-US" w:eastAsia="en-GB"/>
        </w:rPr>
        <w:t xml:space="preserve">Observation </w:t>
      </w:r>
      <w:r>
        <w:rPr>
          <w:b/>
          <w:noProof/>
          <w:lang w:val="en-US" w:eastAsia="en-GB"/>
        </w:rPr>
        <w:t>14</w:t>
      </w:r>
      <w:r w:rsidRPr="00177B90">
        <w:rPr>
          <w:b/>
          <w:noProof/>
          <w:lang w:val="en-US" w:eastAsia="en-GB"/>
        </w:rPr>
        <w:t>:</w:t>
      </w:r>
      <w:r>
        <w:rPr>
          <w:b/>
          <w:noProof/>
          <w:lang w:val="en-US" w:eastAsia="en-GB"/>
        </w:rPr>
        <w:t xml:space="preserve"> PT1/PT2 provide small complexity reduction </w:t>
      </w:r>
      <w:r w:rsidR="003447F7">
        <w:rPr>
          <w:b/>
          <w:noProof/>
          <w:lang w:val="en-US" w:eastAsia="en-GB"/>
        </w:rPr>
        <w:t>of around 2-4% when considered in isolation</w:t>
      </w:r>
      <w:r>
        <w:rPr>
          <w:b/>
          <w:noProof/>
          <w:lang w:val="en-US" w:eastAsia="en-GB"/>
        </w:rPr>
        <w:t>.</w:t>
      </w:r>
      <w:r w:rsidR="003447F7">
        <w:rPr>
          <w:b/>
          <w:noProof/>
          <w:lang w:val="en-US" w:eastAsia="en-GB"/>
        </w:rPr>
        <w:t xml:space="preserve"> In combination with BW or PR </w:t>
      </w:r>
      <w:r w:rsidR="00A30042">
        <w:rPr>
          <w:b/>
          <w:noProof/>
          <w:lang w:val="en-US" w:eastAsia="en-GB"/>
        </w:rPr>
        <w:t xml:space="preserve">reduction </w:t>
      </w:r>
      <w:r w:rsidR="003447F7">
        <w:rPr>
          <w:b/>
          <w:noProof/>
          <w:lang w:val="en-US" w:eastAsia="en-GB"/>
        </w:rPr>
        <w:t>options, the reduction is</w:t>
      </w:r>
      <w:r w:rsidR="0058011C">
        <w:rPr>
          <w:b/>
          <w:noProof/>
          <w:lang w:val="en-US" w:eastAsia="en-GB"/>
        </w:rPr>
        <w:t xml:space="preserve"> even smaller (less than 2%).</w:t>
      </w:r>
    </w:p>
    <w:p w14:paraId="7DD9BE50" w14:textId="5D7DC29D" w:rsidR="005943A0" w:rsidRDefault="005943A0" w:rsidP="005943A0">
      <w:pPr>
        <w:spacing w:before="120"/>
        <w:jc w:val="both"/>
        <w:rPr>
          <w:b/>
          <w:noProof/>
          <w:lang w:val="en-US" w:eastAsia="en-GB"/>
        </w:rPr>
      </w:pPr>
      <w:r>
        <w:rPr>
          <w:b/>
          <w:noProof/>
          <w:lang w:val="en-US" w:eastAsia="en-GB"/>
        </w:rPr>
        <w:t>Observation 15: PT1/PT2 have negative impact on latency.</w:t>
      </w:r>
    </w:p>
    <w:p w14:paraId="7D361C63" w14:textId="0BE77FCA" w:rsidR="0058011C" w:rsidRDefault="0058011C" w:rsidP="0067024D">
      <w:pPr>
        <w:spacing w:before="120"/>
        <w:jc w:val="both"/>
        <w:rPr>
          <w:b/>
          <w:noProof/>
          <w:lang w:val="en-US" w:eastAsia="en-GB"/>
        </w:rPr>
      </w:pPr>
      <w:r>
        <w:rPr>
          <w:b/>
          <w:noProof/>
          <w:lang w:val="en-US" w:eastAsia="en-GB"/>
        </w:rPr>
        <w:t>Observation 1</w:t>
      </w:r>
      <w:r w:rsidR="005943A0">
        <w:rPr>
          <w:b/>
          <w:noProof/>
          <w:lang w:val="en-US" w:eastAsia="en-GB"/>
        </w:rPr>
        <w:t>6</w:t>
      </w:r>
      <w:r>
        <w:rPr>
          <w:b/>
          <w:noProof/>
          <w:lang w:val="en-US" w:eastAsia="en-GB"/>
        </w:rPr>
        <w:t xml:space="preserve">: </w:t>
      </w:r>
      <w:r w:rsidR="00BD2DC6">
        <w:rPr>
          <w:b/>
          <w:noProof/>
          <w:lang w:val="en-US" w:eastAsia="en-GB"/>
        </w:rPr>
        <w:t xml:space="preserve">PT1/PT2 </w:t>
      </w:r>
      <w:r w:rsidR="00273C1A">
        <w:rPr>
          <w:b/>
          <w:noProof/>
          <w:lang w:val="en-US" w:eastAsia="en-GB"/>
        </w:rPr>
        <w:t>have small specification impact.</w:t>
      </w:r>
    </w:p>
    <w:p w14:paraId="1AD84E81" w14:textId="60613316" w:rsidR="00BD2DC6" w:rsidRDefault="00BD2DC6" w:rsidP="0067024D">
      <w:pPr>
        <w:spacing w:before="120"/>
        <w:jc w:val="both"/>
        <w:rPr>
          <w:b/>
          <w:noProof/>
          <w:lang w:val="en-US" w:eastAsia="en-GB"/>
        </w:rPr>
      </w:pPr>
      <w:r>
        <w:rPr>
          <w:b/>
          <w:noProof/>
          <w:lang w:val="en-US" w:eastAsia="en-GB"/>
        </w:rPr>
        <w:t>Observation 1</w:t>
      </w:r>
      <w:r w:rsidR="005943A0">
        <w:rPr>
          <w:b/>
          <w:noProof/>
          <w:lang w:val="en-US" w:eastAsia="en-GB"/>
        </w:rPr>
        <w:t>7</w:t>
      </w:r>
      <w:r>
        <w:rPr>
          <w:b/>
          <w:noProof/>
          <w:lang w:val="en-US" w:eastAsia="en-GB"/>
        </w:rPr>
        <w:t xml:space="preserve">: </w:t>
      </w:r>
      <w:r w:rsidR="00273C1A">
        <w:rPr>
          <w:b/>
          <w:noProof/>
          <w:lang w:val="en-US" w:eastAsia="en-GB"/>
        </w:rPr>
        <w:t xml:space="preserve">PT1/PT2 have </w:t>
      </w:r>
      <w:r w:rsidR="00610281">
        <w:rPr>
          <w:b/>
          <w:noProof/>
          <w:lang w:val="en-US" w:eastAsia="en-GB"/>
        </w:rPr>
        <w:t>significant impact to scheduler complexity and flexbility</w:t>
      </w:r>
      <w:r w:rsidR="00273C1A">
        <w:rPr>
          <w:b/>
          <w:noProof/>
          <w:lang w:val="en-US" w:eastAsia="en-GB"/>
        </w:rPr>
        <w:t>.</w:t>
      </w:r>
    </w:p>
    <w:p w14:paraId="1F5E4DF3" w14:textId="77777777" w:rsidR="00AD548F" w:rsidRPr="00DE5B89" w:rsidRDefault="00AD548F" w:rsidP="00AD548F">
      <w:pPr>
        <w:pStyle w:val="Heading1"/>
        <w:tabs>
          <w:tab w:val="clear" w:pos="1134"/>
          <w:tab w:val="num" w:pos="709"/>
        </w:tabs>
        <w:ind w:left="709" w:hanging="709"/>
        <w:rPr>
          <w:lang w:val="en-US"/>
        </w:rPr>
      </w:pPr>
      <w:r>
        <w:rPr>
          <w:lang w:val="en-US"/>
        </w:rPr>
        <w:lastRenderedPageBreak/>
        <w:t>UE Complexity Reduction Feature</w:t>
      </w:r>
      <w:r w:rsidR="006F07DE">
        <w:rPr>
          <w:lang w:val="en-US"/>
        </w:rPr>
        <w:t xml:space="preserve"> Combination</w:t>
      </w:r>
    </w:p>
    <w:p w14:paraId="76491779" w14:textId="2503BB7E" w:rsidR="002510F5" w:rsidRDefault="002510F5" w:rsidP="002510F5">
      <w:pPr>
        <w:spacing w:after="120"/>
        <w:jc w:val="both"/>
        <w:rPr>
          <w:lang w:val="en-US"/>
        </w:rPr>
      </w:pPr>
      <w:r>
        <w:rPr>
          <w:lang w:val="en-US"/>
        </w:rPr>
        <w:t>In RAN1#109-e, the following combinations were agreed to be evaluated –</w:t>
      </w:r>
    </w:p>
    <w:p w14:paraId="04BE42F1" w14:textId="77777777" w:rsidR="002510F5" w:rsidRPr="002510F5" w:rsidRDefault="002510F5" w:rsidP="002510F5">
      <w:pPr>
        <w:pStyle w:val="ListParagraph"/>
        <w:numPr>
          <w:ilvl w:val="0"/>
          <w:numId w:val="34"/>
        </w:numPr>
        <w:spacing w:after="0"/>
        <w:jc w:val="both"/>
        <w:rPr>
          <w:lang w:val="en-US" w:eastAsia="zh-CN"/>
        </w:rPr>
      </w:pPr>
      <w:r w:rsidRPr="002510F5">
        <w:rPr>
          <w:lang w:val="en-US" w:eastAsia="zh-CN"/>
        </w:rPr>
        <w:t>Reference case (Rel-17 RedCap UE)</w:t>
      </w:r>
    </w:p>
    <w:p w14:paraId="121AB886" w14:textId="77777777" w:rsidR="002510F5" w:rsidRPr="002510F5" w:rsidRDefault="002510F5" w:rsidP="002510F5">
      <w:pPr>
        <w:pStyle w:val="ListParagraph"/>
        <w:numPr>
          <w:ilvl w:val="0"/>
          <w:numId w:val="34"/>
        </w:numPr>
        <w:spacing w:after="0"/>
        <w:jc w:val="both"/>
        <w:rPr>
          <w:lang w:val="en-US" w:eastAsia="zh-CN"/>
        </w:rPr>
      </w:pPr>
      <w:r w:rsidRPr="00776062">
        <w:rPr>
          <w:lang w:eastAsia="zh-CN"/>
        </w:rPr>
        <w:t>BW1 + PT1 + PT2</w:t>
      </w:r>
    </w:p>
    <w:p w14:paraId="26259D29" w14:textId="77777777" w:rsidR="002510F5" w:rsidRPr="002510F5" w:rsidRDefault="002510F5" w:rsidP="002510F5">
      <w:pPr>
        <w:pStyle w:val="ListParagraph"/>
        <w:numPr>
          <w:ilvl w:val="0"/>
          <w:numId w:val="34"/>
        </w:numPr>
        <w:spacing w:after="0"/>
        <w:jc w:val="both"/>
        <w:rPr>
          <w:lang w:val="en-US" w:eastAsia="zh-CN"/>
        </w:rPr>
      </w:pPr>
      <w:r w:rsidRPr="00776062">
        <w:rPr>
          <w:lang w:eastAsia="zh-CN"/>
        </w:rPr>
        <w:t>BW3 + PT1 + PT2</w:t>
      </w:r>
    </w:p>
    <w:p w14:paraId="0C0AF561" w14:textId="77777777" w:rsidR="002510F5" w:rsidRPr="002510F5" w:rsidRDefault="002510F5" w:rsidP="002510F5">
      <w:pPr>
        <w:pStyle w:val="ListParagraph"/>
        <w:numPr>
          <w:ilvl w:val="0"/>
          <w:numId w:val="34"/>
        </w:numPr>
        <w:spacing w:after="0"/>
        <w:jc w:val="both"/>
        <w:rPr>
          <w:lang w:val="en-US" w:eastAsia="zh-CN"/>
        </w:rPr>
      </w:pPr>
      <w:r w:rsidRPr="00776062">
        <w:rPr>
          <w:lang w:eastAsia="zh-CN"/>
        </w:rPr>
        <w:t>PR1 + PT1 + PT2</w:t>
      </w:r>
    </w:p>
    <w:p w14:paraId="1B7448A8" w14:textId="77777777" w:rsidR="002510F5" w:rsidRPr="002510F5" w:rsidRDefault="002510F5" w:rsidP="002510F5">
      <w:pPr>
        <w:pStyle w:val="ListParagraph"/>
        <w:numPr>
          <w:ilvl w:val="0"/>
          <w:numId w:val="34"/>
        </w:numPr>
        <w:spacing w:after="0"/>
        <w:jc w:val="both"/>
        <w:rPr>
          <w:lang w:val="en-US" w:eastAsia="zh-CN"/>
        </w:rPr>
      </w:pPr>
      <w:r w:rsidRPr="00776062">
        <w:rPr>
          <w:lang w:eastAsia="zh-CN"/>
        </w:rPr>
        <w:t>PR3 + PT1 + PT2</w:t>
      </w:r>
    </w:p>
    <w:p w14:paraId="31FD0DCA" w14:textId="5D204C66" w:rsidR="002510F5" w:rsidRDefault="002510F5" w:rsidP="002510F5">
      <w:pPr>
        <w:spacing w:before="120" w:after="120"/>
        <w:jc w:val="both"/>
        <w:rPr>
          <w:lang w:val="en-US" w:eastAsia="zh-CN"/>
        </w:rPr>
      </w:pPr>
      <w:r w:rsidRPr="00776062">
        <w:rPr>
          <w:lang w:val="en-US" w:eastAsia="zh-CN"/>
        </w:rPr>
        <w:t>In addition, optional results for the following combinations can also be reported</w:t>
      </w:r>
      <w:r>
        <w:rPr>
          <w:lang w:val="en-US" w:eastAsia="zh-CN"/>
        </w:rPr>
        <w:t xml:space="preserve"> </w:t>
      </w:r>
      <w:r>
        <w:rPr>
          <w:lang w:val="en-US"/>
        </w:rPr>
        <w:t>–</w:t>
      </w:r>
    </w:p>
    <w:p w14:paraId="76619D4A" w14:textId="77777777" w:rsidR="002510F5" w:rsidRPr="002510F5" w:rsidRDefault="002510F5" w:rsidP="002510F5">
      <w:pPr>
        <w:pStyle w:val="ListParagraph"/>
        <w:numPr>
          <w:ilvl w:val="0"/>
          <w:numId w:val="34"/>
        </w:numPr>
        <w:spacing w:after="0"/>
        <w:jc w:val="both"/>
        <w:rPr>
          <w:lang w:eastAsia="zh-CN"/>
        </w:rPr>
      </w:pPr>
      <w:r w:rsidRPr="00776062">
        <w:rPr>
          <w:lang w:eastAsia="zh-CN"/>
        </w:rPr>
        <w:t>BW1 + PT1</w:t>
      </w:r>
    </w:p>
    <w:p w14:paraId="19DC1B84" w14:textId="77777777" w:rsidR="002510F5" w:rsidRPr="002510F5" w:rsidRDefault="002510F5" w:rsidP="002510F5">
      <w:pPr>
        <w:pStyle w:val="ListParagraph"/>
        <w:numPr>
          <w:ilvl w:val="0"/>
          <w:numId w:val="34"/>
        </w:numPr>
        <w:spacing w:after="0"/>
        <w:jc w:val="both"/>
        <w:rPr>
          <w:lang w:eastAsia="zh-CN"/>
        </w:rPr>
      </w:pPr>
      <w:r w:rsidRPr="00776062">
        <w:rPr>
          <w:lang w:eastAsia="zh-CN"/>
        </w:rPr>
        <w:t>BW3 + PT1</w:t>
      </w:r>
    </w:p>
    <w:p w14:paraId="2C1865B4" w14:textId="77777777" w:rsidR="002510F5" w:rsidRPr="002510F5" w:rsidRDefault="002510F5" w:rsidP="002510F5">
      <w:pPr>
        <w:pStyle w:val="ListParagraph"/>
        <w:numPr>
          <w:ilvl w:val="0"/>
          <w:numId w:val="34"/>
        </w:numPr>
        <w:spacing w:after="0"/>
        <w:jc w:val="both"/>
        <w:rPr>
          <w:lang w:eastAsia="zh-CN"/>
        </w:rPr>
      </w:pPr>
      <w:r w:rsidRPr="00776062">
        <w:rPr>
          <w:lang w:eastAsia="zh-CN"/>
        </w:rPr>
        <w:t>PR1 + PT1</w:t>
      </w:r>
    </w:p>
    <w:p w14:paraId="3F02808F" w14:textId="77777777" w:rsidR="002510F5" w:rsidRPr="002510F5" w:rsidRDefault="002510F5" w:rsidP="002510F5">
      <w:pPr>
        <w:pStyle w:val="ListParagraph"/>
        <w:numPr>
          <w:ilvl w:val="0"/>
          <w:numId w:val="34"/>
        </w:numPr>
        <w:spacing w:after="0"/>
        <w:jc w:val="both"/>
        <w:rPr>
          <w:lang w:eastAsia="zh-CN"/>
        </w:rPr>
      </w:pPr>
      <w:r w:rsidRPr="00776062">
        <w:rPr>
          <w:lang w:eastAsia="zh-CN"/>
        </w:rPr>
        <w:t>PR3 + PT1</w:t>
      </w:r>
    </w:p>
    <w:p w14:paraId="5E0AC371" w14:textId="77777777" w:rsidR="002510F5" w:rsidRPr="002510F5" w:rsidRDefault="002510F5" w:rsidP="002510F5">
      <w:pPr>
        <w:pStyle w:val="ListParagraph"/>
        <w:numPr>
          <w:ilvl w:val="0"/>
          <w:numId w:val="34"/>
        </w:numPr>
        <w:spacing w:after="0"/>
        <w:jc w:val="both"/>
        <w:rPr>
          <w:lang w:eastAsia="zh-CN"/>
        </w:rPr>
      </w:pPr>
      <w:r w:rsidRPr="00776062">
        <w:rPr>
          <w:lang w:eastAsia="zh-CN"/>
        </w:rPr>
        <w:t>BW2 + PT1 + PT2</w:t>
      </w:r>
    </w:p>
    <w:p w14:paraId="7FE113D4" w14:textId="7ADC1799" w:rsidR="00A8338E" w:rsidRDefault="00E06502" w:rsidP="002510F5">
      <w:pPr>
        <w:spacing w:before="120"/>
        <w:jc w:val="both"/>
        <w:rPr>
          <w:lang w:val="en-US"/>
        </w:rPr>
      </w:pPr>
      <w:r>
        <w:rPr>
          <w:lang w:val="en-US"/>
        </w:rPr>
        <w:fldChar w:fldCharType="begin"/>
      </w:r>
      <w:r>
        <w:rPr>
          <w:lang w:val="en-US"/>
        </w:rPr>
        <w:instrText xml:space="preserve"> REF _Ref110244972 \h  \* MERGEFORMAT </w:instrText>
      </w:r>
      <w:r>
        <w:rPr>
          <w:lang w:val="en-US"/>
        </w:rPr>
      </w:r>
      <w:r>
        <w:rPr>
          <w:lang w:val="en-US"/>
        </w:rPr>
        <w:fldChar w:fldCharType="separate"/>
      </w:r>
      <w:r w:rsidR="00034224">
        <w:t xml:space="preserve">Table </w:t>
      </w:r>
      <w:r w:rsidR="00034224">
        <w:rPr>
          <w:noProof/>
        </w:rPr>
        <w:t>10</w:t>
      </w:r>
      <w:r>
        <w:rPr>
          <w:lang w:val="en-US"/>
        </w:rPr>
        <w:fldChar w:fldCharType="end"/>
      </w:r>
      <w:r>
        <w:rPr>
          <w:lang w:val="en-US"/>
        </w:rPr>
        <w:t xml:space="preserve"> – </w:t>
      </w:r>
      <w:r>
        <w:rPr>
          <w:lang w:val="en-US"/>
        </w:rPr>
        <w:fldChar w:fldCharType="begin"/>
      </w:r>
      <w:r>
        <w:rPr>
          <w:lang w:val="en-US"/>
        </w:rPr>
        <w:instrText xml:space="preserve"> REF _Ref110244974 \h  \* MERGEFORMAT </w:instrText>
      </w:r>
      <w:r>
        <w:rPr>
          <w:lang w:val="en-US"/>
        </w:rPr>
      </w:r>
      <w:r>
        <w:rPr>
          <w:lang w:val="en-US"/>
        </w:rPr>
        <w:fldChar w:fldCharType="separate"/>
      </w:r>
      <w:r w:rsidR="00034224">
        <w:t xml:space="preserve">Table </w:t>
      </w:r>
      <w:r w:rsidR="00034224">
        <w:rPr>
          <w:noProof/>
        </w:rPr>
        <w:t>11</w:t>
      </w:r>
      <w:r>
        <w:rPr>
          <w:lang w:val="en-US"/>
        </w:rPr>
        <w:fldChar w:fldCharType="end"/>
      </w:r>
      <w:r w:rsidR="00A8338E">
        <w:rPr>
          <w:lang w:val="en-US"/>
        </w:rPr>
        <w:t xml:space="preserve"> provide UE complexity reduction estimates using the cost break down in </w:t>
      </w:r>
      <w:r w:rsidR="00A8338E" w:rsidRPr="00A24D68">
        <w:rPr>
          <w:lang w:val="en-US"/>
        </w:rPr>
        <w:t>Table 6.1-1 in TR 38.875</w:t>
      </w:r>
      <w:r w:rsidR="00A8338E">
        <w:rPr>
          <w:lang w:val="en-US"/>
        </w:rPr>
        <w:t xml:space="preserve"> based on the reference Rel-15 NR UE. As agreed in RAN1#109-e for evaluation purposes, the Rel-17 RedCap reference UE the following </w:t>
      </w:r>
      <w:r w:rsidR="00A8338E" w:rsidRPr="00A24D68">
        <w:rPr>
          <w:lang w:val="en-US"/>
        </w:rPr>
        <w:t>complexity reduction features</w:t>
      </w:r>
      <w:r w:rsidR="00A8338E">
        <w:rPr>
          <w:lang w:val="en-US"/>
        </w:rPr>
        <w:t xml:space="preserve"> - </w:t>
      </w:r>
      <w:r w:rsidR="00A8338E" w:rsidRPr="00A24D68">
        <w:rPr>
          <w:lang w:val="en-US"/>
        </w:rPr>
        <w:t>20 MHz, 1 Rx, 1 layer, DL 64QAM, UL 64QAM, FDD or TDD.</w:t>
      </w:r>
    </w:p>
    <w:p w14:paraId="78C2A0D3" w14:textId="15C15018" w:rsidR="00A8338E" w:rsidRPr="00501105" w:rsidRDefault="00A8338E" w:rsidP="00A8338E">
      <w:pPr>
        <w:pStyle w:val="Caption"/>
        <w:keepNext/>
        <w:jc w:val="center"/>
        <w:rPr>
          <w:lang w:val="en-US"/>
        </w:rPr>
      </w:pPr>
      <w:bookmarkStart w:id="26" w:name="_Ref110244972"/>
      <w:r>
        <w:t xml:space="preserve">Table </w:t>
      </w:r>
      <w:r w:rsidR="00731A2A">
        <w:fldChar w:fldCharType="begin"/>
      </w:r>
      <w:r w:rsidR="00731A2A">
        <w:instrText xml:space="preserve"> SEQ Table \* ARABIC </w:instrText>
      </w:r>
      <w:r w:rsidR="00731A2A">
        <w:fldChar w:fldCharType="separate"/>
      </w:r>
      <w:r w:rsidR="00034224">
        <w:rPr>
          <w:noProof/>
        </w:rPr>
        <w:t>10</w:t>
      </w:r>
      <w:r w:rsidR="00731A2A">
        <w:rPr>
          <w:noProof/>
        </w:rPr>
        <w:fldChar w:fldCharType="end"/>
      </w:r>
      <w:bookmarkEnd w:id="26"/>
      <w:r>
        <w:rPr>
          <w:lang w:val="en-US"/>
        </w:rPr>
        <w:t>. UE complexity reduction estimates.</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A8338E" w:rsidRPr="0048784B" w14:paraId="020DB1D8" w14:textId="77777777" w:rsidTr="007867CB">
        <w:trPr>
          <w:trHeight w:val="319"/>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A0C5B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BCF1D67"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3A803A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6FA04A9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359B26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531D307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1D84CF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TDD 2Rx</w:t>
            </w:r>
          </w:p>
        </w:tc>
      </w:tr>
      <w:tr w:rsidR="00A8338E" w:rsidRPr="0048784B" w14:paraId="6146564C" w14:textId="77777777" w:rsidTr="007867CB">
        <w:trPr>
          <w:trHeight w:val="319"/>
          <w:jc w:val="center"/>
        </w:trPr>
        <w:tc>
          <w:tcPr>
            <w:tcW w:w="1361" w:type="dxa"/>
            <w:tcBorders>
              <w:top w:val="nil"/>
              <w:left w:val="single" w:sz="4" w:space="0" w:color="auto"/>
              <w:bottom w:val="single" w:sz="4" w:space="0" w:color="auto"/>
              <w:right w:val="single" w:sz="4" w:space="0" w:color="auto"/>
            </w:tcBorders>
            <w:shd w:val="clear" w:color="000000" w:fill="D9D9D9"/>
            <w:vAlign w:val="center"/>
            <w:hideMark/>
          </w:tcPr>
          <w:p w14:paraId="626C669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nil"/>
              <w:left w:val="nil"/>
              <w:bottom w:val="single" w:sz="4" w:space="0" w:color="auto"/>
              <w:right w:val="single" w:sz="4" w:space="0" w:color="auto"/>
            </w:tcBorders>
            <w:shd w:val="clear" w:color="000000" w:fill="D9D9D9"/>
            <w:vAlign w:val="center"/>
            <w:hideMark/>
          </w:tcPr>
          <w:p w14:paraId="73A86E6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46.82%</w:t>
            </w:r>
          </w:p>
        </w:tc>
        <w:tc>
          <w:tcPr>
            <w:tcW w:w="1361" w:type="dxa"/>
            <w:tcBorders>
              <w:top w:val="nil"/>
              <w:left w:val="nil"/>
              <w:bottom w:val="single" w:sz="4" w:space="0" w:color="auto"/>
              <w:right w:val="single" w:sz="4" w:space="0" w:color="auto"/>
            </w:tcBorders>
            <w:shd w:val="clear" w:color="000000" w:fill="D9D9D9"/>
            <w:vAlign w:val="center"/>
            <w:hideMark/>
          </w:tcPr>
          <w:p w14:paraId="1FA00AB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40.42%</w:t>
            </w:r>
          </w:p>
        </w:tc>
        <w:tc>
          <w:tcPr>
            <w:tcW w:w="1361" w:type="dxa"/>
            <w:tcBorders>
              <w:top w:val="nil"/>
              <w:left w:val="nil"/>
              <w:bottom w:val="single" w:sz="4" w:space="0" w:color="auto"/>
              <w:right w:val="single" w:sz="4" w:space="0" w:color="auto"/>
            </w:tcBorders>
            <w:shd w:val="clear" w:color="000000" w:fill="D9D9D9"/>
            <w:vAlign w:val="center"/>
            <w:hideMark/>
          </w:tcPr>
          <w:p w14:paraId="59C8937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30.02%</w:t>
            </w:r>
          </w:p>
        </w:tc>
        <w:tc>
          <w:tcPr>
            <w:tcW w:w="1361" w:type="dxa"/>
            <w:tcBorders>
              <w:top w:val="nil"/>
              <w:left w:val="nil"/>
              <w:bottom w:val="single" w:sz="4" w:space="0" w:color="auto"/>
              <w:right w:val="single" w:sz="4" w:space="0" w:color="auto"/>
            </w:tcBorders>
            <w:shd w:val="clear" w:color="000000" w:fill="D9D9D9"/>
            <w:vAlign w:val="center"/>
            <w:hideMark/>
          </w:tcPr>
          <w:p w14:paraId="7ECDBC1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70.08%</w:t>
            </w:r>
          </w:p>
        </w:tc>
        <w:tc>
          <w:tcPr>
            <w:tcW w:w="1361" w:type="dxa"/>
            <w:tcBorders>
              <w:top w:val="nil"/>
              <w:left w:val="nil"/>
              <w:bottom w:val="single" w:sz="4" w:space="0" w:color="auto"/>
              <w:right w:val="single" w:sz="4" w:space="0" w:color="auto"/>
            </w:tcBorders>
            <w:shd w:val="clear" w:color="000000" w:fill="D9D9D9"/>
            <w:vAlign w:val="center"/>
            <w:hideMark/>
          </w:tcPr>
          <w:p w14:paraId="35B53D8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63.68%</w:t>
            </w:r>
          </w:p>
        </w:tc>
        <w:tc>
          <w:tcPr>
            <w:tcW w:w="1361" w:type="dxa"/>
            <w:tcBorders>
              <w:top w:val="nil"/>
              <w:left w:val="nil"/>
              <w:bottom w:val="single" w:sz="4" w:space="0" w:color="auto"/>
              <w:right w:val="single" w:sz="4" w:space="0" w:color="auto"/>
            </w:tcBorders>
            <w:shd w:val="clear" w:color="000000" w:fill="D9D9D9"/>
            <w:vAlign w:val="center"/>
            <w:hideMark/>
          </w:tcPr>
          <w:p w14:paraId="0506646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43.50%</w:t>
            </w:r>
          </w:p>
        </w:tc>
      </w:tr>
      <w:tr w:rsidR="00A8338E" w:rsidRPr="0048784B" w14:paraId="3A6F4864" w14:textId="77777777" w:rsidTr="007867CB">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6269991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w:t>
            </w:r>
          </w:p>
        </w:tc>
        <w:tc>
          <w:tcPr>
            <w:tcW w:w="1361" w:type="dxa"/>
            <w:tcBorders>
              <w:top w:val="nil"/>
              <w:left w:val="nil"/>
              <w:bottom w:val="single" w:sz="4" w:space="0" w:color="auto"/>
              <w:right w:val="single" w:sz="4" w:space="0" w:color="auto"/>
            </w:tcBorders>
            <w:shd w:val="clear" w:color="auto" w:fill="FFF2CC"/>
            <w:vAlign w:val="center"/>
            <w:hideMark/>
          </w:tcPr>
          <w:p w14:paraId="0824093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38.15%</w:t>
            </w:r>
          </w:p>
        </w:tc>
        <w:tc>
          <w:tcPr>
            <w:tcW w:w="1361" w:type="dxa"/>
            <w:tcBorders>
              <w:top w:val="nil"/>
              <w:left w:val="nil"/>
              <w:bottom w:val="single" w:sz="4" w:space="0" w:color="auto"/>
              <w:right w:val="single" w:sz="4" w:space="0" w:color="auto"/>
            </w:tcBorders>
            <w:shd w:val="clear" w:color="auto" w:fill="FFF2CC"/>
            <w:vAlign w:val="center"/>
            <w:hideMark/>
          </w:tcPr>
          <w:p w14:paraId="69832DD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31.75%</w:t>
            </w:r>
          </w:p>
        </w:tc>
        <w:tc>
          <w:tcPr>
            <w:tcW w:w="1361" w:type="dxa"/>
            <w:tcBorders>
              <w:top w:val="nil"/>
              <w:left w:val="nil"/>
              <w:bottom w:val="single" w:sz="4" w:space="0" w:color="auto"/>
              <w:right w:val="single" w:sz="4" w:space="0" w:color="auto"/>
            </w:tcBorders>
            <w:shd w:val="clear" w:color="auto" w:fill="FFF2CC"/>
            <w:vAlign w:val="center"/>
            <w:hideMark/>
          </w:tcPr>
          <w:p w14:paraId="68838D2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24.40%</w:t>
            </w:r>
          </w:p>
        </w:tc>
        <w:tc>
          <w:tcPr>
            <w:tcW w:w="1361" w:type="dxa"/>
            <w:tcBorders>
              <w:top w:val="nil"/>
              <w:left w:val="nil"/>
              <w:bottom w:val="single" w:sz="4" w:space="0" w:color="auto"/>
              <w:right w:val="single" w:sz="4" w:space="0" w:color="auto"/>
            </w:tcBorders>
            <w:shd w:val="clear" w:color="auto" w:fill="FFF2CC"/>
            <w:vAlign w:val="center"/>
            <w:hideMark/>
          </w:tcPr>
          <w:p w14:paraId="19CA82B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56.00%</w:t>
            </w:r>
          </w:p>
        </w:tc>
        <w:tc>
          <w:tcPr>
            <w:tcW w:w="1361" w:type="dxa"/>
            <w:tcBorders>
              <w:top w:val="nil"/>
              <w:left w:val="nil"/>
              <w:bottom w:val="single" w:sz="4" w:space="0" w:color="auto"/>
              <w:right w:val="single" w:sz="4" w:space="0" w:color="auto"/>
            </w:tcBorders>
            <w:shd w:val="clear" w:color="auto" w:fill="FFF2CC"/>
            <w:vAlign w:val="center"/>
            <w:hideMark/>
          </w:tcPr>
          <w:p w14:paraId="0905316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49.60%</w:t>
            </w:r>
          </w:p>
        </w:tc>
        <w:tc>
          <w:tcPr>
            <w:tcW w:w="1361" w:type="dxa"/>
            <w:tcBorders>
              <w:top w:val="nil"/>
              <w:left w:val="nil"/>
              <w:bottom w:val="single" w:sz="4" w:space="0" w:color="auto"/>
              <w:right w:val="single" w:sz="4" w:space="0" w:color="auto"/>
            </w:tcBorders>
            <w:shd w:val="clear" w:color="auto" w:fill="FFF2CC"/>
            <w:vAlign w:val="center"/>
            <w:hideMark/>
          </w:tcPr>
          <w:p w14:paraId="2745C3A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34.91%</w:t>
            </w:r>
          </w:p>
        </w:tc>
      </w:tr>
      <w:tr w:rsidR="00A8338E" w:rsidRPr="0048784B" w14:paraId="592DA700" w14:textId="77777777" w:rsidTr="007867CB">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5A38E7B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BW2</w:t>
            </w:r>
          </w:p>
        </w:tc>
        <w:tc>
          <w:tcPr>
            <w:tcW w:w="1361" w:type="dxa"/>
            <w:tcBorders>
              <w:top w:val="nil"/>
              <w:left w:val="nil"/>
              <w:bottom w:val="single" w:sz="4" w:space="0" w:color="auto"/>
              <w:right w:val="single" w:sz="4" w:space="0" w:color="auto"/>
            </w:tcBorders>
            <w:shd w:val="clear" w:color="auto" w:fill="FFF2CC"/>
            <w:vAlign w:val="center"/>
            <w:hideMark/>
          </w:tcPr>
          <w:p w14:paraId="541D3017"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38.86%</w:t>
            </w:r>
          </w:p>
        </w:tc>
        <w:tc>
          <w:tcPr>
            <w:tcW w:w="1361" w:type="dxa"/>
            <w:tcBorders>
              <w:top w:val="nil"/>
              <w:left w:val="nil"/>
              <w:bottom w:val="single" w:sz="4" w:space="0" w:color="auto"/>
              <w:right w:val="single" w:sz="4" w:space="0" w:color="auto"/>
            </w:tcBorders>
            <w:shd w:val="clear" w:color="auto" w:fill="FFF2CC"/>
            <w:vAlign w:val="center"/>
            <w:hideMark/>
          </w:tcPr>
          <w:p w14:paraId="7ECAC46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32.46%</w:t>
            </w:r>
          </w:p>
        </w:tc>
        <w:tc>
          <w:tcPr>
            <w:tcW w:w="1361" w:type="dxa"/>
            <w:tcBorders>
              <w:top w:val="nil"/>
              <w:left w:val="nil"/>
              <w:bottom w:val="single" w:sz="4" w:space="0" w:color="auto"/>
              <w:right w:val="single" w:sz="4" w:space="0" w:color="auto"/>
            </w:tcBorders>
            <w:shd w:val="clear" w:color="auto" w:fill="FFF2CC"/>
            <w:vAlign w:val="center"/>
            <w:hideMark/>
          </w:tcPr>
          <w:p w14:paraId="43DECD9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24.75%</w:t>
            </w:r>
          </w:p>
        </w:tc>
        <w:tc>
          <w:tcPr>
            <w:tcW w:w="1361" w:type="dxa"/>
            <w:tcBorders>
              <w:top w:val="nil"/>
              <w:left w:val="nil"/>
              <w:bottom w:val="single" w:sz="4" w:space="0" w:color="auto"/>
              <w:right w:val="single" w:sz="4" w:space="0" w:color="auto"/>
            </w:tcBorders>
            <w:shd w:val="clear" w:color="auto" w:fill="FFF2CC"/>
            <w:vAlign w:val="center"/>
            <w:hideMark/>
          </w:tcPr>
          <w:p w14:paraId="5582BA1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57.12%</w:t>
            </w:r>
          </w:p>
        </w:tc>
        <w:tc>
          <w:tcPr>
            <w:tcW w:w="1361" w:type="dxa"/>
            <w:tcBorders>
              <w:top w:val="nil"/>
              <w:left w:val="nil"/>
              <w:bottom w:val="single" w:sz="4" w:space="0" w:color="auto"/>
              <w:right w:val="single" w:sz="4" w:space="0" w:color="auto"/>
            </w:tcBorders>
            <w:shd w:val="clear" w:color="auto" w:fill="FFF2CC"/>
            <w:vAlign w:val="center"/>
            <w:hideMark/>
          </w:tcPr>
          <w:p w14:paraId="132A6EE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50.72%</w:t>
            </w:r>
          </w:p>
        </w:tc>
        <w:tc>
          <w:tcPr>
            <w:tcW w:w="1361" w:type="dxa"/>
            <w:tcBorders>
              <w:top w:val="nil"/>
              <w:left w:val="nil"/>
              <w:bottom w:val="single" w:sz="4" w:space="0" w:color="auto"/>
              <w:right w:val="single" w:sz="4" w:space="0" w:color="auto"/>
            </w:tcBorders>
            <w:shd w:val="clear" w:color="auto" w:fill="FFF2CC"/>
            <w:vAlign w:val="center"/>
            <w:hideMark/>
          </w:tcPr>
          <w:p w14:paraId="5DEC9C1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35.48%</w:t>
            </w:r>
          </w:p>
        </w:tc>
      </w:tr>
      <w:tr w:rsidR="00A8338E" w:rsidRPr="0048784B" w14:paraId="52B94234" w14:textId="77777777" w:rsidTr="007867CB">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476C9A1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w:t>
            </w:r>
          </w:p>
        </w:tc>
        <w:tc>
          <w:tcPr>
            <w:tcW w:w="1361" w:type="dxa"/>
            <w:tcBorders>
              <w:top w:val="nil"/>
              <w:left w:val="nil"/>
              <w:bottom w:val="single" w:sz="4" w:space="0" w:color="auto"/>
              <w:right w:val="single" w:sz="4" w:space="0" w:color="auto"/>
            </w:tcBorders>
            <w:shd w:val="clear" w:color="auto" w:fill="FFF2CC"/>
            <w:vAlign w:val="center"/>
            <w:hideMark/>
          </w:tcPr>
          <w:p w14:paraId="2C61590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40.66%</w:t>
            </w:r>
          </w:p>
        </w:tc>
        <w:tc>
          <w:tcPr>
            <w:tcW w:w="1361" w:type="dxa"/>
            <w:tcBorders>
              <w:top w:val="nil"/>
              <w:left w:val="nil"/>
              <w:bottom w:val="single" w:sz="4" w:space="0" w:color="auto"/>
              <w:right w:val="single" w:sz="4" w:space="0" w:color="auto"/>
            </w:tcBorders>
            <w:shd w:val="clear" w:color="auto" w:fill="FFF2CC"/>
            <w:vAlign w:val="center"/>
            <w:hideMark/>
          </w:tcPr>
          <w:p w14:paraId="2DA20DA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34.26%</w:t>
            </w:r>
          </w:p>
        </w:tc>
        <w:tc>
          <w:tcPr>
            <w:tcW w:w="1361" w:type="dxa"/>
            <w:tcBorders>
              <w:top w:val="nil"/>
              <w:left w:val="nil"/>
              <w:bottom w:val="single" w:sz="4" w:space="0" w:color="auto"/>
              <w:right w:val="single" w:sz="4" w:space="0" w:color="auto"/>
            </w:tcBorders>
            <w:shd w:val="clear" w:color="auto" w:fill="FFF2CC"/>
            <w:vAlign w:val="center"/>
            <w:hideMark/>
          </w:tcPr>
          <w:p w14:paraId="3CF1C56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26.10%</w:t>
            </w:r>
          </w:p>
        </w:tc>
        <w:tc>
          <w:tcPr>
            <w:tcW w:w="1361" w:type="dxa"/>
            <w:tcBorders>
              <w:top w:val="nil"/>
              <w:left w:val="nil"/>
              <w:bottom w:val="single" w:sz="4" w:space="0" w:color="auto"/>
              <w:right w:val="single" w:sz="4" w:space="0" w:color="auto"/>
            </w:tcBorders>
            <w:shd w:val="clear" w:color="auto" w:fill="FFF2CC"/>
            <w:vAlign w:val="center"/>
            <w:hideMark/>
          </w:tcPr>
          <w:p w14:paraId="222E300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59.22%</w:t>
            </w:r>
          </w:p>
        </w:tc>
        <w:tc>
          <w:tcPr>
            <w:tcW w:w="1361" w:type="dxa"/>
            <w:tcBorders>
              <w:top w:val="nil"/>
              <w:left w:val="nil"/>
              <w:bottom w:val="single" w:sz="4" w:space="0" w:color="auto"/>
              <w:right w:val="single" w:sz="4" w:space="0" w:color="auto"/>
            </w:tcBorders>
            <w:shd w:val="clear" w:color="auto" w:fill="FFF2CC"/>
            <w:vAlign w:val="center"/>
            <w:hideMark/>
          </w:tcPr>
          <w:p w14:paraId="60F50D7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52.82%</w:t>
            </w:r>
          </w:p>
        </w:tc>
        <w:tc>
          <w:tcPr>
            <w:tcW w:w="1361" w:type="dxa"/>
            <w:tcBorders>
              <w:top w:val="nil"/>
              <w:left w:val="nil"/>
              <w:bottom w:val="single" w:sz="4" w:space="0" w:color="auto"/>
              <w:right w:val="single" w:sz="4" w:space="0" w:color="auto"/>
            </w:tcBorders>
            <w:shd w:val="clear" w:color="auto" w:fill="FFF2CC"/>
            <w:vAlign w:val="center"/>
            <w:hideMark/>
          </w:tcPr>
          <w:p w14:paraId="3412DD1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36.98%</w:t>
            </w:r>
          </w:p>
        </w:tc>
      </w:tr>
      <w:tr w:rsidR="00A8338E" w:rsidRPr="0048784B" w14:paraId="62EA4B6C"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282DA63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w:t>
            </w:r>
          </w:p>
        </w:tc>
        <w:tc>
          <w:tcPr>
            <w:tcW w:w="1361" w:type="dxa"/>
            <w:tcBorders>
              <w:top w:val="nil"/>
              <w:left w:val="nil"/>
              <w:bottom w:val="single" w:sz="4" w:space="0" w:color="auto"/>
              <w:right w:val="single" w:sz="4" w:space="0" w:color="auto"/>
            </w:tcBorders>
            <w:shd w:val="clear" w:color="auto" w:fill="DEEAF6"/>
            <w:vAlign w:val="center"/>
            <w:hideMark/>
          </w:tcPr>
          <w:p w14:paraId="7A4EB0A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43.35%</w:t>
            </w:r>
          </w:p>
        </w:tc>
        <w:tc>
          <w:tcPr>
            <w:tcW w:w="1361" w:type="dxa"/>
            <w:tcBorders>
              <w:top w:val="nil"/>
              <w:left w:val="nil"/>
              <w:bottom w:val="single" w:sz="4" w:space="0" w:color="auto"/>
              <w:right w:val="single" w:sz="4" w:space="0" w:color="auto"/>
            </w:tcBorders>
            <w:shd w:val="clear" w:color="auto" w:fill="DEEAF6"/>
            <w:vAlign w:val="center"/>
            <w:hideMark/>
          </w:tcPr>
          <w:p w14:paraId="37DC99C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36.95%</w:t>
            </w:r>
          </w:p>
        </w:tc>
        <w:tc>
          <w:tcPr>
            <w:tcW w:w="1361" w:type="dxa"/>
            <w:tcBorders>
              <w:top w:val="nil"/>
              <w:left w:val="nil"/>
              <w:bottom w:val="single" w:sz="4" w:space="0" w:color="auto"/>
              <w:right w:val="single" w:sz="4" w:space="0" w:color="auto"/>
            </w:tcBorders>
            <w:shd w:val="clear" w:color="auto" w:fill="DEEAF6"/>
            <w:vAlign w:val="center"/>
            <w:hideMark/>
          </w:tcPr>
          <w:p w14:paraId="2503C19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27.64%</w:t>
            </w:r>
          </w:p>
        </w:tc>
        <w:tc>
          <w:tcPr>
            <w:tcW w:w="1361" w:type="dxa"/>
            <w:tcBorders>
              <w:top w:val="nil"/>
              <w:left w:val="nil"/>
              <w:bottom w:val="single" w:sz="4" w:space="0" w:color="auto"/>
              <w:right w:val="single" w:sz="4" w:space="0" w:color="auto"/>
            </w:tcBorders>
            <w:shd w:val="clear" w:color="auto" w:fill="DEEAF6"/>
            <w:vAlign w:val="center"/>
            <w:hideMark/>
          </w:tcPr>
          <w:p w14:paraId="1C27232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64.90%</w:t>
            </w:r>
          </w:p>
        </w:tc>
        <w:tc>
          <w:tcPr>
            <w:tcW w:w="1361" w:type="dxa"/>
            <w:tcBorders>
              <w:top w:val="nil"/>
              <w:left w:val="nil"/>
              <w:bottom w:val="single" w:sz="4" w:space="0" w:color="auto"/>
              <w:right w:val="single" w:sz="4" w:space="0" w:color="auto"/>
            </w:tcBorders>
            <w:shd w:val="clear" w:color="auto" w:fill="DEEAF6"/>
            <w:vAlign w:val="center"/>
            <w:hideMark/>
          </w:tcPr>
          <w:p w14:paraId="247BC8A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58.50%</w:t>
            </w:r>
          </w:p>
        </w:tc>
        <w:tc>
          <w:tcPr>
            <w:tcW w:w="1361" w:type="dxa"/>
            <w:tcBorders>
              <w:top w:val="nil"/>
              <w:left w:val="nil"/>
              <w:bottom w:val="single" w:sz="4" w:space="0" w:color="auto"/>
              <w:right w:val="single" w:sz="4" w:space="0" w:color="auto"/>
            </w:tcBorders>
            <w:shd w:val="clear" w:color="auto" w:fill="DEEAF6"/>
            <w:vAlign w:val="center"/>
            <w:hideMark/>
          </w:tcPr>
          <w:p w14:paraId="3BCDD82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40.33%</w:t>
            </w:r>
          </w:p>
        </w:tc>
      </w:tr>
      <w:tr w:rsidR="00A8338E" w:rsidRPr="0048784B" w14:paraId="014B39AB"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515C66B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PR2</w:t>
            </w:r>
          </w:p>
        </w:tc>
        <w:tc>
          <w:tcPr>
            <w:tcW w:w="1361" w:type="dxa"/>
            <w:tcBorders>
              <w:top w:val="nil"/>
              <w:left w:val="nil"/>
              <w:bottom w:val="single" w:sz="4" w:space="0" w:color="auto"/>
              <w:right w:val="single" w:sz="4" w:space="0" w:color="auto"/>
            </w:tcBorders>
            <w:shd w:val="clear" w:color="auto" w:fill="DEEAF6"/>
            <w:vAlign w:val="center"/>
            <w:hideMark/>
          </w:tcPr>
          <w:p w14:paraId="60DD7DA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43.35%</w:t>
            </w:r>
          </w:p>
        </w:tc>
        <w:tc>
          <w:tcPr>
            <w:tcW w:w="1361" w:type="dxa"/>
            <w:tcBorders>
              <w:top w:val="nil"/>
              <w:left w:val="nil"/>
              <w:bottom w:val="single" w:sz="4" w:space="0" w:color="auto"/>
              <w:right w:val="single" w:sz="4" w:space="0" w:color="auto"/>
            </w:tcBorders>
            <w:shd w:val="clear" w:color="auto" w:fill="DEEAF6"/>
            <w:vAlign w:val="center"/>
            <w:hideMark/>
          </w:tcPr>
          <w:p w14:paraId="2C2B581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36.95%</w:t>
            </w:r>
          </w:p>
        </w:tc>
        <w:tc>
          <w:tcPr>
            <w:tcW w:w="1361" w:type="dxa"/>
            <w:tcBorders>
              <w:top w:val="nil"/>
              <w:left w:val="nil"/>
              <w:bottom w:val="single" w:sz="4" w:space="0" w:color="auto"/>
              <w:right w:val="single" w:sz="4" w:space="0" w:color="auto"/>
            </w:tcBorders>
            <w:shd w:val="clear" w:color="auto" w:fill="DEEAF6"/>
            <w:vAlign w:val="center"/>
            <w:hideMark/>
          </w:tcPr>
          <w:p w14:paraId="15DE9EE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27.64%</w:t>
            </w:r>
          </w:p>
        </w:tc>
        <w:tc>
          <w:tcPr>
            <w:tcW w:w="1361" w:type="dxa"/>
            <w:tcBorders>
              <w:top w:val="nil"/>
              <w:left w:val="nil"/>
              <w:bottom w:val="single" w:sz="4" w:space="0" w:color="auto"/>
              <w:right w:val="single" w:sz="4" w:space="0" w:color="auto"/>
            </w:tcBorders>
            <w:shd w:val="clear" w:color="auto" w:fill="DEEAF6"/>
            <w:vAlign w:val="center"/>
            <w:hideMark/>
          </w:tcPr>
          <w:p w14:paraId="1882E12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64.90%</w:t>
            </w:r>
          </w:p>
        </w:tc>
        <w:tc>
          <w:tcPr>
            <w:tcW w:w="1361" w:type="dxa"/>
            <w:tcBorders>
              <w:top w:val="nil"/>
              <w:left w:val="nil"/>
              <w:bottom w:val="single" w:sz="4" w:space="0" w:color="auto"/>
              <w:right w:val="single" w:sz="4" w:space="0" w:color="auto"/>
            </w:tcBorders>
            <w:shd w:val="clear" w:color="auto" w:fill="DEEAF6"/>
            <w:vAlign w:val="center"/>
            <w:hideMark/>
          </w:tcPr>
          <w:p w14:paraId="7003875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58.50%</w:t>
            </w:r>
          </w:p>
        </w:tc>
        <w:tc>
          <w:tcPr>
            <w:tcW w:w="1361" w:type="dxa"/>
            <w:tcBorders>
              <w:top w:val="nil"/>
              <w:left w:val="nil"/>
              <w:bottom w:val="single" w:sz="4" w:space="0" w:color="auto"/>
              <w:right w:val="single" w:sz="4" w:space="0" w:color="auto"/>
            </w:tcBorders>
            <w:shd w:val="clear" w:color="auto" w:fill="DEEAF6"/>
            <w:vAlign w:val="center"/>
            <w:hideMark/>
          </w:tcPr>
          <w:p w14:paraId="526B814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40.33%</w:t>
            </w:r>
          </w:p>
        </w:tc>
      </w:tr>
      <w:tr w:rsidR="00A8338E" w:rsidRPr="0048784B" w14:paraId="46F2E3D7"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3DF0036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w:t>
            </w:r>
          </w:p>
        </w:tc>
        <w:tc>
          <w:tcPr>
            <w:tcW w:w="1361" w:type="dxa"/>
            <w:tcBorders>
              <w:top w:val="nil"/>
              <w:left w:val="nil"/>
              <w:bottom w:val="single" w:sz="4" w:space="0" w:color="auto"/>
              <w:right w:val="single" w:sz="4" w:space="0" w:color="auto"/>
            </w:tcBorders>
            <w:shd w:val="clear" w:color="auto" w:fill="DEEAF6"/>
            <w:vAlign w:val="center"/>
            <w:hideMark/>
          </w:tcPr>
          <w:p w14:paraId="3BC0502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40.98%</w:t>
            </w:r>
          </w:p>
        </w:tc>
        <w:tc>
          <w:tcPr>
            <w:tcW w:w="1361" w:type="dxa"/>
            <w:tcBorders>
              <w:top w:val="nil"/>
              <w:left w:val="nil"/>
              <w:bottom w:val="single" w:sz="4" w:space="0" w:color="auto"/>
              <w:right w:val="single" w:sz="4" w:space="0" w:color="auto"/>
            </w:tcBorders>
            <w:shd w:val="clear" w:color="auto" w:fill="DEEAF6"/>
            <w:vAlign w:val="center"/>
            <w:hideMark/>
          </w:tcPr>
          <w:p w14:paraId="5BD0C30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34.58%</w:t>
            </w:r>
          </w:p>
        </w:tc>
        <w:tc>
          <w:tcPr>
            <w:tcW w:w="1361" w:type="dxa"/>
            <w:tcBorders>
              <w:top w:val="nil"/>
              <w:left w:val="nil"/>
              <w:bottom w:val="single" w:sz="4" w:space="0" w:color="auto"/>
              <w:right w:val="single" w:sz="4" w:space="0" w:color="auto"/>
            </w:tcBorders>
            <w:shd w:val="clear" w:color="auto" w:fill="DEEAF6"/>
            <w:vAlign w:val="center"/>
            <w:hideMark/>
          </w:tcPr>
          <w:p w14:paraId="72D61CC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26.26%</w:t>
            </w:r>
          </w:p>
        </w:tc>
        <w:tc>
          <w:tcPr>
            <w:tcW w:w="1361" w:type="dxa"/>
            <w:tcBorders>
              <w:top w:val="nil"/>
              <w:left w:val="nil"/>
              <w:bottom w:val="single" w:sz="4" w:space="0" w:color="auto"/>
              <w:right w:val="single" w:sz="4" w:space="0" w:color="auto"/>
            </w:tcBorders>
            <w:shd w:val="clear" w:color="auto" w:fill="DEEAF6"/>
            <w:vAlign w:val="center"/>
            <w:hideMark/>
          </w:tcPr>
          <w:p w14:paraId="1B1C1F6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59.88%</w:t>
            </w:r>
          </w:p>
        </w:tc>
        <w:tc>
          <w:tcPr>
            <w:tcW w:w="1361" w:type="dxa"/>
            <w:tcBorders>
              <w:top w:val="nil"/>
              <w:left w:val="nil"/>
              <w:bottom w:val="single" w:sz="4" w:space="0" w:color="auto"/>
              <w:right w:val="single" w:sz="4" w:space="0" w:color="auto"/>
            </w:tcBorders>
            <w:shd w:val="clear" w:color="auto" w:fill="DEEAF6"/>
            <w:vAlign w:val="center"/>
            <w:hideMark/>
          </w:tcPr>
          <w:p w14:paraId="20EE2D3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53.48%</w:t>
            </w:r>
          </w:p>
        </w:tc>
        <w:tc>
          <w:tcPr>
            <w:tcW w:w="1361" w:type="dxa"/>
            <w:tcBorders>
              <w:top w:val="nil"/>
              <w:left w:val="nil"/>
              <w:bottom w:val="single" w:sz="4" w:space="0" w:color="auto"/>
              <w:right w:val="single" w:sz="4" w:space="0" w:color="auto"/>
            </w:tcBorders>
            <w:shd w:val="clear" w:color="auto" w:fill="DEEAF6"/>
            <w:vAlign w:val="center"/>
            <w:hideMark/>
          </w:tcPr>
          <w:p w14:paraId="6C48FBD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37.31%</w:t>
            </w:r>
          </w:p>
        </w:tc>
      </w:tr>
      <w:tr w:rsidR="00A8338E" w:rsidRPr="0048784B" w14:paraId="054AF607"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6F1B7C8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 + PT1</w:t>
            </w:r>
          </w:p>
        </w:tc>
        <w:tc>
          <w:tcPr>
            <w:tcW w:w="1361" w:type="dxa"/>
            <w:tcBorders>
              <w:top w:val="nil"/>
              <w:left w:val="nil"/>
              <w:bottom w:val="single" w:sz="4" w:space="0" w:color="auto"/>
              <w:right w:val="single" w:sz="4" w:space="0" w:color="auto"/>
            </w:tcBorders>
            <w:shd w:val="clear" w:color="auto" w:fill="FFF2CC"/>
            <w:vAlign w:val="center"/>
            <w:hideMark/>
          </w:tcPr>
          <w:p w14:paraId="0C84530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37.82%</w:t>
            </w:r>
          </w:p>
        </w:tc>
        <w:tc>
          <w:tcPr>
            <w:tcW w:w="1361" w:type="dxa"/>
            <w:tcBorders>
              <w:top w:val="nil"/>
              <w:left w:val="nil"/>
              <w:bottom w:val="single" w:sz="4" w:space="0" w:color="auto"/>
              <w:right w:val="single" w:sz="4" w:space="0" w:color="auto"/>
            </w:tcBorders>
            <w:shd w:val="clear" w:color="auto" w:fill="FFF2CC"/>
            <w:vAlign w:val="center"/>
            <w:hideMark/>
          </w:tcPr>
          <w:p w14:paraId="4B73130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31.42%</w:t>
            </w:r>
          </w:p>
        </w:tc>
        <w:tc>
          <w:tcPr>
            <w:tcW w:w="1361" w:type="dxa"/>
            <w:tcBorders>
              <w:top w:val="nil"/>
              <w:left w:val="nil"/>
              <w:bottom w:val="single" w:sz="4" w:space="0" w:color="auto"/>
              <w:right w:val="single" w:sz="4" w:space="0" w:color="auto"/>
            </w:tcBorders>
            <w:shd w:val="clear" w:color="auto" w:fill="FFF2CC"/>
            <w:vAlign w:val="center"/>
            <w:hideMark/>
          </w:tcPr>
          <w:p w14:paraId="18ADF6A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24.17%</w:t>
            </w:r>
          </w:p>
        </w:tc>
        <w:tc>
          <w:tcPr>
            <w:tcW w:w="1361" w:type="dxa"/>
            <w:tcBorders>
              <w:top w:val="nil"/>
              <w:left w:val="nil"/>
              <w:bottom w:val="single" w:sz="4" w:space="0" w:color="auto"/>
              <w:right w:val="single" w:sz="4" w:space="0" w:color="auto"/>
            </w:tcBorders>
            <w:shd w:val="clear" w:color="auto" w:fill="FFF2CC"/>
            <w:vAlign w:val="center"/>
            <w:hideMark/>
          </w:tcPr>
          <w:p w14:paraId="64DCD30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55.49%</w:t>
            </w:r>
          </w:p>
        </w:tc>
        <w:tc>
          <w:tcPr>
            <w:tcW w:w="1361" w:type="dxa"/>
            <w:tcBorders>
              <w:top w:val="nil"/>
              <w:left w:val="nil"/>
              <w:bottom w:val="single" w:sz="4" w:space="0" w:color="auto"/>
              <w:right w:val="single" w:sz="4" w:space="0" w:color="auto"/>
            </w:tcBorders>
            <w:shd w:val="clear" w:color="auto" w:fill="FFF2CC"/>
            <w:vAlign w:val="center"/>
            <w:hideMark/>
          </w:tcPr>
          <w:p w14:paraId="0698129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49.09%</w:t>
            </w:r>
          </w:p>
        </w:tc>
        <w:tc>
          <w:tcPr>
            <w:tcW w:w="1361" w:type="dxa"/>
            <w:tcBorders>
              <w:top w:val="nil"/>
              <w:left w:val="nil"/>
              <w:bottom w:val="single" w:sz="4" w:space="0" w:color="auto"/>
              <w:right w:val="single" w:sz="4" w:space="0" w:color="auto"/>
            </w:tcBorders>
            <w:shd w:val="clear" w:color="auto" w:fill="FFF2CC"/>
            <w:vAlign w:val="center"/>
            <w:hideMark/>
          </w:tcPr>
          <w:p w14:paraId="130D6E3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34.60%</w:t>
            </w:r>
          </w:p>
        </w:tc>
      </w:tr>
      <w:tr w:rsidR="00A8338E" w:rsidRPr="0048784B" w14:paraId="61C2B431"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27CD122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 + PT1 + PT2</w:t>
            </w:r>
          </w:p>
        </w:tc>
        <w:tc>
          <w:tcPr>
            <w:tcW w:w="1361" w:type="dxa"/>
            <w:tcBorders>
              <w:top w:val="nil"/>
              <w:left w:val="nil"/>
              <w:bottom w:val="single" w:sz="4" w:space="0" w:color="auto"/>
              <w:right w:val="single" w:sz="4" w:space="0" w:color="auto"/>
            </w:tcBorders>
            <w:shd w:val="clear" w:color="auto" w:fill="FFF2CC"/>
            <w:vAlign w:val="center"/>
            <w:hideMark/>
          </w:tcPr>
          <w:p w14:paraId="013F4BE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37.40%</w:t>
            </w:r>
          </w:p>
        </w:tc>
        <w:tc>
          <w:tcPr>
            <w:tcW w:w="1361" w:type="dxa"/>
            <w:tcBorders>
              <w:top w:val="nil"/>
              <w:left w:val="nil"/>
              <w:bottom w:val="single" w:sz="4" w:space="0" w:color="auto"/>
              <w:right w:val="single" w:sz="4" w:space="0" w:color="auto"/>
            </w:tcBorders>
            <w:shd w:val="clear" w:color="auto" w:fill="FFF2CC"/>
            <w:vAlign w:val="center"/>
            <w:hideMark/>
          </w:tcPr>
          <w:p w14:paraId="7450751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31.00%</w:t>
            </w:r>
          </w:p>
        </w:tc>
        <w:tc>
          <w:tcPr>
            <w:tcW w:w="1361" w:type="dxa"/>
            <w:tcBorders>
              <w:top w:val="nil"/>
              <w:left w:val="nil"/>
              <w:bottom w:val="single" w:sz="4" w:space="0" w:color="auto"/>
              <w:right w:val="single" w:sz="4" w:space="0" w:color="auto"/>
            </w:tcBorders>
            <w:shd w:val="clear" w:color="auto" w:fill="FFF2CC"/>
            <w:vAlign w:val="center"/>
            <w:hideMark/>
          </w:tcPr>
          <w:p w14:paraId="4DA839A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23.93%</w:t>
            </w:r>
          </w:p>
        </w:tc>
        <w:tc>
          <w:tcPr>
            <w:tcW w:w="1361" w:type="dxa"/>
            <w:tcBorders>
              <w:top w:val="nil"/>
              <w:left w:val="nil"/>
              <w:bottom w:val="single" w:sz="4" w:space="0" w:color="auto"/>
              <w:right w:val="single" w:sz="4" w:space="0" w:color="auto"/>
            </w:tcBorders>
            <w:shd w:val="clear" w:color="auto" w:fill="FFF2CC"/>
            <w:vAlign w:val="center"/>
            <w:hideMark/>
          </w:tcPr>
          <w:p w14:paraId="49B8F30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54.73%</w:t>
            </w:r>
          </w:p>
        </w:tc>
        <w:tc>
          <w:tcPr>
            <w:tcW w:w="1361" w:type="dxa"/>
            <w:tcBorders>
              <w:top w:val="nil"/>
              <w:left w:val="nil"/>
              <w:bottom w:val="single" w:sz="4" w:space="0" w:color="auto"/>
              <w:right w:val="single" w:sz="4" w:space="0" w:color="auto"/>
            </w:tcBorders>
            <w:shd w:val="clear" w:color="auto" w:fill="FFF2CC"/>
            <w:vAlign w:val="center"/>
            <w:hideMark/>
          </w:tcPr>
          <w:p w14:paraId="574FCC8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48.33%</w:t>
            </w:r>
          </w:p>
        </w:tc>
        <w:tc>
          <w:tcPr>
            <w:tcW w:w="1361" w:type="dxa"/>
            <w:tcBorders>
              <w:top w:val="nil"/>
              <w:left w:val="nil"/>
              <w:bottom w:val="single" w:sz="4" w:space="0" w:color="auto"/>
              <w:right w:val="single" w:sz="4" w:space="0" w:color="auto"/>
            </w:tcBorders>
            <w:shd w:val="clear" w:color="auto" w:fill="FFF2CC"/>
            <w:vAlign w:val="center"/>
            <w:hideMark/>
          </w:tcPr>
          <w:p w14:paraId="2B65217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34.18%</w:t>
            </w:r>
          </w:p>
        </w:tc>
      </w:tr>
      <w:tr w:rsidR="00A8338E" w:rsidRPr="0048784B" w14:paraId="49716117"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05879857"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BW2 + PT1 + PT2</w:t>
            </w:r>
          </w:p>
        </w:tc>
        <w:tc>
          <w:tcPr>
            <w:tcW w:w="1361" w:type="dxa"/>
            <w:tcBorders>
              <w:top w:val="nil"/>
              <w:left w:val="nil"/>
              <w:bottom w:val="single" w:sz="4" w:space="0" w:color="auto"/>
              <w:right w:val="single" w:sz="4" w:space="0" w:color="auto"/>
            </w:tcBorders>
            <w:shd w:val="clear" w:color="auto" w:fill="FFF2CC"/>
            <w:vAlign w:val="center"/>
            <w:hideMark/>
          </w:tcPr>
          <w:p w14:paraId="3DEC019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38.12%</w:t>
            </w:r>
          </w:p>
        </w:tc>
        <w:tc>
          <w:tcPr>
            <w:tcW w:w="1361" w:type="dxa"/>
            <w:tcBorders>
              <w:top w:val="nil"/>
              <w:left w:val="nil"/>
              <w:bottom w:val="single" w:sz="4" w:space="0" w:color="auto"/>
              <w:right w:val="single" w:sz="4" w:space="0" w:color="auto"/>
            </w:tcBorders>
            <w:shd w:val="clear" w:color="auto" w:fill="FFF2CC"/>
            <w:vAlign w:val="center"/>
            <w:hideMark/>
          </w:tcPr>
          <w:p w14:paraId="220602B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31.72%</w:t>
            </w:r>
          </w:p>
        </w:tc>
        <w:tc>
          <w:tcPr>
            <w:tcW w:w="1361" w:type="dxa"/>
            <w:tcBorders>
              <w:top w:val="nil"/>
              <w:left w:val="nil"/>
              <w:bottom w:val="single" w:sz="4" w:space="0" w:color="auto"/>
              <w:right w:val="single" w:sz="4" w:space="0" w:color="auto"/>
            </w:tcBorders>
            <w:shd w:val="clear" w:color="auto" w:fill="FFF2CC"/>
            <w:vAlign w:val="center"/>
            <w:hideMark/>
          </w:tcPr>
          <w:p w14:paraId="5BA28F1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24.28%</w:t>
            </w:r>
          </w:p>
        </w:tc>
        <w:tc>
          <w:tcPr>
            <w:tcW w:w="1361" w:type="dxa"/>
            <w:tcBorders>
              <w:top w:val="nil"/>
              <w:left w:val="nil"/>
              <w:bottom w:val="single" w:sz="4" w:space="0" w:color="auto"/>
              <w:right w:val="single" w:sz="4" w:space="0" w:color="auto"/>
            </w:tcBorders>
            <w:shd w:val="clear" w:color="auto" w:fill="FFF2CC"/>
            <w:vAlign w:val="center"/>
            <w:hideMark/>
          </w:tcPr>
          <w:p w14:paraId="0658BEE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55.85%</w:t>
            </w:r>
          </w:p>
        </w:tc>
        <w:tc>
          <w:tcPr>
            <w:tcW w:w="1361" w:type="dxa"/>
            <w:tcBorders>
              <w:top w:val="nil"/>
              <w:left w:val="nil"/>
              <w:bottom w:val="single" w:sz="4" w:space="0" w:color="auto"/>
              <w:right w:val="single" w:sz="4" w:space="0" w:color="auto"/>
            </w:tcBorders>
            <w:shd w:val="clear" w:color="auto" w:fill="FFF2CC"/>
            <w:vAlign w:val="center"/>
            <w:hideMark/>
          </w:tcPr>
          <w:p w14:paraId="159F567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49.45%</w:t>
            </w:r>
          </w:p>
        </w:tc>
        <w:tc>
          <w:tcPr>
            <w:tcW w:w="1361" w:type="dxa"/>
            <w:tcBorders>
              <w:top w:val="nil"/>
              <w:left w:val="nil"/>
              <w:bottom w:val="single" w:sz="4" w:space="0" w:color="auto"/>
              <w:right w:val="single" w:sz="4" w:space="0" w:color="auto"/>
            </w:tcBorders>
            <w:shd w:val="clear" w:color="auto" w:fill="FFF2CC"/>
            <w:vAlign w:val="center"/>
            <w:hideMark/>
          </w:tcPr>
          <w:p w14:paraId="1CC4EAD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34.75%</w:t>
            </w:r>
          </w:p>
        </w:tc>
      </w:tr>
      <w:tr w:rsidR="00A8338E" w:rsidRPr="0048784B" w14:paraId="728CD033"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1DA6914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 + PT1</w:t>
            </w:r>
          </w:p>
        </w:tc>
        <w:tc>
          <w:tcPr>
            <w:tcW w:w="1361" w:type="dxa"/>
            <w:tcBorders>
              <w:top w:val="nil"/>
              <w:left w:val="nil"/>
              <w:bottom w:val="single" w:sz="4" w:space="0" w:color="auto"/>
              <w:right w:val="single" w:sz="4" w:space="0" w:color="auto"/>
            </w:tcBorders>
            <w:shd w:val="clear" w:color="auto" w:fill="FFF2CC"/>
            <w:vAlign w:val="center"/>
            <w:hideMark/>
          </w:tcPr>
          <w:p w14:paraId="1A2086D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40.33%</w:t>
            </w:r>
          </w:p>
        </w:tc>
        <w:tc>
          <w:tcPr>
            <w:tcW w:w="1361" w:type="dxa"/>
            <w:tcBorders>
              <w:top w:val="nil"/>
              <w:left w:val="nil"/>
              <w:bottom w:val="single" w:sz="4" w:space="0" w:color="auto"/>
              <w:right w:val="single" w:sz="4" w:space="0" w:color="auto"/>
            </w:tcBorders>
            <w:shd w:val="clear" w:color="auto" w:fill="FFF2CC"/>
            <w:vAlign w:val="center"/>
            <w:hideMark/>
          </w:tcPr>
          <w:p w14:paraId="6CE2DB5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33.93%</w:t>
            </w:r>
          </w:p>
        </w:tc>
        <w:tc>
          <w:tcPr>
            <w:tcW w:w="1361" w:type="dxa"/>
            <w:tcBorders>
              <w:top w:val="nil"/>
              <w:left w:val="nil"/>
              <w:bottom w:val="single" w:sz="4" w:space="0" w:color="auto"/>
              <w:right w:val="single" w:sz="4" w:space="0" w:color="auto"/>
            </w:tcBorders>
            <w:shd w:val="clear" w:color="auto" w:fill="FFF2CC"/>
            <w:vAlign w:val="center"/>
            <w:hideMark/>
          </w:tcPr>
          <w:p w14:paraId="5604CF7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25.87%</w:t>
            </w:r>
          </w:p>
        </w:tc>
        <w:tc>
          <w:tcPr>
            <w:tcW w:w="1361" w:type="dxa"/>
            <w:tcBorders>
              <w:top w:val="nil"/>
              <w:left w:val="nil"/>
              <w:bottom w:val="single" w:sz="4" w:space="0" w:color="auto"/>
              <w:right w:val="single" w:sz="4" w:space="0" w:color="auto"/>
            </w:tcBorders>
            <w:shd w:val="clear" w:color="auto" w:fill="FFF2CC"/>
            <w:vAlign w:val="center"/>
            <w:hideMark/>
          </w:tcPr>
          <w:p w14:paraId="11984A5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58.71%</w:t>
            </w:r>
          </w:p>
        </w:tc>
        <w:tc>
          <w:tcPr>
            <w:tcW w:w="1361" w:type="dxa"/>
            <w:tcBorders>
              <w:top w:val="nil"/>
              <w:left w:val="nil"/>
              <w:bottom w:val="single" w:sz="4" w:space="0" w:color="auto"/>
              <w:right w:val="single" w:sz="4" w:space="0" w:color="auto"/>
            </w:tcBorders>
            <w:shd w:val="clear" w:color="auto" w:fill="FFF2CC"/>
            <w:vAlign w:val="center"/>
            <w:hideMark/>
          </w:tcPr>
          <w:p w14:paraId="1A69EA3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52.31%</w:t>
            </w:r>
          </w:p>
        </w:tc>
        <w:tc>
          <w:tcPr>
            <w:tcW w:w="1361" w:type="dxa"/>
            <w:tcBorders>
              <w:top w:val="nil"/>
              <w:left w:val="nil"/>
              <w:bottom w:val="single" w:sz="4" w:space="0" w:color="auto"/>
              <w:right w:val="single" w:sz="4" w:space="0" w:color="auto"/>
            </w:tcBorders>
            <w:shd w:val="clear" w:color="auto" w:fill="FFF2CC"/>
            <w:vAlign w:val="center"/>
            <w:hideMark/>
          </w:tcPr>
          <w:p w14:paraId="6C4A1EC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36.67%</w:t>
            </w:r>
          </w:p>
        </w:tc>
      </w:tr>
      <w:tr w:rsidR="00A8338E" w:rsidRPr="0048784B" w14:paraId="1E739FBF"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FFF2CC"/>
            <w:vAlign w:val="center"/>
            <w:hideMark/>
          </w:tcPr>
          <w:p w14:paraId="1F1C2F0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 + PT1 + PT2</w:t>
            </w:r>
          </w:p>
        </w:tc>
        <w:tc>
          <w:tcPr>
            <w:tcW w:w="1361" w:type="dxa"/>
            <w:tcBorders>
              <w:top w:val="nil"/>
              <w:left w:val="nil"/>
              <w:bottom w:val="single" w:sz="4" w:space="0" w:color="auto"/>
              <w:right w:val="single" w:sz="4" w:space="0" w:color="auto"/>
            </w:tcBorders>
            <w:shd w:val="clear" w:color="auto" w:fill="FFF2CC"/>
            <w:vAlign w:val="center"/>
            <w:hideMark/>
          </w:tcPr>
          <w:p w14:paraId="1745458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39.86%</w:t>
            </w:r>
          </w:p>
        </w:tc>
        <w:tc>
          <w:tcPr>
            <w:tcW w:w="1361" w:type="dxa"/>
            <w:tcBorders>
              <w:top w:val="nil"/>
              <w:left w:val="nil"/>
              <w:bottom w:val="single" w:sz="4" w:space="0" w:color="auto"/>
              <w:right w:val="single" w:sz="4" w:space="0" w:color="auto"/>
            </w:tcBorders>
            <w:shd w:val="clear" w:color="auto" w:fill="FFF2CC"/>
            <w:vAlign w:val="center"/>
            <w:hideMark/>
          </w:tcPr>
          <w:p w14:paraId="578872E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33.46%</w:t>
            </w:r>
          </w:p>
        </w:tc>
        <w:tc>
          <w:tcPr>
            <w:tcW w:w="1361" w:type="dxa"/>
            <w:tcBorders>
              <w:top w:val="nil"/>
              <w:left w:val="nil"/>
              <w:bottom w:val="single" w:sz="4" w:space="0" w:color="auto"/>
              <w:right w:val="single" w:sz="4" w:space="0" w:color="auto"/>
            </w:tcBorders>
            <w:shd w:val="clear" w:color="auto" w:fill="FFF2CC"/>
            <w:vAlign w:val="center"/>
            <w:hideMark/>
          </w:tcPr>
          <w:p w14:paraId="28ABF5B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25.58%</w:t>
            </w:r>
          </w:p>
        </w:tc>
        <w:tc>
          <w:tcPr>
            <w:tcW w:w="1361" w:type="dxa"/>
            <w:tcBorders>
              <w:top w:val="nil"/>
              <w:left w:val="nil"/>
              <w:bottom w:val="single" w:sz="4" w:space="0" w:color="auto"/>
              <w:right w:val="single" w:sz="4" w:space="0" w:color="auto"/>
            </w:tcBorders>
            <w:shd w:val="clear" w:color="auto" w:fill="FFF2CC"/>
            <w:vAlign w:val="center"/>
            <w:hideMark/>
          </w:tcPr>
          <w:p w14:paraId="67FEF88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57.89%</w:t>
            </w:r>
          </w:p>
        </w:tc>
        <w:tc>
          <w:tcPr>
            <w:tcW w:w="1361" w:type="dxa"/>
            <w:tcBorders>
              <w:top w:val="nil"/>
              <w:left w:val="nil"/>
              <w:bottom w:val="single" w:sz="4" w:space="0" w:color="auto"/>
              <w:right w:val="single" w:sz="4" w:space="0" w:color="auto"/>
            </w:tcBorders>
            <w:shd w:val="clear" w:color="auto" w:fill="FFF2CC"/>
            <w:vAlign w:val="center"/>
            <w:hideMark/>
          </w:tcPr>
          <w:p w14:paraId="3B91149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51.49%</w:t>
            </w:r>
          </w:p>
        </w:tc>
        <w:tc>
          <w:tcPr>
            <w:tcW w:w="1361" w:type="dxa"/>
            <w:tcBorders>
              <w:top w:val="nil"/>
              <w:left w:val="nil"/>
              <w:bottom w:val="single" w:sz="4" w:space="0" w:color="auto"/>
              <w:right w:val="single" w:sz="4" w:space="0" w:color="auto"/>
            </w:tcBorders>
            <w:shd w:val="clear" w:color="auto" w:fill="FFF2CC"/>
            <w:vAlign w:val="center"/>
            <w:hideMark/>
          </w:tcPr>
          <w:p w14:paraId="47D055A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36.21%</w:t>
            </w:r>
          </w:p>
        </w:tc>
      </w:tr>
      <w:tr w:rsidR="00A8338E" w:rsidRPr="0048784B" w14:paraId="2FFC938B"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54C42A5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 + PT1</w:t>
            </w:r>
          </w:p>
        </w:tc>
        <w:tc>
          <w:tcPr>
            <w:tcW w:w="1361" w:type="dxa"/>
            <w:tcBorders>
              <w:top w:val="nil"/>
              <w:left w:val="nil"/>
              <w:bottom w:val="single" w:sz="4" w:space="0" w:color="auto"/>
              <w:right w:val="single" w:sz="4" w:space="0" w:color="auto"/>
            </w:tcBorders>
            <w:shd w:val="clear" w:color="auto" w:fill="DEEAF6"/>
            <w:vAlign w:val="center"/>
            <w:hideMark/>
          </w:tcPr>
          <w:p w14:paraId="04984DA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43.17%</w:t>
            </w:r>
          </w:p>
        </w:tc>
        <w:tc>
          <w:tcPr>
            <w:tcW w:w="1361" w:type="dxa"/>
            <w:tcBorders>
              <w:top w:val="nil"/>
              <w:left w:val="nil"/>
              <w:bottom w:val="single" w:sz="4" w:space="0" w:color="auto"/>
              <w:right w:val="single" w:sz="4" w:space="0" w:color="auto"/>
            </w:tcBorders>
            <w:shd w:val="clear" w:color="auto" w:fill="DEEAF6"/>
            <w:vAlign w:val="center"/>
            <w:hideMark/>
          </w:tcPr>
          <w:p w14:paraId="61E7CC8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36.77%</w:t>
            </w:r>
          </w:p>
        </w:tc>
        <w:tc>
          <w:tcPr>
            <w:tcW w:w="1361" w:type="dxa"/>
            <w:tcBorders>
              <w:top w:val="nil"/>
              <w:left w:val="nil"/>
              <w:bottom w:val="single" w:sz="4" w:space="0" w:color="auto"/>
              <w:right w:val="single" w:sz="4" w:space="0" w:color="auto"/>
            </w:tcBorders>
            <w:shd w:val="clear" w:color="auto" w:fill="DEEAF6"/>
            <w:vAlign w:val="center"/>
            <w:hideMark/>
          </w:tcPr>
          <w:p w14:paraId="149ED84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27.51%</w:t>
            </w:r>
          </w:p>
        </w:tc>
        <w:tc>
          <w:tcPr>
            <w:tcW w:w="1361" w:type="dxa"/>
            <w:tcBorders>
              <w:top w:val="nil"/>
              <w:left w:val="nil"/>
              <w:bottom w:val="single" w:sz="4" w:space="0" w:color="auto"/>
              <w:right w:val="single" w:sz="4" w:space="0" w:color="auto"/>
            </w:tcBorders>
            <w:shd w:val="clear" w:color="auto" w:fill="DEEAF6"/>
            <w:vAlign w:val="center"/>
            <w:hideMark/>
          </w:tcPr>
          <w:p w14:paraId="2CDBBEDC" w14:textId="2777DCFF" w:rsidR="00A8338E" w:rsidRPr="004C0C03" w:rsidRDefault="00030105" w:rsidP="007867CB">
            <w:pPr>
              <w:overflowPunct/>
              <w:autoSpaceDE/>
              <w:autoSpaceDN/>
              <w:adjustRightInd/>
              <w:spacing w:after="0"/>
              <w:textAlignment w:val="auto"/>
              <w:rPr>
                <w:rFonts w:eastAsia="Times New Roman"/>
                <w:lang w:val="en-US"/>
              </w:rPr>
            </w:pPr>
            <w:r>
              <w:rPr>
                <w:rFonts w:eastAsia="Times New Roman"/>
                <w:lang w:val="en-US"/>
              </w:rPr>
              <w:t>64.65</w:t>
            </w:r>
            <w:r w:rsidR="00A8338E" w:rsidRPr="004C0C03">
              <w:rPr>
                <w:rFonts w:eastAsia="Times New Roman"/>
                <w:lang w:val="en-US"/>
              </w:rPr>
              <w:t>%</w:t>
            </w:r>
          </w:p>
        </w:tc>
        <w:tc>
          <w:tcPr>
            <w:tcW w:w="1361" w:type="dxa"/>
            <w:tcBorders>
              <w:top w:val="nil"/>
              <w:left w:val="nil"/>
              <w:bottom w:val="single" w:sz="4" w:space="0" w:color="auto"/>
              <w:right w:val="single" w:sz="4" w:space="0" w:color="auto"/>
            </w:tcBorders>
            <w:shd w:val="clear" w:color="auto" w:fill="DEEAF6"/>
            <w:vAlign w:val="center"/>
            <w:hideMark/>
          </w:tcPr>
          <w:p w14:paraId="0535D81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58.25%</w:t>
            </w:r>
          </w:p>
        </w:tc>
        <w:tc>
          <w:tcPr>
            <w:tcW w:w="1361" w:type="dxa"/>
            <w:tcBorders>
              <w:top w:val="nil"/>
              <w:left w:val="nil"/>
              <w:bottom w:val="single" w:sz="4" w:space="0" w:color="auto"/>
              <w:right w:val="single" w:sz="4" w:space="0" w:color="auto"/>
            </w:tcBorders>
            <w:shd w:val="clear" w:color="auto" w:fill="DEEAF6"/>
            <w:vAlign w:val="center"/>
            <w:hideMark/>
          </w:tcPr>
          <w:p w14:paraId="7DAEA4FE" w14:textId="7B14E600"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w:t>
            </w:r>
            <w:r w:rsidR="000D23FD">
              <w:rPr>
                <w:rFonts w:eastAsia="Times New Roman"/>
                <w:lang w:val="en-US"/>
              </w:rPr>
              <w:t>0</w:t>
            </w:r>
            <w:r w:rsidRPr="004C0C03">
              <w:rPr>
                <w:rFonts w:eastAsia="Times New Roman"/>
                <w:lang w:val="en-US"/>
              </w:rPr>
              <w:t>.16%</w:t>
            </w:r>
          </w:p>
        </w:tc>
      </w:tr>
      <w:tr w:rsidR="00A8338E" w:rsidRPr="0048784B" w14:paraId="0AC49440"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07B50B4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 + PT1 + PT2</w:t>
            </w:r>
          </w:p>
        </w:tc>
        <w:tc>
          <w:tcPr>
            <w:tcW w:w="1361" w:type="dxa"/>
            <w:tcBorders>
              <w:top w:val="nil"/>
              <w:left w:val="nil"/>
              <w:bottom w:val="single" w:sz="4" w:space="0" w:color="auto"/>
              <w:right w:val="single" w:sz="4" w:space="0" w:color="auto"/>
            </w:tcBorders>
            <w:shd w:val="clear" w:color="auto" w:fill="DEEAF6"/>
            <w:vAlign w:val="center"/>
            <w:hideMark/>
          </w:tcPr>
          <w:p w14:paraId="477F273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42.58%</w:t>
            </w:r>
          </w:p>
        </w:tc>
        <w:tc>
          <w:tcPr>
            <w:tcW w:w="1361" w:type="dxa"/>
            <w:tcBorders>
              <w:top w:val="nil"/>
              <w:left w:val="nil"/>
              <w:bottom w:val="single" w:sz="4" w:space="0" w:color="auto"/>
              <w:right w:val="single" w:sz="4" w:space="0" w:color="auto"/>
            </w:tcBorders>
            <w:shd w:val="clear" w:color="auto" w:fill="DEEAF6"/>
            <w:vAlign w:val="center"/>
            <w:hideMark/>
          </w:tcPr>
          <w:p w14:paraId="74115E0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36.18%</w:t>
            </w:r>
          </w:p>
        </w:tc>
        <w:tc>
          <w:tcPr>
            <w:tcW w:w="1361" w:type="dxa"/>
            <w:tcBorders>
              <w:top w:val="nil"/>
              <w:left w:val="nil"/>
              <w:bottom w:val="single" w:sz="4" w:space="0" w:color="auto"/>
              <w:right w:val="single" w:sz="4" w:space="0" w:color="auto"/>
            </w:tcBorders>
            <w:shd w:val="clear" w:color="auto" w:fill="DEEAF6"/>
            <w:vAlign w:val="center"/>
            <w:hideMark/>
          </w:tcPr>
          <w:p w14:paraId="5951DB1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27.16%</w:t>
            </w:r>
          </w:p>
        </w:tc>
        <w:tc>
          <w:tcPr>
            <w:tcW w:w="1361" w:type="dxa"/>
            <w:tcBorders>
              <w:top w:val="nil"/>
              <w:left w:val="nil"/>
              <w:bottom w:val="single" w:sz="4" w:space="0" w:color="auto"/>
              <w:right w:val="single" w:sz="4" w:space="0" w:color="auto"/>
            </w:tcBorders>
            <w:shd w:val="clear" w:color="auto" w:fill="DEEAF6"/>
            <w:vAlign w:val="center"/>
            <w:hideMark/>
          </w:tcPr>
          <w:p w14:paraId="344F989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63.59%</w:t>
            </w:r>
          </w:p>
        </w:tc>
        <w:tc>
          <w:tcPr>
            <w:tcW w:w="1361" w:type="dxa"/>
            <w:tcBorders>
              <w:top w:val="nil"/>
              <w:left w:val="nil"/>
              <w:bottom w:val="single" w:sz="4" w:space="0" w:color="auto"/>
              <w:right w:val="single" w:sz="4" w:space="0" w:color="auto"/>
            </w:tcBorders>
            <w:shd w:val="clear" w:color="auto" w:fill="DEEAF6"/>
            <w:vAlign w:val="center"/>
            <w:hideMark/>
          </w:tcPr>
          <w:p w14:paraId="6C9E97E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57.19%</w:t>
            </w:r>
          </w:p>
        </w:tc>
        <w:tc>
          <w:tcPr>
            <w:tcW w:w="1361" w:type="dxa"/>
            <w:tcBorders>
              <w:top w:val="nil"/>
              <w:left w:val="nil"/>
              <w:bottom w:val="single" w:sz="4" w:space="0" w:color="auto"/>
              <w:right w:val="single" w:sz="4" w:space="0" w:color="auto"/>
            </w:tcBorders>
            <w:shd w:val="clear" w:color="auto" w:fill="DEEAF6"/>
            <w:vAlign w:val="center"/>
            <w:hideMark/>
          </w:tcPr>
          <w:p w14:paraId="1B363CB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39.56%</w:t>
            </w:r>
          </w:p>
        </w:tc>
      </w:tr>
      <w:tr w:rsidR="00A8338E" w:rsidRPr="0048784B" w14:paraId="3304BB9B"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3278053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PR2 + PT1 + PT2</w:t>
            </w:r>
          </w:p>
        </w:tc>
        <w:tc>
          <w:tcPr>
            <w:tcW w:w="1361" w:type="dxa"/>
            <w:tcBorders>
              <w:top w:val="nil"/>
              <w:left w:val="nil"/>
              <w:bottom w:val="single" w:sz="4" w:space="0" w:color="auto"/>
              <w:right w:val="single" w:sz="4" w:space="0" w:color="auto"/>
            </w:tcBorders>
            <w:shd w:val="clear" w:color="auto" w:fill="DEEAF6"/>
            <w:vAlign w:val="center"/>
            <w:hideMark/>
          </w:tcPr>
          <w:p w14:paraId="416CB7A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42.58%</w:t>
            </w:r>
          </w:p>
        </w:tc>
        <w:tc>
          <w:tcPr>
            <w:tcW w:w="1361" w:type="dxa"/>
            <w:tcBorders>
              <w:top w:val="nil"/>
              <w:left w:val="nil"/>
              <w:bottom w:val="single" w:sz="4" w:space="0" w:color="auto"/>
              <w:right w:val="single" w:sz="4" w:space="0" w:color="auto"/>
            </w:tcBorders>
            <w:shd w:val="clear" w:color="auto" w:fill="DEEAF6"/>
            <w:vAlign w:val="center"/>
            <w:hideMark/>
          </w:tcPr>
          <w:p w14:paraId="02CEE6C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36.18%</w:t>
            </w:r>
          </w:p>
        </w:tc>
        <w:tc>
          <w:tcPr>
            <w:tcW w:w="1361" w:type="dxa"/>
            <w:tcBorders>
              <w:top w:val="nil"/>
              <w:left w:val="nil"/>
              <w:bottom w:val="single" w:sz="4" w:space="0" w:color="auto"/>
              <w:right w:val="single" w:sz="4" w:space="0" w:color="auto"/>
            </w:tcBorders>
            <w:shd w:val="clear" w:color="auto" w:fill="DEEAF6"/>
            <w:vAlign w:val="center"/>
            <w:hideMark/>
          </w:tcPr>
          <w:p w14:paraId="56790B7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27.16%</w:t>
            </w:r>
          </w:p>
        </w:tc>
        <w:tc>
          <w:tcPr>
            <w:tcW w:w="1361" w:type="dxa"/>
            <w:tcBorders>
              <w:top w:val="nil"/>
              <w:left w:val="nil"/>
              <w:bottom w:val="single" w:sz="4" w:space="0" w:color="auto"/>
              <w:right w:val="single" w:sz="4" w:space="0" w:color="auto"/>
            </w:tcBorders>
            <w:shd w:val="clear" w:color="auto" w:fill="DEEAF6"/>
            <w:vAlign w:val="center"/>
            <w:hideMark/>
          </w:tcPr>
          <w:p w14:paraId="7CBA52B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63.59%</w:t>
            </w:r>
          </w:p>
        </w:tc>
        <w:tc>
          <w:tcPr>
            <w:tcW w:w="1361" w:type="dxa"/>
            <w:tcBorders>
              <w:top w:val="nil"/>
              <w:left w:val="nil"/>
              <w:bottom w:val="single" w:sz="4" w:space="0" w:color="auto"/>
              <w:right w:val="single" w:sz="4" w:space="0" w:color="auto"/>
            </w:tcBorders>
            <w:shd w:val="clear" w:color="auto" w:fill="DEEAF6"/>
            <w:vAlign w:val="center"/>
            <w:hideMark/>
          </w:tcPr>
          <w:p w14:paraId="13031517"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57.19%</w:t>
            </w:r>
          </w:p>
        </w:tc>
        <w:tc>
          <w:tcPr>
            <w:tcW w:w="1361" w:type="dxa"/>
            <w:tcBorders>
              <w:top w:val="nil"/>
              <w:left w:val="nil"/>
              <w:bottom w:val="single" w:sz="4" w:space="0" w:color="auto"/>
              <w:right w:val="single" w:sz="4" w:space="0" w:color="auto"/>
            </w:tcBorders>
            <w:shd w:val="clear" w:color="auto" w:fill="DEEAF6"/>
            <w:vAlign w:val="center"/>
            <w:hideMark/>
          </w:tcPr>
          <w:p w14:paraId="784CBD3D"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39.56%</w:t>
            </w:r>
          </w:p>
        </w:tc>
      </w:tr>
      <w:tr w:rsidR="00A8338E" w:rsidRPr="0048784B" w14:paraId="41C9FFC0"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579DF94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 + PT1</w:t>
            </w:r>
          </w:p>
        </w:tc>
        <w:tc>
          <w:tcPr>
            <w:tcW w:w="1361" w:type="dxa"/>
            <w:tcBorders>
              <w:top w:val="nil"/>
              <w:left w:val="nil"/>
              <w:bottom w:val="single" w:sz="4" w:space="0" w:color="auto"/>
              <w:right w:val="single" w:sz="4" w:space="0" w:color="auto"/>
            </w:tcBorders>
            <w:shd w:val="clear" w:color="auto" w:fill="DEEAF6"/>
            <w:vAlign w:val="center"/>
            <w:hideMark/>
          </w:tcPr>
          <w:p w14:paraId="62702B8C"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40.65%</w:t>
            </w:r>
          </w:p>
        </w:tc>
        <w:tc>
          <w:tcPr>
            <w:tcW w:w="1361" w:type="dxa"/>
            <w:tcBorders>
              <w:top w:val="nil"/>
              <w:left w:val="nil"/>
              <w:bottom w:val="single" w:sz="4" w:space="0" w:color="auto"/>
              <w:right w:val="single" w:sz="4" w:space="0" w:color="auto"/>
            </w:tcBorders>
            <w:shd w:val="clear" w:color="auto" w:fill="DEEAF6"/>
            <w:vAlign w:val="center"/>
            <w:hideMark/>
          </w:tcPr>
          <w:p w14:paraId="04437A2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34.25%</w:t>
            </w:r>
          </w:p>
        </w:tc>
        <w:tc>
          <w:tcPr>
            <w:tcW w:w="1361" w:type="dxa"/>
            <w:tcBorders>
              <w:top w:val="nil"/>
              <w:left w:val="nil"/>
              <w:bottom w:val="single" w:sz="4" w:space="0" w:color="auto"/>
              <w:right w:val="single" w:sz="4" w:space="0" w:color="auto"/>
            </w:tcBorders>
            <w:shd w:val="clear" w:color="auto" w:fill="DEEAF6"/>
            <w:vAlign w:val="center"/>
            <w:hideMark/>
          </w:tcPr>
          <w:p w14:paraId="2BB1A09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26.03%</w:t>
            </w:r>
          </w:p>
        </w:tc>
        <w:tc>
          <w:tcPr>
            <w:tcW w:w="1361" w:type="dxa"/>
            <w:tcBorders>
              <w:top w:val="nil"/>
              <w:left w:val="nil"/>
              <w:bottom w:val="single" w:sz="4" w:space="0" w:color="auto"/>
              <w:right w:val="single" w:sz="4" w:space="0" w:color="auto"/>
            </w:tcBorders>
            <w:shd w:val="clear" w:color="auto" w:fill="DEEAF6"/>
            <w:vAlign w:val="center"/>
            <w:hideMark/>
          </w:tcPr>
          <w:p w14:paraId="586A1E0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59.37%</w:t>
            </w:r>
          </w:p>
        </w:tc>
        <w:tc>
          <w:tcPr>
            <w:tcW w:w="1361" w:type="dxa"/>
            <w:tcBorders>
              <w:top w:val="nil"/>
              <w:left w:val="nil"/>
              <w:bottom w:val="single" w:sz="4" w:space="0" w:color="auto"/>
              <w:right w:val="single" w:sz="4" w:space="0" w:color="auto"/>
            </w:tcBorders>
            <w:shd w:val="clear" w:color="auto" w:fill="DEEAF6"/>
            <w:vAlign w:val="center"/>
            <w:hideMark/>
          </w:tcPr>
          <w:p w14:paraId="7A0E478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52.97%</w:t>
            </w:r>
          </w:p>
        </w:tc>
        <w:tc>
          <w:tcPr>
            <w:tcW w:w="1361" w:type="dxa"/>
            <w:tcBorders>
              <w:top w:val="nil"/>
              <w:left w:val="nil"/>
              <w:bottom w:val="single" w:sz="4" w:space="0" w:color="auto"/>
              <w:right w:val="single" w:sz="4" w:space="0" w:color="auto"/>
            </w:tcBorders>
            <w:shd w:val="clear" w:color="auto" w:fill="DEEAF6"/>
            <w:vAlign w:val="center"/>
            <w:hideMark/>
          </w:tcPr>
          <w:p w14:paraId="10DB2292"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37.00%</w:t>
            </w:r>
          </w:p>
        </w:tc>
      </w:tr>
      <w:tr w:rsidR="00A8338E" w:rsidRPr="0048784B" w14:paraId="315047BD" w14:textId="77777777" w:rsidTr="00A8338E">
        <w:trPr>
          <w:trHeight w:val="319"/>
          <w:jc w:val="center"/>
        </w:trPr>
        <w:tc>
          <w:tcPr>
            <w:tcW w:w="1361" w:type="dxa"/>
            <w:tcBorders>
              <w:top w:val="nil"/>
              <w:left w:val="single" w:sz="4" w:space="0" w:color="auto"/>
              <w:bottom w:val="single" w:sz="4" w:space="0" w:color="auto"/>
              <w:right w:val="single" w:sz="4" w:space="0" w:color="auto"/>
            </w:tcBorders>
            <w:shd w:val="clear" w:color="auto" w:fill="DEEAF6"/>
            <w:vAlign w:val="center"/>
            <w:hideMark/>
          </w:tcPr>
          <w:p w14:paraId="7D6531E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 + PT1 + PT2</w:t>
            </w:r>
          </w:p>
        </w:tc>
        <w:tc>
          <w:tcPr>
            <w:tcW w:w="1361" w:type="dxa"/>
            <w:tcBorders>
              <w:top w:val="nil"/>
              <w:left w:val="nil"/>
              <w:bottom w:val="single" w:sz="4" w:space="0" w:color="auto"/>
              <w:right w:val="single" w:sz="4" w:space="0" w:color="auto"/>
            </w:tcBorders>
            <w:shd w:val="clear" w:color="auto" w:fill="DEEAF6"/>
            <w:vAlign w:val="center"/>
            <w:hideMark/>
          </w:tcPr>
          <w:p w14:paraId="2E37695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40.17%</w:t>
            </w:r>
          </w:p>
        </w:tc>
        <w:tc>
          <w:tcPr>
            <w:tcW w:w="1361" w:type="dxa"/>
            <w:tcBorders>
              <w:top w:val="nil"/>
              <w:left w:val="nil"/>
              <w:bottom w:val="single" w:sz="4" w:space="0" w:color="auto"/>
              <w:right w:val="single" w:sz="4" w:space="0" w:color="auto"/>
            </w:tcBorders>
            <w:shd w:val="clear" w:color="auto" w:fill="DEEAF6"/>
            <w:vAlign w:val="center"/>
            <w:hideMark/>
          </w:tcPr>
          <w:p w14:paraId="1ED212E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33.77%</w:t>
            </w:r>
          </w:p>
        </w:tc>
        <w:tc>
          <w:tcPr>
            <w:tcW w:w="1361" w:type="dxa"/>
            <w:tcBorders>
              <w:top w:val="nil"/>
              <w:left w:val="nil"/>
              <w:bottom w:val="single" w:sz="4" w:space="0" w:color="auto"/>
              <w:right w:val="single" w:sz="4" w:space="0" w:color="auto"/>
            </w:tcBorders>
            <w:shd w:val="clear" w:color="auto" w:fill="DEEAF6"/>
            <w:vAlign w:val="center"/>
            <w:hideMark/>
          </w:tcPr>
          <w:p w14:paraId="7C2B833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25.74%</w:t>
            </w:r>
          </w:p>
        </w:tc>
        <w:tc>
          <w:tcPr>
            <w:tcW w:w="1361" w:type="dxa"/>
            <w:tcBorders>
              <w:top w:val="nil"/>
              <w:left w:val="nil"/>
              <w:bottom w:val="single" w:sz="4" w:space="0" w:color="auto"/>
              <w:right w:val="single" w:sz="4" w:space="0" w:color="auto"/>
            </w:tcBorders>
            <w:shd w:val="clear" w:color="auto" w:fill="DEEAF6"/>
            <w:vAlign w:val="center"/>
            <w:hideMark/>
          </w:tcPr>
          <w:p w14:paraId="2C553B95"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58.55%</w:t>
            </w:r>
          </w:p>
        </w:tc>
        <w:tc>
          <w:tcPr>
            <w:tcW w:w="1361" w:type="dxa"/>
            <w:tcBorders>
              <w:top w:val="nil"/>
              <w:left w:val="nil"/>
              <w:bottom w:val="single" w:sz="4" w:space="0" w:color="auto"/>
              <w:right w:val="single" w:sz="4" w:space="0" w:color="auto"/>
            </w:tcBorders>
            <w:shd w:val="clear" w:color="auto" w:fill="DEEAF6"/>
            <w:vAlign w:val="center"/>
            <w:hideMark/>
          </w:tcPr>
          <w:p w14:paraId="5CDB86F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52.15%</w:t>
            </w:r>
          </w:p>
        </w:tc>
        <w:tc>
          <w:tcPr>
            <w:tcW w:w="1361" w:type="dxa"/>
            <w:tcBorders>
              <w:top w:val="nil"/>
              <w:left w:val="nil"/>
              <w:bottom w:val="single" w:sz="4" w:space="0" w:color="auto"/>
              <w:right w:val="single" w:sz="4" w:space="0" w:color="auto"/>
            </w:tcBorders>
            <w:shd w:val="clear" w:color="auto" w:fill="DEEAF6"/>
            <w:vAlign w:val="center"/>
            <w:hideMark/>
          </w:tcPr>
          <w:p w14:paraId="6CD48DC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36.54%</w:t>
            </w:r>
          </w:p>
        </w:tc>
      </w:tr>
    </w:tbl>
    <w:p w14:paraId="6FDCF0E7" w14:textId="77777777" w:rsidR="00A8338E" w:rsidRDefault="00A8338E" w:rsidP="00A8338E">
      <w:pPr>
        <w:rPr>
          <w:lang w:val="en-US"/>
        </w:rPr>
      </w:pPr>
    </w:p>
    <w:p w14:paraId="4720C4FC" w14:textId="77777777" w:rsidR="007416FB" w:rsidRDefault="007416FB" w:rsidP="00A8338E">
      <w:pPr>
        <w:rPr>
          <w:lang w:val="en-US"/>
        </w:rPr>
      </w:pPr>
    </w:p>
    <w:p w14:paraId="0A12C68E" w14:textId="6715F6CC" w:rsidR="00A8338E" w:rsidRPr="00501105" w:rsidRDefault="00A8338E" w:rsidP="00A8338E">
      <w:pPr>
        <w:pStyle w:val="Caption"/>
        <w:keepNext/>
        <w:jc w:val="center"/>
        <w:rPr>
          <w:lang w:val="en-US"/>
        </w:rPr>
      </w:pPr>
      <w:bookmarkStart w:id="27" w:name="_Ref110244974"/>
      <w:r>
        <w:lastRenderedPageBreak/>
        <w:t xml:space="preserve">Table </w:t>
      </w:r>
      <w:r w:rsidR="00731A2A">
        <w:fldChar w:fldCharType="begin"/>
      </w:r>
      <w:r w:rsidR="00731A2A">
        <w:instrText xml:space="preserve"> SEQ Table \* ARABIC </w:instrText>
      </w:r>
      <w:r w:rsidR="00731A2A">
        <w:fldChar w:fldCharType="separate"/>
      </w:r>
      <w:r w:rsidR="00034224">
        <w:rPr>
          <w:noProof/>
        </w:rPr>
        <w:t>11</w:t>
      </w:r>
      <w:r w:rsidR="00731A2A">
        <w:rPr>
          <w:noProof/>
        </w:rPr>
        <w:fldChar w:fldCharType="end"/>
      </w:r>
      <w:bookmarkEnd w:id="27"/>
      <w:r>
        <w:rPr>
          <w:lang w:val="en-US"/>
        </w:rPr>
        <w:t>. UE complexity reduction estimates compared to reference Rel-17 RedCap UE.</w:t>
      </w:r>
    </w:p>
    <w:tbl>
      <w:tblPr>
        <w:tblW w:w="9527" w:type="dxa"/>
        <w:jc w:val="center"/>
        <w:tblLook w:val="04A0" w:firstRow="1" w:lastRow="0" w:firstColumn="1" w:lastColumn="0" w:noHBand="0" w:noVBand="1"/>
      </w:tblPr>
      <w:tblGrid>
        <w:gridCol w:w="1361"/>
        <w:gridCol w:w="1361"/>
        <w:gridCol w:w="1361"/>
        <w:gridCol w:w="1361"/>
        <w:gridCol w:w="1361"/>
        <w:gridCol w:w="1361"/>
        <w:gridCol w:w="1361"/>
      </w:tblGrid>
      <w:tr w:rsidR="00A8338E" w:rsidRPr="0048784B" w14:paraId="798F4C4D" w14:textId="77777777" w:rsidTr="007867CB">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57FA2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 </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3243F0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FD-FDD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2091A98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HD-FDD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0F20B72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TDD 1Rx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751EEBE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FD-FDD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3E4C87C8"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HD-FDD 2Rx</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1901EA8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TDD 2Rx</w:t>
            </w:r>
          </w:p>
        </w:tc>
      </w:tr>
      <w:tr w:rsidR="00A8338E" w:rsidRPr="0048784B" w14:paraId="44B99E90"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D9D9"/>
            <w:vAlign w:val="center"/>
            <w:hideMark/>
          </w:tcPr>
          <w:p w14:paraId="096F319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Rel-17 RedCap ref</w:t>
            </w:r>
          </w:p>
        </w:tc>
        <w:tc>
          <w:tcPr>
            <w:tcW w:w="1361" w:type="dxa"/>
            <w:tcBorders>
              <w:top w:val="nil"/>
              <w:left w:val="nil"/>
              <w:bottom w:val="single" w:sz="4" w:space="0" w:color="auto"/>
              <w:right w:val="single" w:sz="4" w:space="0" w:color="auto"/>
            </w:tcBorders>
            <w:shd w:val="clear" w:color="000000" w:fill="D9D9D9"/>
            <w:vAlign w:val="center"/>
            <w:hideMark/>
          </w:tcPr>
          <w:p w14:paraId="09CD4A71" w14:textId="2E536DC3"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c>
          <w:tcPr>
            <w:tcW w:w="1361" w:type="dxa"/>
            <w:tcBorders>
              <w:top w:val="nil"/>
              <w:left w:val="nil"/>
              <w:bottom w:val="single" w:sz="4" w:space="0" w:color="auto"/>
              <w:right w:val="single" w:sz="4" w:space="0" w:color="auto"/>
            </w:tcBorders>
            <w:shd w:val="clear" w:color="000000" w:fill="D9D9D9"/>
            <w:vAlign w:val="center"/>
            <w:hideMark/>
          </w:tcPr>
          <w:p w14:paraId="23AD7E76" w14:textId="51A694AD"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c>
          <w:tcPr>
            <w:tcW w:w="1361" w:type="dxa"/>
            <w:tcBorders>
              <w:top w:val="nil"/>
              <w:left w:val="nil"/>
              <w:bottom w:val="single" w:sz="4" w:space="0" w:color="auto"/>
              <w:right w:val="single" w:sz="4" w:space="0" w:color="auto"/>
            </w:tcBorders>
            <w:shd w:val="clear" w:color="000000" w:fill="D9D9D9"/>
            <w:vAlign w:val="center"/>
            <w:hideMark/>
          </w:tcPr>
          <w:p w14:paraId="51D92B30" w14:textId="7EA28B95"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c>
          <w:tcPr>
            <w:tcW w:w="1361" w:type="dxa"/>
            <w:tcBorders>
              <w:top w:val="nil"/>
              <w:left w:val="nil"/>
              <w:bottom w:val="single" w:sz="4" w:space="0" w:color="auto"/>
              <w:right w:val="single" w:sz="4" w:space="0" w:color="auto"/>
            </w:tcBorders>
            <w:shd w:val="clear" w:color="000000" w:fill="D9D9D9"/>
            <w:vAlign w:val="center"/>
            <w:hideMark/>
          </w:tcPr>
          <w:p w14:paraId="135AC4BB" w14:textId="3CD1D20F"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c>
          <w:tcPr>
            <w:tcW w:w="1361" w:type="dxa"/>
            <w:tcBorders>
              <w:top w:val="nil"/>
              <w:left w:val="nil"/>
              <w:bottom w:val="single" w:sz="4" w:space="0" w:color="auto"/>
              <w:right w:val="single" w:sz="4" w:space="0" w:color="auto"/>
            </w:tcBorders>
            <w:shd w:val="clear" w:color="000000" w:fill="D9D9D9"/>
            <w:vAlign w:val="center"/>
            <w:hideMark/>
          </w:tcPr>
          <w:p w14:paraId="1C39E9D1" w14:textId="587457E6"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c>
          <w:tcPr>
            <w:tcW w:w="1361" w:type="dxa"/>
            <w:tcBorders>
              <w:top w:val="nil"/>
              <w:left w:val="nil"/>
              <w:bottom w:val="single" w:sz="4" w:space="0" w:color="auto"/>
              <w:right w:val="single" w:sz="4" w:space="0" w:color="auto"/>
            </w:tcBorders>
            <w:shd w:val="clear" w:color="000000" w:fill="D9D9D9"/>
            <w:vAlign w:val="center"/>
            <w:hideMark/>
          </w:tcPr>
          <w:p w14:paraId="74CBAD05" w14:textId="025CF337" w:rsidR="00A8338E" w:rsidRPr="004C0C03" w:rsidRDefault="00483CDA" w:rsidP="00483CDA">
            <w:pPr>
              <w:overflowPunct/>
              <w:autoSpaceDE/>
              <w:autoSpaceDN/>
              <w:adjustRightInd/>
              <w:spacing w:after="0"/>
              <w:jc w:val="center"/>
              <w:textAlignment w:val="auto"/>
              <w:rPr>
                <w:rFonts w:eastAsia="Times New Roman"/>
                <w:lang w:val="en-US"/>
              </w:rPr>
            </w:pPr>
            <w:r>
              <w:rPr>
                <w:rFonts w:eastAsia="Times New Roman"/>
                <w:lang w:val="en-US"/>
              </w:rPr>
              <w:t>-</w:t>
            </w:r>
          </w:p>
        </w:tc>
      </w:tr>
      <w:tr w:rsidR="00A8338E" w:rsidRPr="0048784B" w14:paraId="5BBAE424"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2004DCF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w:t>
            </w:r>
          </w:p>
        </w:tc>
        <w:tc>
          <w:tcPr>
            <w:tcW w:w="1361" w:type="dxa"/>
            <w:tcBorders>
              <w:top w:val="nil"/>
              <w:left w:val="nil"/>
              <w:bottom w:val="single" w:sz="4" w:space="0" w:color="auto"/>
              <w:right w:val="single" w:sz="4" w:space="0" w:color="auto"/>
            </w:tcBorders>
            <w:shd w:val="clear" w:color="000000" w:fill="FFF2CC"/>
            <w:vAlign w:val="center"/>
            <w:hideMark/>
          </w:tcPr>
          <w:p w14:paraId="759EDE94"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-18.5%</w:t>
            </w:r>
          </w:p>
        </w:tc>
        <w:tc>
          <w:tcPr>
            <w:tcW w:w="1361" w:type="dxa"/>
            <w:tcBorders>
              <w:top w:val="nil"/>
              <w:left w:val="nil"/>
              <w:bottom w:val="single" w:sz="4" w:space="0" w:color="auto"/>
              <w:right w:val="single" w:sz="4" w:space="0" w:color="auto"/>
            </w:tcBorders>
            <w:shd w:val="clear" w:color="000000" w:fill="FFF2CC"/>
            <w:vAlign w:val="center"/>
            <w:hideMark/>
          </w:tcPr>
          <w:p w14:paraId="6ACDB99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-21.5%</w:t>
            </w:r>
          </w:p>
        </w:tc>
        <w:tc>
          <w:tcPr>
            <w:tcW w:w="1361" w:type="dxa"/>
            <w:tcBorders>
              <w:top w:val="nil"/>
              <w:left w:val="nil"/>
              <w:bottom w:val="single" w:sz="4" w:space="0" w:color="auto"/>
              <w:right w:val="single" w:sz="4" w:space="0" w:color="auto"/>
            </w:tcBorders>
            <w:shd w:val="clear" w:color="000000" w:fill="FFF2CC"/>
            <w:vAlign w:val="center"/>
            <w:hideMark/>
          </w:tcPr>
          <w:p w14:paraId="7155D05C"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-18.7%</w:t>
            </w:r>
          </w:p>
        </w:tc>
        <w:tc>
          <w:tcPr>
            <w:tcW w:w="1361" w:type="dxa"/>
            <w:tcBorders>
              <w:top w:val="nil"/>
              <w:left w:val="nil"/>
              <w:bottom w:val="single" w:sz="4" w:space="0" w:color="auto"/>
              <w:right w:val="single" w:sz="4" w:space="0" w:color="auto"/>
            </w:tcBorders>
            <w:shd w:val="clear" w:color="000000" w:fill="FFF2CC"/>
            <w:vAlign w:val="center"/>
            <w:hideMark/>
          </w:tcPr>
          <w:p w14:paraId="0427590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-20.1%</w:t>
            </w:r>
          </w:p>
        </w:tc>
        <w:tc>
          <w:tcPr>
            <w:tcW w:w="1361" w:type="dxa"/>
            <w:tcBorders>
              <w:top w:val="nil"/>
              <w:left w:val="nil"/>
              <w:bottom w:val="single" w:sz="4" w:space="0" w:color="auto"/>
              <w:right w:val="single" w:sz="4" w:space="0" w:color="auto"/>
            </w:tcBorders>
            <w:shd w:val="clear" w:color="000000" w:fill="FFF2CC"/>
            <w:vAlign w:val="center"/>
            <w:hideMark/>
          </w:tcPr>
          <w:p w14:paraId="748F21E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-22.1%</w:t>
            </w:r>
          </w:p>
        </w:tc>
        <w:tc>
          <w:tcPr>
            <w:tcW w:w="1361" w:type="dxa"/>
            <w:tcBorders>
              <w:top w:val="nil"/>
              <w:left w:val="nil"/>
              <w:bottom w:val="single" w:sz="4" w:space="0" w:color="auto"/>
              <w:right w:val="single" w:sz="4" w:space="0" w:color="auto"/>
            </w:tcBorders>
            <w:shd w:val="clear" w:color="000000" w:fill="FFF2CC"/>
            <w:vAlign w:val="center"/>
            <w:hideMark/>
          </w:tcPr>
          <w:p w14:paraId="32149C3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-19.7%</w:t>
            </w:r>
          </w:p>
        </w:tc>
      </w:tr>
      <w:tr w:rsidR="00A8338E" w:rsidRPr="0048784B" w14:paraId="6E051551"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2BCF2F51"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BW2</w:t>
            </w:r>
          </w:p>
        </w:tc>
        <w:tc>
          <w:tcPr>
            <w:tcW w:w="1361" w:type="dxa"/>
            <w:tcBorders>
              <w:top w:val="nil"/>
              <w:left w:val="nil"/>
              <w:bottom w:val="single" w:sz="4" w:space="0" w:color="auto"/>
              <w:right w:val="single" w:sz="4" w:space="0" w:color="auto"/>
            </w:tcBorders>
            <w:shd w:val="clear" w:color="000000" w:fill="FFF2CC"/>
            <w:vAlign w:val="center"/>
            <w:hideMark/>
          </w:tcPr>
          <w:p w14:paraId="4657020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-17.0%</w:t>
            </w:r>
          </w:p>
        </w:tc>
        <w:tc>
          <w:tcPr>
            <w:tcW w:w="1361" w:type="dxa"/>
            <w:tcBorders>
              <w:top w:val="nil"/>
              <w:left w:val="nil"/>
              <w:bottom w:val="single" w:sz="4" w:space="0" w:color="auto"/>
              <w:right w:val="single" w:sz="4" w:space="0" w:color="auto"/>
            </w:tcBorders>
            <w:shd w:val="clear" w:color="000000" w:fill="FFF2CC"/>
            <w:vAlign w:val="center"/>
            <w:hideMark/>
          </w:tcPr>
          <w:p w14:paraId="12F5AAF3"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-19.7%</w:t>
            </w:r>
          </w:p>
        </w:tc>
        <w:tc>
          <w:tcPr>
            <w:tcW w:w="1361" w:type="dxa"/>
            <w:tcBorders>
              <w:top w:val="nil"/>
              <w:left w:val="nil"/>
              <w:bottom w:val="single" w:sz="4" w:space="0" w:color="auto"/>
              <w:right w:val="single" w:sz="4" w:space="0" w:color="auto"/>
            </w:tcBorders>
            <w:shd w:val="clear" w:color="000000" w:fill="FFF2CC"/>
            <w:vAlign w:val="center"/>
            <w:hideMark/>
          </w:tcPr>
          <w:p w14:paraId="75ABEF0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-17.6%</w:t>
            </w:r>
          </w:p>
        </w:tc>
        <w:tc>
          <w:tcPr>
            <w:tcW w:w="1361" w:type="dxa"/>
            <w:tcBorders>
              <w:top w:val="nil"/>
              <w:left w:val="nil"/>
              <w:bottom w:val="single" w:sz="4" w:space="0" w:color="auto"/>
              <w:right w:val="single" w:sz="4" w:space="0" w:color="auto"/>
            </w:tcBorders>
            <w:shd w:val="clear" w:color="000000" w:fill="FFF2CC"/>
            <w:vAlign w:val="center"/>
            <w:hideMark/>
          </w:tcPr>
          <w:p w14:paraId="5FFE266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-18.5%</w:t>
            </w:r>
          </w:p>
        </w:tc>
        <w:tc>
          <w:tcPr>
            <w:tcW w:w="1361" w:type="dxa"/>
            <w:tcBorders>
              <w:top w:val="nil"/>
              <w:left w:val="nil"/>
              <w:bottom w:val="single" w:sz="4" w:space="0" w:color="auto"/>
              <w:right w:val="single" w:sz="4" w:space="0" w:color="auto"/>
            </w:tcBorders>
            <w:shd w:val="clear" w:color="000000" w:fill="FFF2CC"/>
            <w:vAlign w:val="center"/>
            <w:hideMark/>
          </w:tcPr>
          <w:p w14:paraId="34141A4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-20.4%</w:t>
            </w:r>
          </w:p>
        </w:tc>
        <w:tc>
          <w:tcPr>
            <w:tcW w:w="1361" w:type="dxa"/>
            <w:tcBorders>
              <w:top w:val="nil"/>
              <w:left w:val="nil"/>
              <w:bottom w:val="single" w:sz="4" w:space="0" w:color="auto"/>
              <w:right w:val="single" w:sz="4" w:space="0" w:color="auto"/>
            </w:tcBorders>
            <w:shd w:val="clear" w:color="000000" w:fill="FFF2CC"/>
            <w:vAlign w:val="center"/>
            <w:hideMark/>
          </w:tcPr>
          <w:p w14:paraId="02400B7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-18.4%</w:t>
            </w:r>
          </w:p>
        </w:tc>
      </w:tr>
      <w:tr w:rsidR="00A8338E" w:rsidRPr="0048784B" w14:paraId="0A634178"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540FC80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w:t>
            </w:r>
          </w:p>
        </w:tc>
        <w:tc>
          <w:tcPr>
            <w:tcW w:w="1361" w:type="dxa"/>
            <w:tcBorders>
              <w:top w:val="nil"/>
              <w:left w:val="nil"/>
              <w:bottom w:val="single" w:sz="4" w:space="0" w:color="auto"/>
              <w:right w:val="single" w:sz="4" w:space="0" w:color="auto"/>
            </w:tcBorders>
            <w:shd w:val="clear" w:color="000000" w:fill="FFF2CC"/>
            <w:vAlign w:val="center"/>
            <w:hideMark/>
          </w:tcPr>
          <w:p w14:paraId="7C78976A"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-13.2%</w:t>
            </w:r>
          </w:p>
        </w:tc>
        <w:tc>
          <w:tcPr>
            <w:tcW w:w="1361" w:type="dxa"/>
            <w:tcBorders>
              <w:top w:val="nil"/>
              <w:left w:val="nil"/>
              <w:bottom w:val="single" w:sz="4" w:space="0" w:color="auto"/>
              <w:right w:val="single" w:sz="4" w:space="0" w:color="auto"/>
            </w:tcBorders>
            <w:shd w:val="clear" w:color="000000" w:fill="FFF2CC"/>
            <w:vAlign w:val="center"/>
            <w:hideMark/>
          </w:tcPr>
          <w:p w14:paraId="3955C188"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-15.2%</w:t>
            </w:r>
          </w:p>
        </w:tc>
        <w:tc>
          <w:tcPr>
            <w:tcW w:w="1361" w:type="dxa"/>
            <w:tcBorders>
              <w:top w:val="nil"/>
              <w:left w:val="nil"/>
              <w:bottom w:val="single" w:sz="4" w:space="0" w:color="auto"/>
              <w:right w:val="single" w:sz="4" w:space="0" w:color="auto"/>
            </w:tcBorders>
            <w:shd w:val="clear" w:color="000000" w:fill="FFF2CC"/>
            <w:vAlign w:val="center"/>
            <w:hideMark/>
          </w:tcPr>
          <w:p w14:paraId="29EE5A58"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-13.1%</w:t>
            </w:r>
          </w:p>
        </w:tc>
        <w:tc>
          <w:tcPr>
            <w:tcW w:w="1361" w:type="dxa"/>
            <w:tcBorders>
              <w:top w:val="nil"/>
              <w:left w:val="nil"/>
              <w:bottom w:val="single" w:sz="4" w:space="0" w:color="auto"/>
              <w:right w:val="single" w:sz="4" w:space="0" w:color="auto"/>
            </w:tcBorders>
            <w:shd w:val="clear" w:color="000000" w:fill="FFF2CC"/>
            <w:vAlign w:val="center"/>
            <w:hideMark/>
          </w:tcPr>
          <w:p w14:paraId="380CB6F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-15.5%</w:t>
            </w:r>
          </w:p>
        </w:tc>
        <w:tc>
          <w:tcPr>
            <w:tcW w:w="1361" w:type="dxa"/>
            <w:tcBorders>
              <w:top w:val="nil"/>
              <w:left w:val="nil"/>
              <w:bottom w:val="single" w:sz="4" w:space="0" w:color="auto"/>
              <w:right w:val="single" w:sz="4" w:space="0" w:color="auto"/>
            </w:tcBorders>
            <w:shd w:val="clear" w:color="000000" w:fill="FFF2CC"/>
            <w:vAlign w:val="center"/>
            <w:hideMark/>
          </w:tcPr>
          <w:p w14:paraId="5AD2EE4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-17.1%</w:t>
            </w:r>
          </w:p>
        </w:tc>
        <w:tc>
          <w:tcPr>
            <w:tcW w:w="1361" w:type="dxa"/>
            <w:tcBorders>
              <w:top w:val="nil"/>
              <w:left w:val="nil"/>
              <w:bottom w:val="single" w:sz="4" w:space="0" w:color="auto"/>
              <w:right w:val="single" w:sz="4" w:space="0" w:color="auto"/>
            </w:tcBorders>
            <w:shd w:val="clear" w:color="000000" w:fill="FFF2CC"/>
            <w:vAlign w:val="center"/>
            <w:hideMark/>
          </w:tcPr>
          <w:p w14:paraId="690BF282"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-15.0%</w:t>
            </w:r>
          </w:p>
        </w:tc>
      </w:tr>
      <w:tr w:rsidR="00A8338E" w:rsidRPr="0048784B" w14:paraId="3B317FA6"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1CD33CB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w:t>
            </w:r>
          </w:p>
        </w:tc>
        <w:tc>
          <w:tcPr>
            <w:tcW w:w="1361" w:type="dxa"/>
            <w:tcBorders>
              <w:top w:val="nil"/>
              <w:left w:val="nil"/>
              <w:bottom w:val="single" w:sz="4" w:space="0" w:color="auto"/>
              <w:right w:val="single" w:sz="4" w:space="0" w:color="auto"/>
            </w:tcBorders>
            <w:shd w:val="clear" w:color="000000" w:fill="D9E1F2"/>
            <w:vAlign w:val="center"/>
            <w:hideMark/>
          </w:tcPr>
          <w:p w14:paraId="6ECCDAB8"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nil"/>
              <w:left w:val="nil"/>
              <w:bottom w:val="single" w:sz="4" w:space="0" w:color="auto"/>
              <w:right w:val="single" w:sz="4" w:space="0" w:color="auto"/>
            </w:tcBorders>
            <w:shd w:val="clear" w:color="000000" w:fill="D9E1F2"/>
            <w:vAlign w:val="center"/>
            <w:hideMark/>
          </w:tcPr>
          <w:p w14:paraId="43EFC56C"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-8.6%</w:t>
            </w:r>
          </w:p>
        </w:tc>
        <w:tc>
          <w:tcPr>
            <w:tcW w:w="1361" w:type="dxa"/>
            <w:tcBorders>
              <w:top w:val="nil"/>
              <w:left w:val="nil"/>
              <w:bottom w:val="single" w:sz="4" w:space="0" w:color="auto"/>
              <w:right w:val="single" w:sz="4" w:space="0" w:color="auto"/>
            </w:tcBorders>
            <w:shd w:val="clear" w:color="000000" w:fill="D9E1F2"/>
            <w:vAlign w:val="center"/>
            <w:hideMark/>
          </w:tcPr>
          <w:p w14:paraId="60758E62"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-7.9%</w:t>
            </w:r>
          </w:p>
        </w:tc>
        <w:tc>
          <w:tcPr>
            <w:tcW w:w="1361" w:type="dxa"/>
            <w:tcBorders>
              <w:top w:val="nil"/>
              <w:left w:val="nil"/>
              <w:bottom w:val="single" w:sz="4" w:space="0" w:color="auto"/>
              <w:right w:val="single" w:sz="4" w:space="0" w:color="auto"/>
            </w:tcBorders>
            <w:shd w:val="clear" w:color="000000" w:fill="D9E1F2"/>
            <w:vAlign w:val="center"/>
            <w:hideMark/>
          </w:tcPr>
          <w:p w14:paraId="18E430C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nil"/>
              <w:left w:val="nil"/>
              <w:bottom w:val="single" w:sz="4" w:space="0" w:color="auto"/>
              <w:right w:val="single" w:sz="4" w:space="0" w:color="auto"/>
            </w:tcBorders>
            <w:shd w:val="clear" w:color="000000" w:fill="D9E1F2"/>
            <w:vAlign w:val="center"/>
            <w:hideMark/>
          </w:tcPr>
          <w:p w14:paraId="052F05DA"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-8.1%</w:t>
            </w:r>
          </w:p>
        </w:tc>
        <w:tc>
          <w:tcPr>
            <w:tcW w:w="1361" w:type="dxa"/>
            <w:tcBorders>
              <w:top w:val="nil"/>
              <w:left w:val="nil"/>
              <w:bottom w:val="single" w:sz="4" w:space="0" w:color="auto"/>
              <w:right w:val="single" w:sz="4" w:space="0" w:color="auto"/>
            </w:tcBorders>
            <w:shd w:val="clear" w:color="000000" w:fill="D9E1F2"/>
            <w:vAlign w:val="center"/>
            <w:hideMark/>
          </w:tcPr>
          <w:p w14:paraId="78003656"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-7.3%</w:t>
            </w:r>
          </w:p>
        </w:tc>
      </w:tr>
      <w:tr w:rsidR="00A8338E" w:rsidRPr="0048784B" w14:paraId="4F2E04B5"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74FAC74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PR2</w:t>
            </w:r>
          </w:p>
        </w:tc>
        <w:tc>
          <w:tcPr>
            <w:tcW w:w="1361" w:type="dxa"/>
            <w:tcBorders>
              <w:top w:val="nil"/>
              <w:left w:val="nil"/>
              <w:bottom w:val="single" w:sz="4" w:space="0" w:color="auto"/>
              <w:right w:val="single" w:sz="4" w:space="0" w:color="auto"/>
            </w:tcBorders>
            <w:shd w:val="clear" w:color="000000" w:fill="D9E1F2"/>
            <w:vAlign w:val="center"/>
            <w:hideMark/>
          </w:tcPr>
          <w:p w14:paraId="53BB4BE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nil"/>
              <w:left w:val="nil"/>
              <w:bottom w:val="single" w:sz="4" w:space="0" w:color="auto"/>
              <w:right w:val="single" w:sz="4" w:space="0" w:color="auto"/>
            </w:tcBorders>
            <w:shd w:val="clear" w:color="000000" w:fill="D9E1F2"/>
            <w:vAlign w:val="center"/>
            <w:hideMark/>
          </w:tcPr>
          <w:p w14:paraId="535AB80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-8.6%</w:t>
            </w:r>
          </w:p>
        </w:tc>
        <w:tc>
          <w:tcPr>
            <w:tcW w:w="1361" w:type="dxa"/>
            <w:tcBorders>
              <w:top w:val="nil"/>
              <w:left w:val="nil"/>
              <w:bottom w:val="single" w:sz="4" w:space="0" w:color="auto"/>
              <w:right w:val="single" w:sz="4" w:space="0" w:color="auto"/>
            </w:tcBorders>
            <w:shd w:val="clear" w:color="000000" w:fill="D9E1F2"/>
            <w:vAlign w:val="center"/>
            <w:hideMark/>
          </w:tcPr>
          <w:p w14:paraId="5A51B9D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-7.9%</w:t>
            </w:r>
          </w:p>
        </w:tc>
        <w:tc>
          <w:tcPr>
            <w:tcW w:w="1361" w:type="dxa"/>
            <w:tcBorders>
              <w:top w:val="nil"/>
              <w:left w:val="nil"/>
              <w:bottom w:val="single" w:sz="4" w:space="0" w:color="auto"/>
              <w:right w:val="single" w:sz="4" w:space="0" w:color="auto"/>
            </w:tcBorders>
            <w:shd w:val="clear" w:color="000000" w:fill="D9E1F2"/>
            <w:vAlign w:val="center"/>
            <w:hideMark/>
          </w:tcPr>
          <w:p w14:paraId="0C53E8F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-7.4%</w:t>
            </w:r>
          </w:p>
        </w:tc>
        <w:tc>
          <w:tcPr>
            <w:tcW w:w="1361" w:type="dxa"/>
            <w:tcBorders>
              <w:top w:val="nil"/>
              <w:left w:val="nil"/>
              <w:bottom w:val="single" w:sz="4" w:space="0" w:color="auto"/>
              <w:right w:val="single" w:sz="4" w:space="0" w:color="auto"/>
            </w:tcBorders>
            <w:shd w:val="clear" w:color="000000" w:fill="D9E1F2"/>
            <w:vAlign w:val="center"/>
            <w:hideMark/>
          </w:tcPr>
          <w:p w14:paraId="0A1C2BF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-8.1%</w:t>
            </w:r>
          </w:p>
        </w:tc>
        <w:tc>
          <w:tcPr>
            <w:tcW w:w="1361" w:type="dxa"/>
            <w:tcBorders>
              <w:top w:val="nil"/>
              <w:left w:val="nil"/>
              <w:bottom w:val="single" w:sz="4" w:space="0" w:color="auto"/>
              <w:right w:val="single" w:sz="4" w:space="0" w:color="auto"/>
            </w:tcBorders>
            <w:shd w:val="clear" w:color="000000" w:fill="D9E1F2"/>
            <w:vAlign w:val="center"/>
            <w:hideMark/>
          </w:tcPr>
          <w:p w14:paraId="75D0327E"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-7.3%</w:t>
            </w:r>
          </w:p>
        </w:tc>
      </w:tr>
      <w:tr w:rsidR="00A8338E" w:rsidRPr="0048784B" w14:paraId="5EF1841B"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33777430"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w:t>
            </w:r>
          </w:p>
        </w:tc>
        <w:tc>
          <w:tcPr>
            <w:tcW w:w="1361" w:type="dxa"/>
            <w:tcBorders>
              <w:top w:val="nil"/>
              <w:left w:val="nil"/>
              <w:bottom w:val="single" w:sz="4" w:space="0" w:color="auto"/>
              <w:right w:val="single" w:sz="4" w:space="0" w:color="auto"/>
            </w:tcBorders>
            <w:shd w:val="clear" w:color="000000" w:fill="D9E1F2"/>
            <w:vAlign w:val="center"/>
            <w:hideMark/>
          </w:tcPr>
          <w:p w14:paraId="08B12683"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-12.5%</w:t>
            </w:r>
          </w:p>
        </w:tc>
        <w:tc>
          <w:tcPr>
            <w:tcW w:w="1361" w:type="dxa"/>
            <w:tcBorders>
              <w:top w:val="nil"/>
              <w:left w:val="nil"/>
              <w:bottom w:val="single" w:sz="4" w:space="0" w:color="auto"/>
              <w:right w:val="single" w:sz="4" w:space="0" w:color="auto"/>
            </w:tcBorders>
            <w:shd w:val="clear" w:color="000000" w:fill="D9E1F2"/>
            <w:vAlign w:val="center"/>
            <w:hideMark/>
          </w:tcPr>
          <w:p w14:paraId="0F1F379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-14.5%</w:t>
            </w:r>
          </w:p>
        </w:tc>
        <w:tc>
          <w:tcPr>
            <w:tcW w:w="1361" w:type="dxa"/>
            <w:tcBorders>
              <w:top w:val="nil"/>
              <w:left w:val="nil"/>
              <w:bottom w:val="single" w:sz="4" w:space="0" w:color="auto"/>
              <w:right w:val="single" w:sz="4" w:space="0" w:color="auto"/>
            </w:tcBorders>
            <w:shd w:val="clear" w:color="000000" w:fill="D9E1F2"/>
            <w:vAlign w:val="center"/>
            <w:hideMark/>
          </w:tcPr>
          <w:p w14:paraId="3BA4B16A"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-12.5%</w:t>
            </w:r>
          </w:p>
        </w:tc>
        <w:tc>
          <w:tcPr>
            <w:tcW w:w="1361" w:type="dxa"/>
            <w:tcBorders>
              <w:top w:val="nil"/>
              <w:left w:val="nil"/>
              <w:bottom w:val="single" w:sz="4" w:space="0" w:color="auto"/>
              <w:right w:val="single" w:sz="4" w:space="0" w:color="auto"/>
            </w:tcBorders>
            <w:shd w:val="clear" w:color="000000" w:fill="D9E1F2"/>
            <w:vAlign w:val="center"/>
            <w:hideMark/>
          </w:tcPr>
          <w:p w14:paraId="3836F844"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-14.6%</w:t>
            </w:r>
          </w:p>
        </w:tc>
        <w:tc>
          <w:tcPr>
            <w:tcW w:w="1361" w:type="dxa"/>
            <w:tcBorders>
              <w:top w:val="nil"/>
              <w:left w:val="nil"/>
              <w:bottom w:val="single" w:sz="4" w:space="0" w:color="auto"/>
              <w:right w:val="single" w:sz="4" w:space="0" w:color="auto"/>
            </w:tcBorders>
            <w:shd w:val="clear" w:color="000000" w:fill="D9E1F2"/>
            <w:vAlign w:val="center"/>
            <w:hideMark/>
          </w:tcPr>
          <w:p w14:paraId="2FDF0A7E"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-16.0%</w:t>
            </w:r>
          </w:p>
        </w:tc>
        <w:tc>
          <w:tcPr>
            <w:tcW w:w="1361" w:type="dxa"/>
            <w:tcBorders>
              <w:top w:val="nil"/>
              <w:left w:val="nil"/>
              <w:bottom w:val="single" w:sz="4" w:space="0" w:color="auto"/>
              <w:right w:val="single" w:sz="4" w:space="0" w:color="auto"/>
            </w:tcBorders>
            <w:shd w:val="clear" w:color="000000" w:fill="D9E1F2"/>
            <w:vAlign w:val="center"/>
            <w:hideMark/>
          </w:tcPr>
          <w:p w14:paraId="1AA249A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-14.2%</w:t>
            </w:r>
          </w:p>
        </w:tc>
      </w:tr>
      <w:tr w:rsidR="00A8338E" w:rsidRPr="0048784B" w14:paraId="15E451B1"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7265EF39"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 + PT1</w:t>
            </w:r>
          </w:p>
        </w:tc>
        <w:tc>
          <w:tcPr>
            <w:tcW w:w="1361" w:type="dxa"/>
            <w:tcBorders>
              <w:top w:val="nil"/>
              <w:left w:val="nil"/>
              <w:bottom w:val="single" w:sz="4" w:space="0" w:color="auto"/>
              <w:right w:val="single" w:sz="4" w:space="0" w:color="auto"/>
            </w:tcBorders>
            <w:shd w:val="clear" w:color="000000" w:fill="FFF2CC"/>
            <w:vAlign w:val="center"/>
            <w:hideMark/>
          </w:tcPr>
          <w:p w14:paraId="4B9761B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-19.2%</w:t>
            </w:r>
          </w:p>
        </w:tc>
        <w:tc>
          <w:tcPr>
            <w:tcW w:w="1361" w:type="dxa"/>
            <w:tcBorders>
              <w:top w:val="nil"/>
              <w:left w:val="nil"/>
              <w:bottom w:val="single" w:sz="4" w:space="0" w:color="auto"/>
              <w:right w:val="single" w:sz="4" w:space="0" w:color="auto"/>
            </w:tcBorders>
            <w:shd w:val="clear" w:color="000000" w:fill="FFF2CC"/>
            <w:vAlign w:val="center"/>
            <w:hideMark/>
          </w:tcPr>
          <w:p w14:paraId="098D1EE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-22.3%</w:t>
            </w:r>
          </w:p>
        </w:tc>
        <w:tc>
          <w:tcPr>
            <w:tcW w:w="1361" w:type="dxa"/>
            <w:tcBorders>
              <w:top w:val="nil"/>
              <w:left w:val="nil"/>
              <w:bottom w:val="single" w:sz="4" w:space="0" w:color="auto"/>
              <w:right w:val="single" w:sz="4" w:space="0" w:color="auto"/>
            </w:tcBorders>
            <w:shd w:val="clear" w:color="000000" w:fill="FFF2CC"/>
            <w:vAlign w:val="center"/>
            <w:hideMark/>
          </w:tcPr>
          <w:p w14:paraId="05E625FC"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-19.5%</w:t>
            </w:r>
          </w:p>
        </w:tc>
        <w:tc>
          <w:tcPr>
            <w:tcW w:w="1361" w:type="dxa"/>
            <w:tcBorders>
              <w:top w:val="nil"/>
              <w:left w:val="nil"/>
              <w:bottom w:val="single" w:sz="4" w:space="0" w:color="auto"/>
              <w:right w:val="single" w:sz="4" w:space="0" w:color="auto"/>
            </w:tcBorders>
            <w:shd w:val="clear" w:color="000000" w:fill="FFF2CC"/>
            <w:vAlign w:val="center"/>
            <w:hideMark/>
          </w:tcPr>
          <w:p w14:paraId="694BE745"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-20.8%</w:t>
            </w:r>
          </w:p>
        </w:tc>
        <w:tc>
          <w:tcPr>
            <w:tcW w:w="1361" w:type="dxa"/>
            <w:tcBorders>
              <w:top w:val="nil"/>
              <w:left w:val="nil"/>
              <w:bottom w:val="single" w:sz="4" w:space="0" w:color="auto"/>
              <w:right w:val="single" w:sz="4" w:space="0" w:color="auto"/>
            </w:tcBorders>
            <w:shd w:val="clear" w:color="000000" w:fill="FFF2CC"/>
            <w:vAlign w:val="center"/>
            <w:hideMark/>
          </w:tcPr>
          <w:p w14:paraId="1FF44126"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-22.9%</w:t>
            </w:r>
          </w:p>
        </w:tc>
        <w:tc>
          <w:tcPr>
            <w:tcW w:w="1361" w:type="dxa"/>
            <w:tcBorders>
              <w:top w:val="nil"/>
              <w:left w:val="nil"/>
              <w:bottom w:val="single" w:sz="4" w:space="0" w:color="auto"/>
              <w:right w:val="single" w:sz="4" w:space="0" w:color="auto"/>
            </w:tcBorders>
            <w:shd w:val="clear" w:color="000000" w:fill="FFF2CC"/>
            <w:vAlign w:val="center"/>
            <w:hideMark/>
          </w:tcPr>
          <w:p w14:paraId="787404A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-20.5%</w:t>
            </w:r>
          </w:p>
        </w:tc>
      </w:tr>
      <w:tr w:rsidR="00A8338E" w:rsidRPr="0048784B" w14:paraId="36982B3C"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731EBC0E"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BW1 + PT1 + PT2</w:t>
            </w:r>
          </w:p>
        </w:tc>
        <w:tc>
          <w:tcPr>
            <w:tcW w:w="1361" w:type="dxa"/>
            <w:tcBorders>
              <w:top w:val="nil"/>
              <w:left w:val="nil"/>
              <w:bottom w:val="single" w:sz="4" w:space="0" w:color="auto"/>
              <w:right w:val="single" w:sz="4" w:space="0" w:color="auto"/>
            </w:tcBorders>
            <w:shd w:val="clear" w:color="000000" w:fill="FFF2CC"/>
            <w:vAlign w:val="center"/>
            <w:hideMark/>
          </w:tcPr>
          <w:p w14:paraId="7D214D3C"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-20.1%</w:t>
            </w:r>
          </w:p>
        </w:tc>
        <w:tc>
          <w:tcPr>
            <w:tcW w:w="1361" w:type="dxa"/>
            <w:tcBorders>
              <w:top w:val="nil"/>
              <w:left w:val="nil"/>
              <w:bottom w:val="single" w:sz="4" w:space="0" w:color="auto"/>
              <w:right w:val="single" w:sz="4" w:space="0" w:color="auto"/>
            </w:tcBorders>
            <w:shd w:val="clear" w:color="000000" w:fill="FFF2CC"/>
            <w:vAlign w:val="center"/>
            <w:hideMark/>
          </w:tcPr>
          <w:p w14:paraId="019CE33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-23.3%</w:t>
            </w:r>
          </w:p>
        </w:tc>
        <w:tc>
          <w:tcPr>
            <w:tcW w:w="1361" w:type="dxa"/>
            <w:tcBorders>
              <w:top w:val="nil"/>
              <w:left w:val="nil"/>
              <w:bottom w:val="single" w:sz="4" w:space="0" w:color="auto"/>
              <w:right w:val="single" w:sz="4" w:space="0" w:color="auto"/>
            </w:tcBorders>
            <w:shd w:val="clear" w:color="000000" w:fill="FFF2CC"/>
            <w:vAlign w:val="center"/>
            <w:hideMark/>
          </w:tcPr>
          <w:p w14:paraId="7AC5AEE3"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-20.3%</w:t>
            </w:r>
          </w:p>
        </w:tc>
        <w:tc>
          <w:tcPr>
            <w:tcW w:w="1361" w:type="dxa"/>
            <w:tcBorders>
              <w:top w:val="nil"/>
              <w:left w:val="nil"/>
              <w:bottom w:val="single" w:sz="4" w:space="0" w:color="auto"/>
              <w:right w:val="single" w:sz="4" w:space="0" w:color="auto"/>
            </w:tcBorders>
            <w:shd w:val="clear" w:color="000000" w:fill="FFF2CC"/>
            <w:vAlign w:val="center"/>
            <w:hideMark/>
          </w:tcPr>
          <w:p w14:paraId="0CD3289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-21.9%</w:t>
            </w:r>
          </w:p>
        </w:tc>
        <w:tc>
          <w:tcPr>
            <w:tcW w:w="1361" w:type="dxa"/>
            <w:tcBorders>
              <w:top w:val="nil"/>
              <w:left w:val="nil"/>
              <w:bottom w:val="single" w:sz="4" w:space="0" w:color="auto"/>
              <w:right w:val="single" w:sz="4" w:space="0" w:color="auto"/>
            </w:tcBorders>
            <w:shd w:val="clear" w:color="000000" w:fill="FFF2CC"/>
            <w:vAlign w:val="center"/>
            <w:hideMark/>
          </w:tcPr>
          <w:p w14:paraId="1BC9CE8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-24.1%</w:t>
            </w:r>
          </w:p>
        </w:tc>
        <w:tc>
          <w:tcPr>
            <w:tcW w:w="1361" w:type="dxa"/>
            <w:tcBorders>
              <w:top w:val="nil"/>
              <w:left w:val="nil"/>
              <w:bottom w:val="single" w:sz="4" w:space="0" w:color="auto"/>
              <w:right w:val="single" w:sz="4" w:space="0" w:color="auto"/>
            </w:tcBorders>
            <w:shd w:val="clear" w:color="000000" w:fill="FFF2CC"/>
            <w:vAlign w:val="center"/>
            <w:hideMark/>
          </w:tcPr>
          <w:p w14:paraId="2803D892"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-21.4%</w:t>
            </w:r>
          </w:p>
        </w:tc>
      </w:tr>
      <w:tr w:rsidR="00A8338E" w:rsidRPr="0048784B" w14:paraId="79740B7D"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06BF809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BW2 + PT1 + PT2</w:t>
            </w:r>
          </w:p>
        </w:tc>
        <w:tc>
          <w:tcPr>
            <w:tcW w:w="1361" w:type="dxa"/>
            <w:tcBorders>
              <w:top w:val="nil"/>
              <w:left w:val="nil"/>
              <w:bottom w:val="single" w:sz="4" w:space="0" w:color="auto"/>
              <w:right w:val="single" w:sz="4" w:space="0" w:color="auto"/>
            </w:tcBorders>
            <w:shd w:val="clear" w:color="000000" w:fill="FFF2CC"/>
            <w:vAlign w:val="center"/>
            <w:hideMark/>
          </w:tcPr>
          <w:p w14:paraId="7BB56BA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-18.6%</w:t>
            </w:r>
          </w:p>
        </w:tc>
        <w:tc>
          <w:tcPr>
            <w:tcW w:w="1361" w:type="dxa"/>
            <w:tcBorders>
              <w:top w:val="nil"/>
              <w:left w:val="nil"/>
              <w:bottom w:val="single" w:sz="4" w:space="0" w:color="auto"/>
              <w:right w:val="single" w:sz="4" w:space="0" w:color="auto"/>
            </w:tcBorders>
            <w:shd w:val="clear" w:color="000000" w:fill="FFF2CC"/>
            <w:vAlign w:val="center"/>
            <w:hideMark/>
          </w:tcPr>
          <w:p w14:paraId="79F10D4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-21.5%</w:t>
            </w:r>
          </w:p>
        </w:tc>
        <w:tc>
          <w:tcPr>
            <w:tcW w:w="1361" w:type="dxa"/>
            <w:tcBorders>
              <w:top w:val="nil"/>
              <w:left w:val="nil"/>
              <w:bottom w:val="single" w:sz="4" w:space="0" w:color="auto"/>
              <w:right w:val="single" w:sz="4" w:space="0" w:color="auto"/>
            </w:tcBorders>
            <w:shd w:val="clear" w:color="000000" w:fill="FFF2CC"/>
            <w:vAlign w:val="center"/>
            <w:hideMark/>
          </w:tcPr>
          <w:p w14:paraId="2F988FE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-19.1%</w:t>
            </w:r>
          </w:p>
        </w:tc>
        <w:tc>
          <w:tcPr>
            <w:tcW w:w="1361" w:type="dxa"/>
            <w:tcBorders>
              <w:top w:val="nil"/>
              <w:left w:val="nil"/>
              <w:bottom w:val="single" w:sz="4" w:space="0" w:color="auto"/>
              <w:right w:val="single" w:sz="4" w:space="0" w:color="auto"/>
            </w:tcBorders>
            <w:shd w:val="clear" w:color="000000" w:fill="FFF2CC"/>
            <w:vAlign w:val="center"/>
            <w:hideMark/>
          </w:tcPr>
          <w:p w14:paraId="0AD562A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-20.3%</w:t>
            </w:r>
          </w:p>
        </w:tc>
        <w:tc>
          <w:tcPr>
            <w:tcW w:w="1361" w:type="dxa"/>
            <w:tcBorders>
              <w:top w:val="nil"/>
              <w:left w:val="nil"/>
              <w:bottom w:val="single" w:sz="4" w:space="0" w:color="auto"/>
              <w:right w:val="single" w:sz="4" w:space="0" w:color="auto"/>
            </w:tcBorders>
            <w:shd w:val="clear" w:color="000000" w:fill="FFF2CC"/>
            <w:vAlign w:val="center"/>
            <w:hideMark/>
          </w:tcPr>
          <w:p w14:paraId="3736F41E"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-22.3%</w:t>
            </w:r>
          </w:p>
        </w:tc>
        <w:tc>
          <w:tcPr>
            <w:tcW w:w="1361" w:type="dxa"/>
            <w:tcBorders>
              <w:top w:val="nil"/>
              <w:left w:val="nil"/>
              <w:bottom w:val="single" w:sz="4" w:space="0" w:color="auto"/>
              <w:right w:val="single" w:sz="4" w:space="0" w:color="auto"/>
            </w:tcBorders>
            <w:shd w:val="clear" w:color="000000" w:fill="FFF2CC"/>
            <w:vAlign w:val="center"/>
            <w:hideMark/>
          </w:tcPr>
          <w:p w14:paraId="523FED0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-20.1%</w:t>
            </w:r>
          </w:p>
        </w:tc>
      </w:tr>
      <w:tr w:rsidR="00A8338E" w:rsidRPr="0048784B" w14:paraId="2D793C43"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73E9A93A"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 + PT1</w:t>
            </w:r>
          </w:p>
        </w:tc>
        <w:tc>
          <w:tcPr>
            <w:tcW w:w="1361" w:type="dxa"/>
            <w:tcBorders>
              <w:top w:val="nil"/>
              <w:left w:val="nil"/>
              <w:bottom w:val="single" w:sz="4" w:space="0" w:color="auto"/>
              <w:right w:val="single" w:sz="4" w:space="0" w:color="auto"/>
            </w:tcBorders>
            <w:shd w:val="clear" w:color="000000" w:fill="FFF2CC"/>
            <w:vAlign w:val="center"/>
            <w:hideMark/>
          </w:tcPr>
          <w:p w14:paraId="660E08C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-13.9%</w:t>
            </w:r>
          </w:p>
        </w:tc>
        <w:tc>
          <w:tcPr>
            <w:tcW w:w="1361" w:type="dxa"/>
            <w:tcBorders>
              <w:top w:val="nil"/>
              <w:left w:val="nil"/>
              <w:bottom w:val="single" w:sz="4" w:space="0" w:color="auto"/>
              <w:right w:val="single" w:sz="4" w:space="0" w:color="auto"/>
            </w:tcBorders>
            <w:shd w:val="clear" w:color="000000" w:fill="FFF2CC"/>
            <w:vAlign w:val="center"/>
            <w:hideMark/>
          </w:tcPr>
          <w:p w14:paraId="4373E475"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-16.1%</w:t>
            </w:r>
          </w:p>
        </w:tc>
        <w:tc>
          <w:tcPr>
            <w:tcW w:w="1361" w:type="dxa"/>
            <w:tcBorders>
              <w:top w:val="nil"/>
              <w:left w:val="nil"/>
              <w:bottom w:val="single" w:sz="4" w:space="0" w:color="auto"/>
              <w:right w:val="single" w:sz="4" w:space="0" w:color="auto"/>
            </w:tcBorders>
            <w:shd w:val="clear" w:color="000000" w:fill="FFF2CC"/>
            <w:vAlign w:val="center"/>
            <w:hideMark/>
          </w:tcPr>
          <w:p w14:paraId="50102363"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-13.8%</w:t>
            </w:r>
          </w:p>
        </w:tc>
        <w:tc>
          <w:tcPr>
            <w:tcW w:w="1361" w:type="dxa"/>
            <w:tcBorders>
              <w:top w:val="nil"/>
              <w:left w:val="nil"/>
              <w:bottom w:val="single" w:sz="4" w:space="0" w:color="auto"/>
              <w:right w:val="single" w:sz="4" w:space="0" w:color="auto"/>
            </w:tcBorders>
            <w:shd w:val="clear" w:color="000000" w:fill="FFF2CC"/>
            <w:vAlign w:val="center"/>
            <w:hideMark/>
          </w:tcPr>
          <w:p w14:paraId="162A605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-16.2%</w:t>
            </w:r>
          </w:p>
        </w:tc>
        <w:tc>
          <w:tcPr>
            <w:tcW w:w="1361" w:type="dxa"/>
            <w:tcBorders>
              <w:top w:val="nil"/>
              <w:left w:val="nil"/>
              <w:bottom w:val="single" w:sz="4" w:space="0" w:color="auto"/>
              <w:right w:val="single" w:sz="4" w:space="0" w:color="auto"/>
            </w:tcBorders>
            <w:shd w:val="clear" w:color="000000" w:fill="FFF2CC"/>
            <w:vAlign w:val="center"/>
            <w:hideMark/>
          </w:tcPr>
          <w:p w14:paraId="72BF89A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-17.9%</w:t>
            </w:r>
          </w:p>
        </w:tc>
        <w:tc>
          <w:tcPr>
            <w:tcW w:w="1361" w:type="dxa"/>
            <w:tcBorders>
              <w:top w:val="nil"/>
              <w:left w:val="nil"/>
              <w:bottom w:val="single" w:sz="4" w:space="0" w:color="auto"/>
              <w:right w:val="single" w:sz="4" w:space="0" w:color="auto"/>
            </w:tcBorders>
            <w:shd w:val="clear" w:color="000000" w:fill="FFF2CC"/>
            <w:vAlign w:val="center"/>
            <w:hideMark/>
          </w:tcPr>
          <w:p w14:paraId="390FC805"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-15.7%</w:t>
            </w:r>
          </w:p>
        </w:tc>
      </w:tr>
      <w:tr w:rsidR="00A8338E" w:rsidRPr="0048784B" w14:paraId="0489E14B"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FFF2CC"/>
            <w:vAlign w:val="center"/>
            <w:hideMark/>
          </w:tcPr>
          <w:p w14:paraId="1F09A504"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BW3 + PT1 + PT2</w:t>
            </w:r>
          </w:p>
        </w:tc>
        <w:tc>
          <w:tcPr>
            <w:tcW w:w="1361" w:type="dxa"/>
            <w:tcBorders>
              <w:top w:val="nil"/>
              <w:left w:val="nil"/>
              <w:bottom w:val="single" w:sz="4" w:space="0" w:color="auto"/>
              <w:right w:val="single" w:sz="4" w:space="0" w:color="auto"/>
            </w:tcBorders>
            <w:shd w:val="clear" w:color="000000" w:fill="FFF2CC"/>
            <w:vAlign w:val="center"/>
            <w:hideMark/>
          </w:tcPr>
          <w:p w14:paraId="500C59A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-14.9%</w:t>
            </w:r>
          </w:p>
        </w:tc>
        <w:tc>
          <w:tcPr>
            <w:tcW w:w="1361" w:type="dxa"/>
            <w:tcBorders>
              <w:top w:val="nil"/>
              <w:left w:val="nil"/>
              <w:bottom w:val="single" w:sz="4" w:space="0" w:color="auto"/>
              <w:right w:val="single" w:sz="4" w:space="0" w:color="auto"/>
            </w:tcBorders>
            <w:shd w:val="clear" w:color="000000" w:fill="FFF2CC"/>
            <w:vAlign w:val="center"/>
            <w:hideMark/>
          </w:tcPr>
          <w:p w14:paraId="04D8354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-17.2%</w:t>
            </w:r>
          </w:p>
        </w:tc>
        <w:tc>
          <w:tcPr>
            <w:tcW w:w="1361" w:type="dxa"/>
            <w:tcBorders>
              <w:top w:val="nil"/>
              <w:left w:val="nil"/>
              <w:bottom w:val="single" w:sz="4" w:space="0" w:color="auto"/>
              <w:right w:val="single" w:sz="4" w:space="0" w:color="auto"/>
            </w:tcBorders>
            <w:shd w:val="clear" w:color="000000" w:fill="FFF2CC"/>
            <w:vAlign w:val="center"/>
            <w:hideMark/>
          </w:tcPr>
          <w:p w14:paraId="7580EE4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-14.8%</w:t>
            </w:r>
          </w:p>
        </w:tc>
        <w:tc>
          <w:tcPr>
            <w:tcW w:w="1361" w:type="dxa"/>
            <w:tcBorders>
              <w:top w:val="nil"/>
              <w:left w:val="nil"/>
              <w:bottom w:val="single" w:sz="4" w:space="0" w:color="auto"/>
              <w:right w:val="single" w:sz="4" w:space="0" w:color="auto"/>
            </w:tcBorders>
            <w:shd w:val="clear" w:color="000000" w:fill="FFF2CC"/>
            <w:vAlign w:val="center"/>
            <w:hideMark/>
          </w:tcPr>
          <w:p w14:paraId="6E424C45"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-17.4%</w:t>
            </w:r>
          </w:p>
        </w:tc>
        <w:tc>
          <w:tcPr>
            <w:tcW w:w="1361" w:type="dxa"/>
            <w:tcBorders>
              <w:top w:val="nil"/>
              <w:left w:val="nil"/>
              <w:bottom w:val="single" w:sz="4" w:space="0" w:color="auto"/>
              <w:right w:val="single" w:sz="4" w:space="0" w:color="auto"/>
            </w:tcBorders>
            <w:shd w:val="clear" w:color="000000" w:fill="FFF2CC"/>
            <w:vAlign w:val="center"/>
            <w:hideMark/>
          </w:tcPr>
          <w:p w14:paraId="0074E6A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-19.1%</w:t>
            </w:r>
          </w:p>
        </w:tc>
        <w:tc>
          <w:tcPr>
            <w:tcW w:w="1361" w:type="dxa"/>
            <w:tcBorders>
              <w:top w:val="nil"/>
              <w:left w:val="nil"/>
              <w:bottom w:val="single" w:sz="4" w:space="0" w:color="auto"/>
              <w:right w:val="single" w:sz="4" w:space="0" w:color="auto"/>
            </w:tcBorders>
            <w:shd w:val="clear" w:color="000000" w:fill="FFF2CC"/>
            <w:vAlign w:val="center"/>
            <w:hideMark/>
          </w:tcPr>
          <w:p w14:paraId="1FC2858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-16.8%</w:t>
            </w:r>
          </w:p>
        </w:tc>
      </w:tr>
      <w:tr w:rsidR="00A8338E" w:rsidRPr="0048784B" w14:paraId="5B5A02D3"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3894B747"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 + PT1</w:t>
            </w:r>
          </w:p>
        </w:tc>
        <w:tc>
          <w:tcPr>
            <w:tcW w:w="1361" w:type="dxa"/>
            <w:tcBorders>
              <w:top w:val="nil"/>
              <w:left w:val="nil"/>
              <w:bottom w:val="single" w:sz="4" w:space="0" w:color="auto"/>
              <w:right w:val="single" w:sz="4" w:space="0" w:color="auto"/>
            </w:tcBorders>
            <w:shd w:val="clear" w:color="000000" w:fill="D9E1F2"/>
            <w:vAlign w:val="center"/>
            <w:hideMark/>
          </w:tcPr>
          <w:p w14:paraId="3C47E364"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-7.8%</w:t>
            </w:r>
          </w:p>
        </w:tc>
        <w:tc>
          <w:tcPr>
            <w:tcW w:w="1361" w:type="dxa"/>
            <w:tcBorders>
              <w:top w:val="nil"/>
              <w:left w:val="nil"/>
              <w:bottom w:val="single" w:sz="4" w:space="0" w:color="auto"/>
              <w:right w:val="single" w:sz="4" w:space="0" w:color="auto"/>
            </w:tcBorders>
            <w:shd w:val="clear" w:color="000000" w:fill="D9E1F2"/>
            <w:vAlign w:val="center"/>
            <w:hideMark/>
          </w:tcPr>
          <w:p w14:paraId="2CEB452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-9.0%</w:t>
            </w:r>
          </w:p>
        </w:tc>
        <w:tc>
          <w:tcPr>
            <w:tcW w:w="1361" w:type="dxa"/>
            <w:tcBorders>
              <w:top w:val="nil"/>
              <w:left w:val="nil"/>
              <w:bottom w:val="single" w:sz="4" w:space="0" w:color="auto"/>
              <w:right w:val="single" w:sz="4" w:space="0" w:color="auto"/>
            </w:tcBorders>
            <w:shd w:val="clear" w:color="000000" w:fill="D9E1F2"/>
            <w:vAlign w:val="center"/>
            <w:hideMark/>
          </w:tcPr>
          <w:p w14:paraId="58C8AA2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-8.4%</w:t>
            </w:r>
          </w:p>
        </w:tc>
        <w:tc>
          <w:tcPr>
            <w:tcW w:w="1361" w:type="dxa"/>
            <w:tcBorders>
              <w:top w:val="nil"/>
              <w:left w:val="nil"/>
              <w:bottom w:val="single" w:sz="4" w:space="0" w:color="auto"/>
              <w:right w:val="single" w:sz="4" w:space="0" w:color="auto"/>
            </w:tcBorders>
            <w:shd w:val="clear" w:color="000000" w:fill="D9E1F2"/>
            <w:vAlign w:val="center"/>
            <w:hideMark/>
          </w:tcPr>
          <w:p w14:paraId="2533A056" w14:textId="038EDC7A"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w:t>
            </w:r>
            <w:r w:rsidR="00E620AF">
              <w:rPr>
                <w:rFonts w:eastAsia="Times New Roman"/>
                <w:lang w:val="en-US"/>
              </w:rPr>
              <w:t>7.8</w:t>
            </w:r>
            <w:r w:rsidRPr="004C0C03">
              <w:rPr>
                <w:rFonts w:eastAsia="Times New Roman"/>
                <w:lang w:val="en-US"/>
              </w:rPr>
              <w:t>%</w:t>
            </w:r>
          </w:p>
        </w:tc>
        <w:tc>
          <w:tcPr>
            <w:tcW w:w="1361" w:type="dxa"/>
            <w:tcBorders>
              <w:top w:val="nil"/>
              <w:left w:val="nil"/>
              <w:bottom w:val="single" w:sz="4" w:space="0" w:color="auto"/>
              <w:right w:val="single" w:sz="4" w:space="0" w:color="auto"/>
            </w:tcBorders>
            <w:shd w:val="clear" w:color="000000" w:fill="D9E1F2"/>
            <w:vAlign w:val="center"/>
            <w:hideMark/>
          </w:tcPr>
          <w:p w14:paraId="489ACFBE"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-8.5%</w:t>
            </w:r>
          </w:p>
        </w:tc>
        <w:tc>
          <w:tcPr>
            <w:tcW w:w="1361" w:type="dxa"/>
            <w:tcBorders>
              <w:top w:val="nil"/>
              <w:left w:val="nil"/>
              <w:bottom w:val="single" w:sz="4" w:space="0" w:color="auto"/>
              <w:right w:val="single" w:sz="4" w:space="0" w:color="auto"/>
            </w:tcBorders>
            <w:shd w:val="clear" w:color="000000" w:fill="D9E1F2"/>
            <w:vAlign w:val="center"/>
            <w:hideMark/>
          </w:tcPr>
          <w:p w14:paraId="76209751" w14:textId="2879DDAE"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w:t>
            </w:r>
            <w:r w:rsidR="00C5235C">
              <w:rPr>
                <w:rFonts w:eastAsia="Times New Roman"/>
                <w:lang w:val="en-US"/>
              </w:rPr>
              <w:t>7.7</w:t>
            </w:r>
            <w:r w:rsidRPr="004C0C03">
              <w:rPr>
                <w:rFonts w:eastAsia="Times New Roman"/>
                <w:lang w:val="en-US"/>
              </w:rPr>
              <w:t>%</w:t>
            </w:r>
          </w:p>
        </w:tc>
      </w:tr>
      <w:tr w:rsidR="00A8338E" w:rsidRPr="0048784B" w14:paraId="74D6B147"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272B30FF"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PR1 + PT1 + PT2</w:t>
            </w:r>
          </w:p>
        </w:tc>
        <w:tc>
          <w:tcPr>
            <w:tcW w:w="1361" w:type="dxa"/>
            <w:tcBorders>
              <w:top w:val="nil"/>
              <w:left w:val="nil"/>
              <w:bottom w:val="single" w:sz="4" w:space="0" w:color="auto"/>
              <w:right w:val="single" w:sz="4" w:space="0" w:color="auto"/>
            </w:tcBorders>
            <w:shd w:val="clear" w:color="000000" w:fill="D9E1F2"/>
            <w:vAlign w:val="center"/>
            <w:hideMark/>
          </w:tcPr>
          <w:p w14:paraId="3F036008"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-9.1%</w:t>
            </w:r>
          </w:p>
        </w:tc>
        <w:tc>
          <w:tcPr>
            <w:tcW w:w="1361" w:type="dxa"/>
            <w:tcBorders>
              <w:top w:val="nil"/>
              <w:left w:val="nil"/>
              <w:bottom w:val="single" w:sz="4" w:space="0" w:color="auto"/>
              <w:right w:val="single" w:sz="4" w:space="0" w:color="auto"/>
            </w:tcBorders>
            <w:shd w:val="clear" w:color="000000" w:fill="D9E1F2"/>
            <w:vAlign w:val="center"/>
            <w:hideMark/>
          </w:tcPr>
          <w:p w14:paraId="7F87F1F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-10.5%</w:t>
            </w:r>
          </w:p>
        </w:tc>
        <w:tc>
          <w:tcPr>
            <w:tcW w:w="1361" w:type="dxa"/>
            <w:tcBorders>
              <w:top w:val="nil"/>
              <w:left w:val="nil"/>
              <w:bottom w:val="single" w:sz="4" w:space="0" w:color="auto"/>
              <w:right w:val="single" w:sz="4" w:space="0" w:color="auto"/>
            </w:tcBorders>
            <w:shd w:val="clear" w:color="000000" w:fill="D9E1F2"/>
            <w:vAlign w:val="center"/>
            <w:hideMark/>
          </w:tcPr>
          <w:p w14:paraId="1D5B6402"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-9.5%</w:t>
            </w:r>
          </w:p>
        </w:tc>
        <w:tc>
          <w:tcPr>
            <w:tcW w:w="1361" w:type="dxa"/>
            <w:tcBorders>
              <w:top w:val="nil"/>
              <w:left w:val="nil"/>
              <w:bottom w:val="single" w:sz="4" w:space="0" w:color="auto"/>
              <w:right w:val="single" w:sz="4" w:space="0" w:color="auto"/>
            </w:tcBorders>
            <w:shd w:val="clear" w:color="000000" w:fill="D9E1F2"/>
            <w:vAlign w:val="center"/>
            <w:hideMark/>
          </w:tcPr>
          <w:p w14:paraId="5618662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-9.3%</w:t>
            </w:r>
          </w:p>
        </w:tc>
        <w:tc>
          <w:tcPr>
            <w:tcW w:w="1361" w:type="dxa"/>
            <w:tcBorders>
              <w:top w:val="nil"/>
              <w:left w:val="nil"/>
              <w:bottom w:val="single" w:sz="4" w:space="0" w:color="auto"/>
              <w:right w:val="single" w:sz="4" w:space="0" w:color="auto"/>
            </w:tcBorders>
            <w:shd w:val="clear" w:color="000000" w:fill="D9E1F2"/>
            <w:vAlign w:val="center"/>
            <w:hideMark/>
          </w:tcPr>
          <w:p w14:paraId="0115018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-10.2%</w:t>
            </w:r>
          </w:p>
        </w:tc>
        <w:tc>
          <w:tcPr>
            <w:tcW w:w="1361" w:type="dxa"/>
            <w:tcBorders>
              <w:top w:val="nil"/>
              <w:left w:val="nil"/>
              <w:bottom w:val="single" w:sz="4" w:space="0" w:color="auto"/>
              <w:right w:val="single" w:sz="4" w:space="0" w:color="auto"/>
            </w:tcBorders>
            <w:shd w:val="clear" w:color="000000" w:fill="D9E1F2"/>
            <w:vAlign w:val="center"/>
            <w:hideMark/>
          </w:tcPr>
          <w:p w14:paraId="1DE85377"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-9.0%</w:t>
            </w:r>
          </w:p>
        </w:tc>
      </w:tr>
      <w:tr w:rsidR="00A8338E" w:rsidRPr="0048784B" w14:paraId="50C769D8"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6B5BED36"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PR2 + PT1 + PT2</w:t>
            </w:r>
          </w:p>
        </w:tc>
        <w:tc>
          <w:tcPr>
            <w:tcW w:w="1361" w:type="dxa"/>
            <w:tcBorders>
              <w:top w:val="nil"/>
              <w:left w:val="nil"/>
              <w:bottom w:val="single" w:sz="4" w:space="0" w:color="auto"/>
              <w:right w:val="single" w:sz="4" w:space="0" w:color="auto"/>
            </w:tcBorders>
            <w:shd w:val="clear" w:color="000000" w:fill="D9E1F2"/>
            <w:vAlign w:val="center"/>
            <w:hideMark/>
          </w:tcPr>
          <w:p w14:paraId="40A80EF4"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-9.1%</w:t>
            </w:r>
          </w:p>
        </w:tc>
        <w:tc>
          <w:tcPr>
            <w:tcW w:w="1361" w:type="dxa"/>
            <w:tcBorders>
              <w:top w:val="nil"/>
              <w:left w:val="nil"/>
              <w:bottom w:val="single" w:sz="4" w:space="0" w:color="auto"/>
              <w:right w:val="single" w:sz="4" w:space="0" w:color="auto"/>
            </w:tcBorders>
            <w:shd w:val="clear" w:color="000000" w:fill="D9E1F2"/>
            <w:vAlign w:val="center"/>
            <w:hideMark/>
          </w:tcPr>
          <w:p w14:paraId="0A52747F"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-10.5%</w:t>
            </w:r>
          </w:p>
        </w:tc>
        <w:tc>
          <w:tcPr>
            <w:tcW w:w="1361" w:type="dxa"/>
            <w:tcBorders>
              <w:top w:val="nil"/>
              <w:left w:val="nil"/>
              <w:bottom w:val="single" w:sz="4" w:space="0" w:color="auto"/>
              <w:right w:val="single" w:sz="4" w:space="0" w:color="auto"/>
            </w:tcBorders>
            <w:shd w:val="clear" w:color="000000" w:fill="D9E1F2"/>
            <w:vAlign w:val="center"/>
            <w:hideMark/>
          </w:tcPr>
          <w:p w14:paraId="184BD50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-9.5%</w:t>
            </w:r>
          </w:p>
        </w:tc>
        <w:tc>
          <w:tcPr>
            <w:tcW w:w="1361" w:type="dxa"/>
            <w:tcBorders>
              <w:top w:val="nil"/>
              <w:left w:val="nil"/>
              <w:bottom w:val="single" w:sz="4" w:space="0" w:color="auto"/>
              <w:right w:val="single" w:sz="4" w:space="0" w:color="auto"/>
            </w:tcBorders>
            <w:shd w:val="clear" w:color="000000" w:fill="D9E1F2"/>
            <w:vAlign w:val="center"/>
            <w:hideMark/>
          </w:tcPr>
          <w:p w14:paraId="30390DF1"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-9.3%</w:t>
            </w:r>
          </w:p>
        </w:tc>
        <w:tc>
          <w:tcPr>
            <w:tcW w:w="1361" w:type="dxa"/>
            <w:tcBorders>
              <w:top w:val="nil"/>
              <w:left w:val="nil"/>
              <w:bottom w:val="single" w:sz="4" w:space="0" w:color="auto"/>
              <w:right w:val="single" w:sz="4" w:space="0" w:color="auto"/>
            </w:tcBorders>
            <w:shd w:val="clear" w:color="000000" w:fill="D9E1F2"/>
            <w:vAlign w:val="center"/>
            <w:hideMark/>
          </w:tcPr>
          <w:p w14:paraId="17D8B59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-10.2%</w:t>
            </w:r>
          </w:p>
        </w:tc>
        <w:tc>
          <w:tcPr>
            <w:tcW w:w="1361" w:type="dxa"/>
            <w:tcBorders>
              <w:top w:val="nil"/>
              <w:left w:val="nil"/>
              <w:bottom w:val="single" w:sz="4" w:space="0" w:color="auto"/>
              <w:right w:val="single" w:sz="4" w:space="0" w:color="auto"/>
            </w:tcBorders>
            <w:shd w:val="clear" w:color="000000" w:fill="D9E1F2"/>
            <w:vAlign w:val="center"/>
            <w:hideMark/>
          </w:tcPr>
          <w:p w14:paraId="6FBA1513"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-9.0%</w:t>
            </w:r>
          </w:p>
        </w:tc>
      </w:tr>
      <w:tr w:rsidR="00A8338E" w:rsidRPr="0048784B" w14:paraId="3248E720"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0D346BB3"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 + PT1</w:t>
            </w:r>
          </w:p>
        </w:tc>
        <w:tc>
          <w:tcPr>
            <w:tcW w:w="1361" w:type="dxa"/>
            <w:tcBorders>
              <w:top w:val="nil"/>
              <w:left w:val="nil"/>
              <w:bottom w:val="single" w:sz="4" w:space="0" w:color="auto"/>
              <w:right w:val="single" w:sz="4" w:space="0" w:color="auto"/>
            </w:tcBorders>
            <w:shd w:val="clear" w:color="000000" w:fill="D9E1F2"/>
            <w:vAlign w:val="center"/>
            <w:hideMark/>
          </w:tcPr>
          <w:p w14:paraId="2F14588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-13.2%</w:t>
            </w:r>
          </w:p>
        </w:tc>
        <w:tc>
          <w:tcPr>
            <w:tcW w:w="1361" w:type="dxa"/>
            <w:tcBorders>
              <w:top w:val="nil"/>
              <w:left w:val="nil"/>
              <w:bottom w:val="single" w:sz="4" w:space="0" w:color="auto"/>
              <w:right w:val="single" w:sz="4" w:space="0" w:color="auto"/>
            </w:tcBorders>
            <w:shd w:val="clear" w:color="000000" w:fill="D9E1F2"/>
            <w:vAlign w:val="center"/>
            <w:hideMark/>
          </w:tcPr>
          <w:p w14:paraId="3A958DE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-15.3%</w:t>
            </w:r>
          </w:p>
        </w:tc>
        <w:tc>
          <w:tcPr>
            <w:tcW w:w="1361" w:type="dxa"/>
            <w:tcBorders>
              <w:top w:val="nil"/>
              <w:left w:val="nil"/>
              <w:bottom w:val="single" w:sz="4" w:space="0" w:color="auto"/>
              <w:right w:val="single" w:sz="4" w:space="0" w:color="auto"/>
            </w:tcBorders>
            <w:shd w:val="clear" w:color="000000" w:fill="D9E1F2"/>
            <w:vAlign w:val="center"/>
            <w:hideMark/>
          </w:tcPr>
          <w:p w14:paraId="1671ED14"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-13.3%</w:t>
            </w:r>
          </w:p>
        </w:tc>
        <w:tc>
          <w:tcPr>
            <w:tcW w:w="1361" w:type="dxa"/>
            <w:tcBorders>
              <w:top w:val="nil"/>
              <w:left w:val="nil"/>
              <w:bottom w:val="single" w:sz="4" w:space="0" w:color="auto"/>
              <w:right w:val="single" w:sz="4" w:space="0" w:color="auto"/>
            </w:tcBorders>
            <w:shd w:val="clear" w:color="000000" w:fill="D9E1F2"/>
            <w:vAlign w:val="center"/>
            <w:hideMark/>
          </w:tcPr>
          <w:p w14:paraId="2BA0CC0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-15.3%</w:t>
            </w:r>
          </w:p>
        </w:tc>
        <w:tc>
          <w:tcPr>
            <w:tcW w:w="1361" w:type="dxa"/>
            <w:tcBorders>
              <w:top w:val="nil"/>
              <w:left w:val="nil"/>
              <w:bottom w:val="single" w:sz="4" w:space="0" w:color="auto"/>
              <w:right w:val="single" w:sz="4" w:space="0" w:color="auto"/>
            </w:tcBorders>
            <w:shd w:val="clear" w:color="000000" w:fill="D9E1F2"/>
            <w:vAlign w:val="center"/>
            <w:hideMark/>
          </w:tcPr>
          <w:p w14:paraId="52C0892D"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-16.8%</w:t>
            </w:r>
          </w:p>
        </w:tc>
        <w:tc>
          <w:tcPr>
            <w:tcW w:w="1361" w:type="dxa"/>
            <w:tcBorders>
              <w:top w:val="nil"/>
              <w:left w:val="nil"/>
              <w:bottom w:val="single" w:sz="4" w:space="0" w:color="auto"/>
              <w:right w:val="single" w:sz="4" w:space="0" w:color="auto"/>
            </w:tcBorders>
            <w:shd w:val="clear" w:color="000000" w:fill="D9E1F2"/>
            <w:vAlign w:val="center"/>
            <w:hideMark/>
          </w:tcPr>
          <w:p w14:paraId="3F5B729E"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-14.9%</w:t>
            </w:r>
          </w:p>
        </w:tc>
      </w:tr>
      <w:tr w:rsidR="00A8338E" w:rsidRPr="0048784B" w14:paraId="01ADC516" w14:textId="77777777" w:rsidTr="007867CB">
        <w:trPr>
          <w:trHeight w:val="300"/>
          <w:jc w:val="center"/>
        </w:trPr>
        <w:tc>
          <w:tcPr>
            <w:tcW w:w="1361" w:type="dxa"/>
            <w:tcBorders>
              <w:top w:val="nil"/>
              <w:left w:val="single" w:sz="4" w:space="0" w:color="auto"/>
              <w:bottom w:val="single" w:sz="4" w:space="0" w:color="auto"/>
              <w:right w:val="single" w:sz="4" w:space="0" w:color="auto"/>
            </w:tcBorders>
            <w:shd w:val="clear" w:color="000000" w:fill="D9E1F2"/>
            <w:vAlign w:val="center"/>
            <w:hideMark/>
          </w:tcPr>
          <w:p w14:paraId="31D7744B" w14:textId="77777777" w:rsidR="00A8338E" w:rsidRPr="004C0C03" w:rsidRDefault="00A8338E" w:rsidP="007867CB">
            <w:pPr>
              <w:overflowPunct/>
              <w:autoSpaceDE/>
              <w:autoSpaceDN/>
              <w:adjustRightInd/>
              <w:spacing w:after="0"/>
              <w:textAlignment w:val="auto"/>
              <w:rPr>
                <w:rFonts w:eastAsia="Times New Roman"/>
                <w:lang w:val="en-US"/>
              </w:rPr>
            </w:pPr>
            <w:r w:rsidRPr="004C0C03">
              <w:rPr>
                <w:rFonts w:eastAsia="Times New Roman"/>
                <w:lang w:val="en-US"/>
              </w:rPr>
              <w:t>PR3 + PT1 + PT2</w:t>
            </w:r>
          </w:p>
        </w:tc>
        <w:tc>
          <w:tcPr>
            <w:tcW w:w="1361" w:type="dxa"/>
            <w:tcBorders>
              <w:top w:val="nil"/>
              <w:left w:val="nil"/>
              <w:bottom w:val="single" w:sz="4" w:space="0" w:color="auto"/>
              <w:right w:val="single" w:sz="4" w:space="0" w:color="auto"/>
            </w:tcBorders>
            <w:shd w:val="clear" w:color="000000" w:fill="D9E1F2"/>
            <w:vAlign w:val="center"/>
            <w:hideMark/>
          </w:tcPr>
          <w:p w14:paraId="31952788"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-14.2%</w:t>
            </w:r>
          </w:p>
        </w:tc>
        <w:tc>
          <w:tcPr>
            <w:tcW w:w="1361" w:type="dxa"/>
            <w:tcBorders>
              <w:top w:val="nil"/>
              <w:left w:val="nil"/>
              <w:bottom w:val="single" w:sz="4" w:space="0" w:color="auto"/>
              <w:right w:val="single" w:sz="4" w:space="0" w:color="auto"/>
            </w:tcBorders>
            <w:shd w:val="clear" w:color="000000" w:fill="D9E1F2"/>
            <w:vAlign w:val="center"/>
            <w:hideMark/>
          </w:tcPr>
          <w:p w14:paraId="421A4E6B"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-16.5%</w:t>
            </w:r>
          </w:p>
        </w:tc>
        <w:tc>
          <w:tcPr>
            <w:tcW w:w="1361" w:type="dxa"/>
            <w:tcBorders>
              <w:top w:val="nil"/>
              <w:left w:val="nil"/>
              <w:bottom w:val="single" w:sz="4" w:space="0" w:color="auto"/>
              <w:right w:val="single" w:sz="4" w:space="0" w:color="auto"/>
            </w:tcBorders>
            <w:shd w:val="clear" w:color="000000" w:fill="D9E1F2"/>
            <w:vAlign w:val="center"/>
            <w:hideMark/>
          </w:tcPr>
          <w:p w14:paraId="063F39B0"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-14.3%</w:t>
            </w:r>
          </w:p>
        </w:tc>
        <w:tc>
          <w:tcPr>
            <w:tcW w:w="1361" w:type="dxa"/>
            <w:tcBorders>
              <w:top w:val="nil"/>
              <w:left w:val="nil"/>
              <w:bottom w:val="single" w:sz="4" w:space="0" w:color="auto"/>
              <w:right w:val="single" w:sz="4" w:space="0" w:color="auto"/>
            </w:tcBorders>
            <w:shd w:val="clear" w:color="000000" w:fill="D9E1F2"/>
            <w:vAlign w:val="center"/>
            <w:hideMark/>
          </w:tcPr>
          <w:p w14:paraId="4294CE1C"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-16.5%</w:t>
            </w:r>
          </w:p>
        </w:tc>
        <w:tc>
          <w:tcPr>
            <w:tcW w:w="1361" w:type="dxa"/>
            <w:tcBorders>
              <w:top w:val="nil"/>
              <w:left w:val="nil"/>
              <w:bottom w:val="single" w:sz="4" w:space="0" w:color="auto"/>
              <w:right w:val="single" w:sz="4" w:space="0" w:color="auto"/>
            </w:tcBorders>
            <w:shd w:val="clear" w:color="000000" w:fill="D9E1F2"/>
            <w:vAlign w:val="center"/>
            <w:hideMark/>
          </w:tcPr>
          <w:p w14:paraId="61B3D259"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-18.1%</w:t>
            </w:r>
          </w:p>
        </w:tc>
        <w:tc>
          <w:tcPr>
            <w:tcW w:w="1361" w:type="dxa"/>
            <w:tcBorders>
              <w:top w:val="nil"/>
              <w:left w:val="nil"/>
              <w:bottom w:val="single" w:sz="4" w:space="0" w:color="auto"/>
              <w:right w:val="single" w:sz="4" w:space="0" w:color="auto"/>
            </w:tcBorders>
            <w:shd w:val="clear" w:color="000000" w:fill="D9E1F2"/>
            <w:vAlign w:val="center"/>
            <w:hideMark/>
          </w:tcPr>
          <w:p w14:paraId="4A9999CA" w14:textId="77777777" w:rsidR="00A8338E" w:rsidRPr="004C0C03" w:rsidRDefault="00A8338E" w:rsidP="007867CB">
            <w:pPr>
              <w:overflowPunct/>
              <w:autoSpaceDE/>
              <w:autoSpaceDN/>
              <w:adjustRightInd/>
              <w:spacing w:after="0"/>
              <w:jc w:val="right"/>
              <w:textAlignment w:val="auto"/>
              <w:rPr>
                <w:rFonts w:eastAsia="Times New Roman"/>
                <w:lang w:val="en-US"/>
              </w:rPr>
            </w:pPr>
            <w:r w:rsidRPr="004C0C03">
              <w:rPr>
                <w:rFonts w:eastAsia="Times New Roman"/>
                <w:lang w:val="en-US"/>
              </w:rPr>
              <w:t>-16.0%</w:t>
            </w:r>
          </w:p>
        </w:tc>
      </w:tr>
    </w:tbl>
    <w:p w14:paraId="7E51AB6B" w14:textId="22F27503" w:rsidR="00862F37" w:rsidRDefault="00862F37" w:rsidP="00862F37">
      <w:pPr>
        <w:spacing w:before="120"/>
        <w:jc w:val="both"/>
        <w:rPr>
          <w:bCs/>
          <w:noProof/>
          <w:lang w:val="en-US" w:eastAsia="en-GB"/>
        </w:rPr>
      </w:pPr>
      <w:r>
        <w:rPr>
          <w:bCs/>
          <w:noProof/>
          <w:lang w:val="en-US" w:eastAsia="en-GB"/>
        </w:rPr>
        <w:t xml:space="preserve">Several observations may be made from </w:t>
      </w:r>
      <w:r w:rsidR="005912AA">
        <w:rPr>
          <w:lang w:val="en-US"/>
        </w:rPr>
        <w:fldChar w:fldCharType="begin"/>
      </w:r>
      <w:r w:rsidR="005912AA">
        <w:rPr>
          <w:lang w:val="en-US"/>
        </w:rPr>
        <w:instrText xml:space="preserve"> REF _Ref110244972 \h  \* MERGEFORMAT </w:instrText>
      </w:r>
      <w:r w:rsidR="005912AA">
        <w:rPr>
          <w:lang w:val="en-US"/>
        </w:rPr>
      </w:r>
      <w:r w:rsidR="005912AA">
        <w:rPr>
          <w:lang w:val="en-US"/>
        </w:rPr>
        <w:fldChar w:fldCharType="separate"/>
      </w:r>
      <w:r w:rsidR="00034224">
        <w:t xml:space="preserve">Table </w:t>
      </w:r>
      <w:r w:rsidR="00034224">
        <w:rPr>
          <w:noProof/>
        </w:rPr>
        <w:t>10</w:t>
      </w:r>
      <w:r w:rsidR="005912AA">
        <w:rPr>
          <w:lang w:val="en-US"/>
        </w:rPr>
        <w:fldChar w:fldCharType="end"/>
      </w:r>
      <w:r w:rsidR="005912AA">
        <w:rPr>
          <w:lang w:val="en-US"/>
        </w:rPr>
        <w:t xml:space="preserve"> – </w:t>
      </w:r>
      <w:r w:rsidR="005912AA">
        <w:rPr>
          <w:lang w:val="en-US"/>
        </w:rPr>
        <w:fldChar w:fldCharType="begin"/>
      </w:r>
      <w:r w:rsidR="005912AA">
        <w:rPr>
          <w:lang w:val="en-US"/>
        </w:rPr>
        <w:instrText xml:space="preserve"> REF _Ref110244974 \h  \* MERGEFORMAT </w:instrText>
      </w:r>
      <w:r w:rsidR="005912AA">
        <w:rPr>
          <w:lang w:val="en-US"/>
        </w:rPr>
      </w:r>
      <w:r w:rsidR="005912AA">
        <w:rPr>
          <w:lang w:val="en-US"/>
        </w:rPr>
        <w:fldChar w:fldCharType="separate"/>
      </w:r>
      <w:r w:rsidR="00034224">
        <w:t xml:space="preserve">Table </w:t>
      </w:r>
      <w:r w:rsidR="00034224">
        <w:rPr>
          <w:noProof/>
        </w:rPr>
        <w:t>11</w:t>
      </w:r>
      <w:r w:rsidR="005912AA">
        <w:rPr>
          <w:lang w:val="en-US"/>
        </w:rPr>
        <w:fldChar w:fldCharType="end"/>
      </w:r>
      <w:r>
        <w:rPr>
          <w:bCs/>
          <w:noProof/>
          <w:lang w:val="en-US" w:eastAsia="en-GB"/>
        </w:rPr>
        <w:t>.</w:t>
      </w:r>
    </w:p>
    <w:p w14:paraId="54841AA9" w14:textId="3A4AD2AE" w:rsidR="00731B54" w:rsidRDefault="00BB7A0B" w:rsidP="00612A05">
      <w:pPr>
        <w:spacing w:before="120"/>
        <w:jc w:val="both"/>
        <w:rPr>
          <w:b/>
          <w:noProof/>
          <w:lang w:val="en-US" w:eastAsia="en-GB"/>
        </w:rPr>
      </w:pPr>
      <w:r>
        <w:rPr>
          <w:b/>
          <w:noProof/>
          <w:lang w:val="en-US" w:eastAsia="en-GB"/>
        </w:rPr>
        <w:t>Observation</w:t>
      </w:r>
      <w:r w:rsidR="00503E6A">
        <w:rPr>
          <w:b/>
          <w:noProof/>
          <w:lang w:val="en-US" w:eastAsia="en-GB"/>
        </w:rPr>
        <w:t xml:space="preserve"> 18</w:t>
      </w:r>
      <w:r>
        <w:rPr>
          <w:b/>
          <w:noProof/>
          <w:lang w:val="en-US" w:eastAsia="en-GB"/>
        </w:rPr>
        <w:t xml:space="preserve">: Complexity reduction of </w:t>
      </w:r>
      <w:r w:rsidR="00731B54">
        <w:rPr>
          <w:b/>
          <w:noProof/>
          <w:lang w:val="en-US" w:eastAsia="en-GB"/>
        </w:rPr>
        <w:t xml:space="preserve">PT1/PT2 </w:t>
      </w:r>
      <w:r>
        <w:rPr>
          <w:b/>
          <w:noProof/>
          <w:lang w:val="en-US" w:eastAsia="en-GB"/>
        </w:rPr>
        <w:t>i</w:t>
      </w:r>
      <w:r w:rsidR="00731B54">
        <w:rPr>
          <w:b/>
          <w:noProof/>
          <w:lang w:val="en-US" w:eastAsia="en-GB"/>
        </w:rPr>
        <w:t>n combination with BW or PR option</w:t>
      </w:r>
      <w:r>
        <w:rPr>
          <w:b/>
          <w:noProof/>
          <w:lang w:val="en-US" w:eastAsia="en-GB"/>
        </w:rPr>
        <w:t xml:space="preserve"> is v</w:t>
      </w:r>
      <w:r w:rsidR="009809B8">
        <w:rPr>
          <w:b/>
          <w:noProof/>
          <w:lang w:val="en-US" w:eastAsia="en-GB"/>
        </w:rPr>
        <w:t>ery small (l</w:t>
      </w:r>
      <w:r w:rsidR="00731B54">
        <w:rPr>
          <w:b/>
          <w:noProof/>
          <w:lang w:val="en-US" w:eastAsia="en-GB"/>
        </w:rPr>
        <w:t>ess than 2%).</w:t>
      </w:r>
    </w:p>
    <w:bookmarkEnd w:id="7"/>
    <w:bookmarkEnd w:id="8"/>
    <w:bookmarkEnd w:id="9"/>
    <w:p w14:paraId="1709C265"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6C735C4E" w14:textId="1AF23893"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350A94">
        <w:rPr>
          <w:rFonts w:ascii="Times" w:eastAsia="MS Mincho" w:hAnsi="Times" w:cs="Times"/>
          <w:lang w:val="en-US"/>
        </w:rPr>
        <w:t xml:space="preserve">further </w:t>
      </w:r>
      <w:r w:rsidR="00906154" w:rsidRPr="00AB4AE2">
        <w:rPr>
          <w:lang w:val="en-US"/>
        </w:rPr>
        <w:t>reduced capability NR devices</w:t>
      </w:r>
      <w:r w:rsidR="00B327B9">
        <w:rPr>
          <w:lang w:val="en-US"/>
        </w:rPr>
        <w:t xml:space="preserve"> and make the following </w:t>
      </w:r>
      <w:r w:rsidR="002416C3">
        <w:rPr>
          <w:lang w:val="en-US"/>
        </w:rPr>
        <w:t>observations</w:t>
      </w:r>
      <w:r w:rsidR="00BB177E">
        <w:rPr>
          <w:lang w:val="en-US"/>
        </w:rPr>
        <w:t xml:space="preserve"> </w:t>
      </w:r>
      <w:r w:rsidRPr="002651FD">
        <w:rPr>
          <w:lang w:val="en-US"/>
        </w:rPr>
        <w:t>–</w:t>
      </w:r>
    </w:p>
    <w:p w14:paraId="29D2E102" w14:textId="77777777" w:rsidR="002C32EF"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1</w:t>
      </w:r>
      <w:r w:rsidRPr="00177B90">
        <w:rPr>
          <w:b/>
          <w:noProof/>
          <w:lang w:val="en-US" w:eastAsia="en-GB"/>
        </w:rPr>
        <w:t>:</w:t>
      </w:r>
      <w:r>
        <w:rPr>
          <w:b/>
          <w:noProof/>
          <w:lang w:val="en-US" w:eastAsia="en-GB"/>
        </w:rPr>
        <w:t xml:space="preserve"> BW reduction options can provide substantial complexity reduction compared to Rel-17 RedCap UE – approximately 20% for BW1, 18% for BW2, and 15% for BW3.</w:t>
      </w:r>
    </w:p>
    <w:p w14:paraId="1A0EC6A5" w14:textId="77777777" w:rsidR="002C32EF" w:rsidRDefault="002C32EF" w:rsidP="002C32EF">
      <w:pPr>
        <w:spacing w:before="120"/>
        <w:jc w:val="both"/>
        <w:rPr>
          <w:b/>
          <w:noProof/>
          <w:lang w:val="en-US" w:eastAsia="en-GB"/>
        </w:rPr>
      </w:pPr>
      <w:r>
        <w:rPr>
          <w:b/>
          <w:noProof/>
          <w:lang w:val="en-US" w:eastAsia="en-GB"/>
        </w:rPr>
        <w:t>Observation 2: At 30 kHz SCS, there is significant performance degradation for PBCH, PDCCH, and SIB1 for BW1/BW2 and for SIB1 for BW3. This is due to smaller number of available PRBs.</w:t>
      </w:r>
    </w:p>
    <w:p w14:paraId="43E77544" w14:textId="77777777" w:rsidR="002C32EF"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3</w:t>
      </w:r>
      <w:r w:rsidRPr="00177B90">
        <w:rPr>
          <w:b/>
          <w:noProof/>
          <w:lang w:val="en-US" w:eastAsia="en-GB"/>
        </w:rPr>
        <w:t>:</w:t>
      </w:r>
      <w:r>
        <w:rPr>
          <w:b/>
          <w:noProof/>
          <w:lang w:val="en-US" w:eastAsia="en-GB"/>
        </w:rPr>
        <w:t xml:space="preserve"> Based on our coverage analysis, there is no impact to coverage for BW1/BW2/BW3.</w:t>
      </w:r>
    </w:p>
    <w:p w14:paraId="218A9CED" w14:textId="77777777" w:rsidR="002C32EF"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4</w:t>
      </w:r>
      <w:r w:rsidRPr="00177B90">
        <w:rPr>
          <w:b/>
          <w:noProof/>
          <w:lang w:val="en-US" w:eastAsia="en-GB"/>
        </w:rPr>
        <w:t>:</w:t>
      </w:r>
      <w:r>
        <w:rPr>
          <w:b/>
          <w:noProof/>
          <w:lang w:val="en-US" w:eastAsia="en-GB"/>
        </w:rPr>
        <w:t xml:space="preserve"> There is some system-level spectral effiency performance loss for RedCap UE with 5 MHz BW compared to UE with 20 MHz BW.</w:t>
      </w:r>
    </w:p>
    <w:p w14:paraId="5DB3072A" w14:textId="77777777" w:rsidR="002C32EF" w:rsidRDefault="002C32EF" w:rsidP="002C32EF">
      <w:pPr>
        <w:jc w:val="both"/>
        <w:rPr>
          <w:b/>
          <w:noProof/>
          <w:lang w:val="en-US" w:eastAsia="en-GB"/>
        </w:rPr>
      </w:pPr>
      <w:r w:rsidRPr="00177B90">
        <w:rPr>
          <w:b/>
          <w:noProof/>
          <w:lang w:val="en-US" w:eastAsia="en-GB"/>
        </w:rPr>
        <w:t xml:space="preserve">Observation </w:t>
      </w:r>
      <w:r>
        <w:rPr>
          <w:b/>
          <w:noProof/>
          <w:lang w:val="en-US" w:eastAsia="en-GB"/>
        </w:rPr>
        <w:t>5</w:t>
      </w:r>
      <w:r w:rsidRPr="00177B90">
        <w:rPr>
          <w:b/>
          <w:noProof/>
          <w:lang w:val="en-US" w:eastAsia="en-GB"/>
        </w:rPr>
        <w:t>:</w:t>
      </w:r>
      <w:r>
        <w:rPr>
          <w:b/>
          <w:noProof/>
          <w:lang w:val="en-US" w:eastAsia="en-GB"/>
        </w:rPr>
        <w:t xml:space="preserve"> BW1/BW2/BW3 are expected to reduce UE power consumption with BW1 providing the most reduction.</w:t>
      </w:r>
    </w:p>
    <w:p w14:paraId="3826B2A5" w14:textId="77777777" w:rsidR="002C32EF" w:rsidRDefault="002C32EF" w:rsidP="002C32EF">
      <w:pPr>
        <w:jc w:val="both"/>
        <w:rPr>
          <w:b/>
          <w:noProof/>
          <w:lang w:val="en-US" w:eastAsia="en-GB"/>
        </w:rPr>
      </w:pPr>
      <w:r w:rsidRPr="00177B90">
        <w:rPr>
          <w:b/>
          <w:noProof/>
          <w:lang w:val="en-US" w:eastAsia="en-GB"/>
        </w:rPr>
        <w:t xml:space="preserve">Observation </w:t>
      </w:r>
      <w:r>
        <w:rPr>
          <w:b/>
          <w:noProof/>
          <w:lang w:val="en-US" w:eastAsia="en-GB"/>
        </w:rPr>
        <w:t>6</w:t>
      </w:r>
      <w:r w:rsidRPr="00177B90">
        <w:rPr>
          <w:b/>
          <w:noProof/>
          <w:lang w:val="en-US" w:eastAsia="en-GB"/>
        </w:rPr>
        <w:t>:</w:t>
      </w:r>
      <w:r>
        <w:rPr>
          <w:b/>
          <w:noProof/>
          <w:lang w:val="en-US" w:eastAsia="en-GB"/>
        </w:rPr>
        <w:t xml:space="preserve"> Existing SSB configurations can be used with BW1/BW2/BW3.</w:t>
      </w:r>
    </w:p>
    <w:p w14:paraId="3FA03C5B" w14:textId="77777777" w:rsidR="002C32EF" w:rsidRDefault="002C32EF" w:rsidP="002C32EF">
      <w:pPr>
        <w:jc w:val="both"/>
        <w:rPr>
          <w:rFonts w:eastAsia="MS Mincho"/>
          <w:b/>
          <w:bCs/>
          <w:lang w:val="en-US" w:eastAsia="ja-JP"/>
        </w:rPr>
      </w:pPr>
      <w:r w:rsidRPr="00177B90">
        <w:rPr>
          <w:b/>
          <w:noProof/>
          <w:lang w:val="en-US" w:eastAsia="en-GB"/>
        </w:rPr>
        <w:t xml:space="preserve">Observation </w:t>
      </w:r>
      <w:r>
        <w:rPr>
          <w:b/>
          <w:noProof/>
          <w:lang w:val="en-US" w:eastAsia="en-GB"/>
        </w:rPr>
        <w:t>7</w:t>
      </w:r>
      <w:r w:rsidRPr="00177B90">
        <w:rPr>
          <w:b/>
          <w:noProof/>
          <w:lang w:val="en-US" w:eastAsia="en-GB"/>
        </w:rPr>
        <w:t>:</w:t>
      </w:r>
      <w:r>
        <w:rPr>
          <w:b/>
          <w:noProof/>
          <w:lang w:val="en-US" w:eastAsia="en-GB"/>
        </w:rPr>
        <w:t xml:space="preserve"> Existing CORESET#0 configurations with 15 kHz SCS and 24 PRBs can be used for 5 MHz UE.</w:t>
      </w:r>
      <w:r>
        <w:rPr>
          <w:rFonts w:eastAsia="MS Mincho"/>
          <w:b/>
          <w:bCs/>
          <w:lang w:val="en-US" w:eastAsia="ja-JP"/>
        </w:rPr>
        <w:t xml:space="preserve"> There is no existing CORESET#0 configuration with 30 kHz SCS that can be used for BW1/BW2 .</w:t>
      </w:r>
    </w:p>
    <w:p w14:paraId="013855CA" w14:textId="77777777" w:rsidR="002C32EF" w:rsidRDefault="002C32EF" w:rsidP="002C32EF">
      <w:pPr>
        <w:jc w:val="both"/>
        <w:rPr>
          <w:b/>
          <w:noProof/>
          <w:lang w:val="en-US" w:eastAsia="en-GB"/>
        </w:rPr>
      </w:pPr>
      <w:r w:rsidRPr="00177B90">
        <w:rPr>
          <w:b/>
          <w:noProof/>
          <w:lang w:val="en-US" w:eastAsia="en-GB"/>
        </w:rPr>
        <w:lastRenderedPageBreak/>
        <w:t xml:space="preserve">Observation </w:t>
      </w:r>
      <w:r>
        <w:rPr>
          <w:b/>
          <w:noProof/>
          <w:lang w:val="en-US" w:eastAsia="en-GB"/>
        </w:rPr>
        <w:t>8</w:t>
      </w:r>
      <w:r w:rsidRPr="00177B90">
        <w:rPr>
          <w:b/>
          <w:noProof/>
          <w:lang w:val="en-US" w:eastAsia="en-GB"/>
        </w:rPr>
        <w:t>:</w:t>
      </w:r>
      <w:r>
        <w:rPr>
          <w:b/>
          <w:noProof/>
          <w:lang w:val="en-US" w:eastAsia="en-GB"/>
        </w:rPr>
        <w:t xml:space="preserve"> RedCap UE supporting BW1/BW2/BW3 can coexist with legacy UEs.</w:t>
      </w:r>
    </w:p>
    <w:p w14:paraId="693FDAFB" w14:textId="77777777" w:rsidR="002C32EF"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9</w:t>
      </w:r>
      <w:r w:rsidRPr="00177B90">
        <w:rPr>
          <w:b/>
          <w:noProof/>
          <w:lang w:val="en-US" w:eastAsia="en-GB"/>
        </w:rPr>
        <w:t>:</w:t>
      </w:r>
      <w:r>
        <w:rPr>
          <w:b/>
          <w:noProof/>
          <w:lang w:val="en-US" w:eastAsia="en-GB"/>
        </w:rPr>
        <w:t xml:space="preserve"> Specification impact from BW1/BW2 include CORESET#0 configurations. Additional enhancements may be considered related to CORESET configuration, initial access (e.g. SIB1), random access, and early indication.</w:t>
      </w:r>
    </w:p>
    <w:p w14:paraId="7DAB94B6" w14:textId="51C0BCA7" w:rsidR="00BB177E"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10</w:t>
      </w:r>
      <w:r w:rsidRPr="00177B90">
        <w:rPr>
          <w:b/>
          <w:noProof/>
          <w:lang w:val="en-US" w:eastAsia="en-GB"/>
        </w:rPr>
        <w:t>:</w:t>
      </w:r>
      <w:r>
        <w:rPr>
          <w:b/>
          <w:noProof/>
          <w:lang w:val="en-US" w:eastAsia="en-GB"/>
        </w:rPr>
        <w:t xml:space="preserve"> BW3 has minimal specification impact.</w:t>
      </w:r>
      <w:r w:rsidR="00BB177E">
        <w:rPr>
          <w:b/>
          <w:noProof/>
          <w:lang w:val="en-US" w:eastAsia="en-GB"/>
        </w:rPr>
        <w:t>Observation 18: Complexity reduction of PT1/PT2 in combination with BW or PR option is very small (less than 2%).</w:t>
      </w:r>
    </w:p>
    <w:p w14:paraId="4F6DA444" w14:textId="77777777" w:rsidR="00427AB4" w:rsidRDefault="00427AB4" w:rsidP="00427AB4">
      <w:pPr>
        <w:spacing w:before="120"/>
        <w:jc w:val="both"/>
        <w:rPr>
          <w:b/>
          <w:noProof/>
          <w:lang w:val="en-US" w:eastAsia="en-GB"/>
        </w:rPr>
      </w:pPr>
      <w:r w:rsidRPr="00177B90">
        <w:rPr>
          <w:b/>
          <w:noProof/>
          <w:lang w:val="en-US" w:eastAsia="en-GB"/>
        </w:rPr>
        <w:t xml:space="preserve">Observation </w:t>
      </w:r>
      <w:r>
        <w:rPr>
          <w:b/>
          <w:noProof/>
          <w:lang w:val="en-US" w:eastAsia="en-GB"/>
        </w:rPr>
        <w:t>11</w:t>
      </w:r>
      <w:r w:rsidRPr="00177B90">
        <w:rPr>
          <w:b/>
          <w:noProof/>
          <w:lang w:val="en-US" w:eastAsia="en-GB"/>
        </w:rPr>
        <w:t>:</w:t>
      </w:r>
      <w:r>
        <w:rPr>
          <w:b/>
          <w:noProof/>
          <w:lang w:val="en-US" w:eastAsia="en-GB"/>
        </w:rPr>
        <w:t xml:space="preserve"> PR1/PR2 provide complexity reduction of around 8% compared to Rel-17 RedCap UE, while PR3 can provide 14% complexity reduction. For PR1/PR2, this is substantially lower than BW reduction options.</w:t>
      </w:r>
    </w:p>
    <w:p w14:paraId="77FC5290" w14:textId="77777777" w:rsidR="002C32EF" w:rsidRDefault="002C32EF" w:rsidP="002C32EF">
      <w:pPr>
        <w:spacing w:before="120"/>
        <w:jc w:val="both"/>
        <w:rPr>
          <w:b/>
          <w:noProof/>
          <w:lang w:val="en-US" w:eastAsia="en-GB"/>
        </w:rPr>
      </w:pPr>
      <w:r w:rsidRPr="00177B90">
        <w:rPr>
          <w:b/>
          <w:noProof/>
          <w:lang w:val="en-US" w:eastAsia="en-GB"/>
        </w:rPr>
        <w:t xml:space="preserve">Observation </w:t>
      </w:r>
      <w:r>
        <w:rPr>
          <w:b/>
          <w:noProof/>
          <w:lang w:val="en-US" w:eastAsia="en-GB"/>
        </w:rPr>
        <w:t>12</w:t>
      </w:r>
      <w:r w:rsidRPr="00177B90">
        <w:rPr>
          <w:b/>
          <w:noProof/>
          <w:lang w:val="en-US" w:eastAsia="en-GB"/>
        </w:rPr>
        <w:t>:</w:t>
      </w:r>
      <w:r>
        <w:rPr>
          <w:b/>
          <w:noProof/>
          <w:lang w:val="en-US" w:eastAsia="en-GB"/>
        </w:rPr>
        <w:t xml:space="preserve"> There is no impact to coverage, network deployment, and coexistence for PR1/PR2/PR3. There are small impacts to cell spectral efficiency, power consumption, and latency.</w:t>
      </w:r>
    </w:p>
    <w:p w14:paraId="25F863E9" w14:textId="77777777" w:rsidR="002C32EF" w:rsidRDefault="002C32EF" w:rsidP="002C32EF">
      <w:pPr>
        <w:jc w:val="both"/>
        <w:rPr>
          <w:b/>
          <w:noProof/>
          <w:lang w:val="en-US" w:eastAsia="en-GB"/>
        </w:rPr>
      </w:pPr>
      <w:r w:rsidRPr="00177B90">
        <w:rPr>
          <w:b/>
          <w:noProof/>
          <w:lang w:val="en-US" w:eastAsia="en-GB"/>
        </w:rPr>
        <w:t xml:space="preserve">Observation </w:t>
      </w:r>
      <w:r>
        <w:rPr>
          <w:b/>
          <w:noProof/>
          <w:lang w:val="en-US" w:eastAsia="en-GB"/>
        </w:rPr>
        <w:t>13</w:t>
      </w:r>
      <w:r w:rsidRPr="00177B90">
        <w:rPr>
          <w:b/>
          <w:noProof/>
          <w:lang w:val="en-US" w:eastAsia="en-GB"/>
        </w:rPr>
        <w:t>:</w:t>
      </w:r>
      <w:r>
        <w:rPr>
          <w:b/>
          <w:noProof/>
          <w:lang w:val="en-US" w:eastAsia="en-GB"/>
        </w:rPr>
        <w:t xml:space="preserve"> PR1/PR2/PR3 has minimal specification impact.</w:t>
      </w:r>
    </w:p>
    <w:p w14:paraId="7DFBC41D" w14:textId="77777777" w:rsidR="006F2979" w:rsidRDefault="006F2979" w:rsidP="006F2979">
      <w:pPr>
        <w:spacing w:before="120"/>
        <w:jc w:val="both"/>
        <w:rPr>
          <w:b/>
          <w:noProof/>
          <w:lang w:val="en-US" w:eastAsia="en-GB"/>
        </w:rPr>
      </w:pPr>
      <w:r w:rsidRPr="00177B90">
        <w:rPr>
          <w:b/>
          <w:noProof/>
          <w:lang w:val="en-US" w:eastAsia="en-GB"/>
        </w:rPr>
        <w:t xml:space="preserve">Observation </w:t>
      </w:r>
      <w:r>
        <w:rPr>
          <w:b/>
          <w:noProof/>
          <w:lang w:val="en-US" w:eastAsia="en-GB"/>
        </w:rPr>
        <w:t>14</w:t>
      </w:r>
      <w:r w:rsidRPr="00177B90">
        <w:rPr>
          <w:b/>
          <w:noProof/>
          <w:lang w:val="en-US" w:eastAsia="en-GB"/>
        </w:rPr>
        <w:t>:</w:t>
      </w:r>
      <w:r>
        <w:rPr>
          <w:b/>
          <w:noProof/>
          <w:lang w:val="en-US" w:eastAsia="en-GB"/>
        </w:rPr>
        <w:t xml:space="preserve"> PT1/PT2 provide small complexity reduction of around 2-4% when considered in isolation. In combination with BW or PR reduction options, the reduction is even smaller (less than 2%).</w:t>
      </w:r>
    </w:p>
    <w:p w14:paraId="3E9F7596" w14:textId="77777777" w:rsidR="006F2979" w:rsidRDefault="006F2979" w:rsidP="006F2979">
      <w:pPr>
        <w:spacing w:before="120"/>
        <w:jc w:val="both"/>
        <w:rPr>
          <w:b/>
          <w:noProof/>
          <w:lang w:val="en-US" w:eastAsia="en-GB"/>
        </w:rPr>
      </w:pPr>
      <w:r>
        <w:rPr>
          <w:b/>
          <w:noProof/>
          <w:lang w:val="en-US" w:eastAsia="en-GB"/>
        </w:rPr>
        <w:t>Observation 15: PT1/PT2 have negative impact on latency.</w:t>
      </w:r>
    </w:p>
    <w:p w14:paraId="066EC873" w14:textId="77777777" w:rsidR="006F2979" w:rsidRDefault="006F2979" w:rsidP="006F2979">
      <w:pPr>
        <w:spacing w:before="120"/>
        <w:jc w:val="both"/>
        <w:rPr>
          <w:b/>
          <w:noProof/>
          <w:lang w:val="en-US" w:eastAsia="en-GB"/>
        </w:rPr>
      </w:pPr>
      <w:r>
        <w:rPr>
          <w:b/>
          <w:noProof/>
          <w:lang w:val="en-US" w:eastAsia="en-GB"/>
        </w:rPr>
        <w:t>Observation 16: PT1/PT2 have small specification impact.</w:t>
      </w:r>
    </w:p>
    <w:p w14:paraId="6388463F" w14:textId="630C85CB" w:rsidR="006F2979" w:rsidRDefault="006F2979" w:rsidP="006F2979">
      <w:pPr>
        <w:jc w:val="both"/>
        <w:rPr>
          <w:rFonts w:eastAsia="MS Mincho"/>
          <w:lang w:val="en-US" w:eastAsia="ja-JP"/>
        </w:rPr>
      </w:pPr>
      <w:r>
        <w:rPr>
          <w:b/>
          <w:noProof/>
          <w:lang w:val="en-US" w:eastAsia="en-GB"/>
        </w:rPr>
        <w:t>Observation 17: PT1/PT2 have significant impact to scheduler complexity and flexbility.</w:t>
      </w:r>
    </w:p>
    <w:p w14:paraId="4B938C84" w14:textId="77777777" w:rsidR="006F2979" w:rsidRDefault="006F2979" w:rsidP="006F2979">
      <w:pPr>
        <w:spacing w:before="120"/>
        <w:jc w:val="both"/>
        <w:rPr>
          <w:b/>
          <w:noProof/>
          <w:lang w:val="en-US" w:eastAsia="en-GB"/>
        </w:rPr>
      </w:pPr>
      <w:r>
        <w:rPr>
          <w:b/>
          <w:noProof/>
          <w:lang w:val="en-US" w:eastAsia="en-GB"/>
        </w:rPr>
        <w:t>Observation 18: Complexity reduction of PT1/PT2 in combination with BW or PR option is very small (less than 2%).</w:t>
      </w:r>
    </w:p>
    <w:p w14:paraId="4252CDBD" w14:textId="49690447" w:rsidR="00BB177E" w:rsidRDefault="0009317A" w:rsidP="00931B76">
      <w:pPr>
        <w:spacing w:before="120" w:after="120"/>
        <w:jc w:val="both"/>
        <w:rPr>
          <w:lang w:val="en-US"/>
        </w:rPr>
      </w:pPr>
      <w:r>
        <w:rPr>
          <w:lang w:val="en-US"/>
        </w:rPr>
        <w:t>Based on the above observations, we make the following proposals –</w:t>
      </w:r>
    </w:p>
    <w:p w14:paraId="787D3B95" w14:textId="41D46313" w:rsidR="0009317A" w:rsidRDefault="00437D25" w:rsidP="00931B76">
      <w:pPr>
        <w:spacing w:before="120" w:after="120"/>
        <w:jc w:val="both"/>
        <w:rPr>
          <w:b/>
          <w:noProof/>
          <w:lang w:val="en-US" w:eastAsia="en-GB"/>
        </w:rPr>
      </w:pPr>
      <w:r>
        <w:rPr>
          <w:b/>
          <w:noProof/>
          <w:lang w:val="en-US" w:eastAsia="en-GB"/>
        </w:rPr>
        <w:t>Proposal</w:t>
      </w:r>
      <w:r w:rsidRPr="00177B90">
        <w:rPr>
          <w:b/>
          <w:noProof/>
          <w:lang w:val="en-US" w:eastAsia="en-GB"/>
        </w:rPr>
        <w:t xml:space="preserve"> </w:t>
      </w:r>
      <w:r>
        <w:rPr>
          <w:b/>
          <w:noProof/>
          <w:lang w:val="en-US" w:eastAsia="en-GB"/>
        </w:rPr>
        <w:t>1</w:t>
      </w:r>
      <w:r w:rsidRPr="00177B90">
        <w:rPr>
          <w:b/>
          <w:noProof/>
          <w:lang w:val="en-US" w:eastAsia="en-GB"/>
        </w:rPr>
        <w:t>:</w:t>
      </w:r>
      <w:r w:rsidR="00511F59">
        <w:rPr>
          <w:b/>
          <w:noProof/>
          <w:lang w:val="en-US" w:eastAsia="en-GB"/>
        </w:rPr>
        <w:t xml:space="preserve"> RAN1 adopts BW1 or BW3</w:t>
      </w:r>
      <w:r w:rsidR="006E3679">
        <w:rPr>
          <w:b/>
          <w:noProof/>
          <w:lang w:val="en-US" w:eastAsia="en-GB"/>
        </w:rPr>
        <w:t xml:space="preserve">/PR3 </w:t>
      </w:r>
      <w:r w:rsidR="00511F59">
        <w:rPr>
          <w:b/>
          <w:noProof/>
          <w:lang w:val="en-US" w:eastAsia="en-GB"/>
        </w:rPr>
        <w:t>option for further RedCap UE complexity reduction</w:t>
      </w:r>
    </w:p>
    <w:p w14:paraId="1D67FF24" w14:textId="5E35681F" w:rsidR="00511F59" w:rsidRDefault="00511F59" w:rsidP="00511F59">
      <w:pPr>
        <w:spacing w:before="120" w:after="120"/>
        <w:jc w:val="both"/>
        <w:rPr>
          <w:lang w:val="en-US"/>
        </w:rPr>
      </w:pPr>
      <w:r>
        <w:rPr>
          <w:b/>
          <w:noProof/>
          <w:lang w:val="en-US" w:eastAsia="en-GB"/>
        </w:rPr>
        <w:t>Proposal</w:t>
      </w:r>
      <w:r w:rsidRPr="00177B90">
        <w:rPr>
          <w:b/>
          <w:noProof/>
          <w:lang w:val="en-US" w:eastAsia="en-GB"/>
        </w:rPr>
        <w:t xml:space="preserve"> </w:t>
      </w:r>
      <w:r>
        <w:rPr>
          <w:b/>
          <w:noProof/>
          <w:lang w:val="en-US" w:eastAsia="en-GB"/>
        </w:rPr>
        <w:t>2</w:t>
      </w:r>
      <w:r w:rsidRPr="00177B90">
        <w:rPr>
          <w:b/>
          <w:noProof/>
          <w:lang w:val="en-US" w:eastAsia="en-GB"/>
        </w:rPr>
        <w:t>:</w:t>
      </w:r>
      <w:r>
        <w:rPr>
          <w:b/>
          <w:noProof/>
          <w:lang w:val="en-US" w:eastAsia="en-GB"/>
        </w:rPr>
        <w:t xml:space="preserve"> </w:t>
      </w:r>
      <w:r w:rsidR="00361F39">
        <w:rPr>
          <w:b/>
          <w:noProof/>
          <w:lang w:val="en-US" w:eastAsia="en-GB"/>
        </w:rPr>
        <w:t>Processing time relaxation techniques are not considered in Rel-18.</w:t>
      </w:r>
    </w:p>
    <w:p w14:paraId="20A8FE5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E323FED" w14:textId="77777777" w:rsidR="00CF667F" w:rsidRDefault="00820524" w:rsidP="00CF667F">
      <w:pPr>
        <w:numPr>
          <w:ilvl w:val="0"/>
          <w:numId w:val="1"/>
        </w:numPr>
        <w:tabs>
          <w:tab w:val="left" w:pos="360"/>
        </w:tabs>
        <w:spacing w:after="120"/>
        <w:jc w:val="both"/>
        <w:rPr>
          <w:rFonts w:eastAsia="MS Mincho"/>
          <w:lang w:val="en-US" w:eastAsia="ja-JP"/>
        </w:rPr>
      </w:pPr>
      <w:bookmarkStart w:id="28" w:name="_Ref3999986"/>
      <w:r w:rsidRPr="00820524">
        <w:rPr>
          <w:rFonts w:eastAsia="MS Mincho"/>
          <w:lang w:val="en-US" w:eastAsia="ja-JP"/>
        </w:rPr>
        <w:t>RP-</w:t>
      </w:r>
      <w:r w:rsidR="008242A2">
        <w:rPr>
          <w:rFonts w:eastAsia="MS Mincho"/>
          <w:lang w:val="en-US" w:eastAsia="ja-JP"/>
        </w:rPr>
        <w:t>2</w:t>
      </w:r>
      <w:r w:rsidR="00A73128">
        <w:rPr>
          <w:rFonts w:eastAsia="MS Mincho"/>
          <w:lang w:val="en-US" w:eastAsia="ja-JP"/>
        </w:rPr>
        <w:t>13661</w:t>
      </w:r>
      <w:r w:rsidR="00626FC7">
        <w:rPr>
          <w:rFonts w:eastAsia="MS Mincho"/>
          <w:lang w:val="en-US" w:eastAsia="ja-JP"/>
        </w:rPr>
        <w:t>,</w:t>
      </w:r>
      <w:r w:rsidR="00CF667F" w:rsidRPr="00CB3152">
        <w:rPr>
          <w:rFonts w:eastAsia="MS Mincho"/>
          <w:lang w:val="en-US" w:eastAsia="ja-JP"/>
        </w:rPr>
        <w:t xml:space="preserve"> “</w:t>
      </w:r>
      <w:r w:rsidR="00A73128" w:rsidRPr="00A73128">
        <w:rPr>
          <w:lang w:eastAsia="x-none"/>
        </w:rPr>
        <w:t>New SID on Study on further NR RedCap UE complexity reduction</w:t>
      </w:r>
      <w:r w:rsidR="00212954">
        <w:rPr>
          <w:lang w:eastAsia="x-none"/>
        </w:rPr>
        <w:t>,</w:t>
      </w:r>
      <w:r w:rsidR="00CF667F" w:rsidRPr="00CB3152">
        <w:rPr>
          <w:rFonts w:eastAsia="MS Mincho"/>
          <w:lang w:val="en-US" w:eastAsia="ja-JP"/>
        </w:rPr>
        <w:t xml:space="preserve">” </w:t>
      </w:r>
      <w:r w:rsidR="00AB4AE2">
        <w:rPr>
          <w:lang w:val="en-US"/>
        </w:rPr>
        <w:t>Ericsson</w:t>
      </w:r>
      <w:r w:rsidR="00CF667F" w:rsidRPr="00CB3152">
        <w:rPr>
          <w:rFonts w:eastAsia="MS Mincho"/>
          <w:lang w:val="en-US" w:eastAsia="ja-JP"/>
        </w:rPr>
        <w:t xml:space="preserve">, </w:t>
      </w:r>
      <w:r>
        <w:rPr>
          <w:lang w:val="en-US"/>
        </w:rPr>
        <w:t>RAN#</w:t>
      </w:r>
      <w:r w:rsidR="00A73128">
        <w:rPr>
          <w:lang w:val="en-US"/>
        </w:rPr>
        <w:t>94</w:t>
      </w:r>
      <w:r w:rsidR="008242A2">
        <w:rPr>
          <w:lang w:val="en-US"/>
        </w:rPr>
        <w:t>e</w:t>
      </w:r>
      <w:r w:rsidR="004224D6">
        <w:rPr>
          <w:lang w:val="en-US"/>
        </w:rPr>
        <w:t xml:space="preserve">, </w:t>
      </w:r>
      <w:r w:rsidR="008242A2">
        <w:rPr>
          <w:lang w:val="en-US"/>
        </w:rPr>
        <w:t>Electronic Meeting</w:t>
      </w:r>
      <w:r w:rsidR="00212954">
        <w:rPr>
          <w:rFonts w:eastAsia="MS Mincho"/>
          <w:lang w:val="en-US" w:eastAsia="ja-JP"/>
        </w:rPr>
        <w:t>.</w:t>
      </w:r>
      <w:bookmarkEnd w:id="28"/>
    </w:p>
    <w:p w14:paraId="40EA9302" w14:textId="5391A6B2" w:rsidR="00A415F7" w:rsidRDefault="00A415F7" w:rsidP="0000077D">
      <w:pPr>
        <w:numPr>
          <w:ilvl w:val="0"/>
          <w:numId w:val="1"/>
        </w:numPr>
        <w:tabs>
          <w:tab w:val="left" w:pos="360"/>
        </w:tabs>
        <w:spacing w:after="120"/>
        <w:jc w:val="both"/>
        <w:rPr>
          <w:rFonts w:eastAsia="MS Mincho"/>
          <w:lang w:val="en-US" w:eastAsia="ja-JP"/>
        </w:rPr>
      </w:pPr>
      <w:bookmarkStart w:id="29" w:name="_Ref111044486"/>
      <w:bookmarkStart w:id="30" w:name="_Ref101539942"/>
      <w:r w:rsidRPr="00A415F7">
        <w:rPr>
          <w:rFonts w:eastAsia="MS Mincho"/>
          <w:lang w:val="en-US" w:eastAsia="ja-JP"/>
        </w:rPr>
        <w:t>R1-2206444</w:t>
      </w:r>
      <w:r>
        <w:rPr>
          <w:rFonts w:eastAsia="MS Mincho"/>
          <w:lang w:val="en-US" w:eastAsia="ja-JP"/>
        </w:rPr>
        <w:t xml:space="preserve">, “Evaluation of coverage impact,” Nokia, Nokia Shanghai Bell, RAN1 #110, </w:t>
      </w:r>
      <w:r w:rsidRPr="00A415F7">
        <w:rPr>
          <w:rFonts w:eastAsia="MS Mincho"/>
          <w:lang w:val="en-US" w:eastAsia="ja-JP"/>
        </w:rPr>
        <w:t>Toulouse, France</w:t>
      </w:r>
      <w:r>
        <w:rPr>
          <w:rFonts w:eastAsia="MS Mincho"/>
          <w:lang w:val="en-US" w:eastAsia="ja-JP"/>
        </w:rPr>
        <w:t>.</w:t>
      </w:r>
      <w:bookmarkEnd w:id="29"/>
    </w:p>
    <w:bookmarkEnd w:id="30"/>
    <w:p w14:paraId="689247F7" w14:textId="157DBA9D" w:rsidR="00547C5E" w:rsidRDefault="00D50E17" w:rsidP="0000077D">
      <w:pPr>
        <w:numPr>
          <w:ilvl w:val="0"/>
          <w:numId w:val="1"/>
        </w:numPr>
        <w:tabs>
          <w:tab w:val="left" w:pos="360"/>
        </w:tabs>
        <w:spacing w:after="120"/>
        <w:jc w:val="both"/>
        <w:rPr>
          <w:rFonts w:eastAsia="MS Mincho"/>
          <w:lang w:val="en-US" w:eastAsia="ja-JP"/>
        </w:rPr>
      </w:pPr>
      <w:r w:rsidRPr="00820524">
        <w:rPr>
          <w:rFonts w:eastAsia="MS Mincho"/>
          <w:lang w:val="en-US" w:eastAsia="ja-JP"/>
        </w:rPr>
        <w:t>R</w:t>
      </w:r>
      <w:r>
        <w:rPr>
          <w:rFonts w:eastAsia="MS Mincho"/>
          <w:lang w:val="en-US" w:eastAsia="ja-JP"/>
        </w:rPr>
        <w:t>1</w:t>
      </w:r>
      <w:r w:rsidRPr="00820524">
        <w:rPr>
          <w:rFonts w:eastAsia="MS Mincho"/>
          <w:lang w:val="en-US" w:eastAsia="ja-JP"/>
        </w:rPr>
        <w:t>-</w:t>
      </w:r>
      <w:r w:rsidR="00545320">
        <w:rPr>
          <w:rFonts w:eastAsia="MS Mincho"/>
          <w:lang w:val="en-US" w:eastAsia="ja-JP"/>
        </w:rPr>
        <w:t>2205435</w:t>
      </w:r>
      <w:r>
        <w:rPr>
          <w:rFonts w:eastAsia="MS Mincho"/>
          <w:lang w:val="en-US" w:eastAsia="ja-JP"/>
        </w:rPr>
        <w:t>,</w:t>
      </w:r>
      <w:r w:rsidRPr="00CB3152">
        <w:rPr>
          <w:rFonts w:eastAsia="MS Mincho"/>
          <w:lang w:val="en-US" w:eastAsia="ja-JP"/>
        </w:rPr>
        <w:t xml:space="preserve"> “</w:t>
      </w:r>
      <w:r w:rsidR="0012504C" w:rsidRPr="0012504C">
        <w:rPr>
          <w:lang w:eastAsia="x-none"/>
        </w:rPr>
        <w:t>FL summary #</w:t>
      </w:r>
      <w:r w:rsidR="00303503">
        <w:rPr>
          <w:lang w:eastAsia="x-none"/>
        </w:rPr>
        <w:t>4</w:t>
      </w:r>
      <w:r w:rsidR="0012504C" w:rsidRPr="0012504C">
        <w:rPr>
          <w:lang w:eastAsia="x-none"/>
        </w:rPr>
        <w:t xml:space="preserve"> on potential solutions to further reduce RedCap UE complexity</w:t>
      </w:r>
      <w:r w:rsidR="0012504C" w:rsidRPr="0012504C">
        <w:rPr>
          <w:lang w:eastAsia="x-none"/>
        </w:rPr>
        <w:tab/>
      </w:r>
      <w:r>
        <w:rPr>
          <w:lang w:eastAsia="x-none"/>
        </w:rPr>
        <w:t>,</w:t>
      </w:r>
      <w:r w:rsidRPr="00CB3152">
        <w:rPr>
          <w:rFonts w:eastAsia="MS Mincho"/>
          <w:lang w:val="en-US" w:eastAsia="ja-JP"/>
        </w:rPr>
        <w:t xml:space="preserve">” </w:t>
      </w:r>
      <w:r w:rsidR="0012504C" w:rsidRPr="0012504C">
        <w:rPr>
          <w:lang w:eastAsia="x-none"/>
        </w:rPr>
        <w:t>Moderator</w:t>
      </w:r>
      <w:r w:rsidR="001B0FD8">
        <w:rPr>
          <w:lang w:eastAsia="x-none"/>
        </w:rPr>
        <w:t xml:space="preserve"> </w:t>
      </w:r>
      <w:r w:rsidR="0012504C" w:rsidRPr="0012504C">
        <w:rPr>
          <w:lang w:eastAsia="x-none"/>
        </w:rPr>
        <w:t>(Ericsson)</w:t>
      </w:r>
      <w:r w:rsidRPr="00CB3152">
        <w:rPr>
          <w:rFonts w:eastAsia="MS Mincho"/>
          <w:lang w:val="en-US" w:eastAsia="ja-JP"/>
        </w:rPr>
        <w:t xml:space="preserve">, </w:t>
      </w:r>
      <w:r>
        <w:rPr>
          <w:lang w:val="en-US"/>
        </w:rPr>
        <w:t>RAN</w:t>
      </w:r>
      <w:r w:rsidR="0012504C">
        <w:rPr>
          <w:lang w:val="en-US"/>
        </w:rPr>
        <w:t>1</w:t>
      </w:r>
      <w:r>
        <w:rPr>
          <w:lang w:val="en-US"/>
        </w:rPr>
        <w:t>#</w:t>
      </w:r>
      <w:r w:rsidR="0012504C">
        <w:rPr>
          <w:lang w:val="en-US"/>
        </w:rPr>
        <w:t>10</w:t>
      </w:r>
      <w:r>
        <w:rPr>
          <w:lang w:val="en-US"/>
        </w:rPr>
        <w:t>9e, Electronic Meeting</w:t>
      </w:r>
      <w:r>
        <w:rPr>
          <w:rFonts w:eastAsia="MS Mincho"/>
          <w:lang w:val="en-US" w:eastAsia="ja-JP"/>
        </w:rPr>
        <w:t>.</w:t>
      </w:r>
    </w:p>
    <w:p w14:paraId="166AA1C2" w14:textId="42191298" w:rsidR="00BA3D53" w:rsidRDefault="00BA3D53" w:rsidP="00BA3D53">
      <w:pPr>
        <w:numPr>
          <w:ilvl w:val="0"/>
          <w:numId w:val="1"/>
        </w:numPr>
        <w:tabs>
          <w:tab w:val="left" w:pos="360"/>
        </w:tabs>
        <w:spacing w:after="120"/>
        <w:jc w:val="both"/>
        <w:rPr>
          <w:rFonts w:eastAsia="MS Mincho"/>
          <w:lang w:val="en-US" w:eastAsia="ja-JP"/>
        </w:rPr>
      </w:pPr>
      <w:r w:rsidRPr="00820524">
        <w:rPr>
          <w:rFonts w:eastAsia="MS Mincho"/>
          <w:lang w:val="en-US" w:eastAsia="ja-JP"/>
        </w:rPr>
        <w:t>R</w:t>
      </w:r>
      <w:r>
        <w:rPr>
          <w:rFonts w:eastAsia="MS Mincho"/>
          <w:lang w:val="en-US" w:eastAsia="ja-JP"/>
        </w:rPr>
        <w:t>1</w:t>
      </w:r>
      <w:r w:rsidRPr="00820524">
        <w:rPr>
          <w:rFonts w:eastAsia="MS Mincho"/>
          <w:lang w:val="en-US" w:eastAsia="ja-JP"/>
        </w:rPr>
        <w:t>-</w:t>
      </w:r>
      <w:r>
        <w:rPr>
          <w:rFonts w:eastAsia="MS Mincho"/>
          <w:lang w:val="en-US" w:eastAsia="ja-JP"/>
        </w:rPr>
        <w:t>2205</w:t>
      </w:r>
      <w:r w:rsidR="00EA21F9">
        <w:rPr>
          <w:rFonts w:eastAsia="MS Mincho"/>
          <w:lang w:val="en-US" w:eastAsia="ja-JP"/>
        </w:rPr>
        <w:t>643</w:t>
      </w:r>
      <w:r>
        <w:rPr>
          <w:rFonts w:eastAsia="MS Mincho"/>
          <w:lang w:val="en-US" w:eastAsia="ja-JP"/>
        </w:rPr>
        <w:t>,</w:t>
      </w:r>
      <w:r w:rsidRPr="00CB3152">
        <w:rPr>
          <w:rFonts w:eastAsia="MS Mincho"/>
          <w:lang w:val="en-US" w:eastAsia="ja-JP"/>
        </w:rPr>
        <w:t xml:space="preserve"> “</w:t>
      </w:r>
      <w:r w:rsidR="00A741EB" w:rsidRPr="00A741EB">
        <w:rPr>
          <w:lang w:eastAsia="x-none"/>
        </w:rPr>
        <w:t>FL summary #6 on simulation needs and assumptions for further reduce UE complexity</w:t>
      </w:r>
      <w:r>
        <w:rPr>
          <w:lang w:eastAsia="x-none"/>
        </w:rPr>
        <w:t>,</w:t>
      </w:r>
      <w:r w:rsidRPr="00CB3152">
        <w:rPr>
          <w:rFonts w:eastAsia="MS Mincho"/>
          <w:lang w:val="en-US" w:eastAsia="ja-JP"/>
        </w:rPr>
        <w:t xml:space="preserve">” </w:t>
      </w:r>
      <w:r w:rsidRPr="0012504C">
        <w:rPr>
          <w:lang w:eastAsia="x-none"/>
        </w:rPr>
        <w:t>Moderator</w:t>
      </w:r>
      <w:r>
        <w:rPr>
          <w:lang w:eastAsia="x-none"/>
        </w:rPr>
        <w:t xml:space="preserve"> </w:t>
      </w:r>
      <w:r w:rsidRPr="0012504C">
        <w:rPr>
          <w:lang w:eastAsia="x-none"/>
        </w:rPr>
        <w:t>(</w:t>
      </w:r>
      <w:r w:rsidR="003A5F5E" w:rsidRPr="003A5F5E">
        <w:rPr>
          <w:lang w:eastAsia="x-none"/>
        </w:rPr>
        <w:t>NTT DOCOMO, INC.</w:t>
      </w:r>
      <w:r w:rsidRPr="0012504C">
        <w:rPr>
          <w:lang w:eastAsia="x-none"/>
        </w:rPr>
        <w:t>)</w:t>
      </w:r>
      <w:r w:rsidRPr="00CB3152">
        <w:rPr>
          <w:rFonts w:eastAsia="MS Mincho"/>
          <w:lang w:val="en-US" w:eastAsia="ja-JP"/>
        </w:rPr>
        <w:t xml:space="preserve">, </w:t>
      </w:r>
      <w:r>
        <w:rPr>
          <w:lang w:val="en-US"/>
        </w:rPr>
        <w:t>RAN1#109e, Electronic Meeting</w:t>
      </w:r>
      <w:r>
        <w:rPr>
          <w:rFonts w:eastAsia="MS Mincho"/>
          <w:lang w:val="en-US" w:eastAsia="ja-JP"/>
        </w:rPr>
        <w:t>.</w:t>
      </w:r>
    </w:p>
    <w:p w14:paraId="77CEFC69" w14:textId="7DFBB42E" w:rsidR="007A5CA7" w:rsidRDefault="007A5CA7" w:rsidP="007A5CA7">
      <w:pPr>
        <w:numPr>
          <w:ilvl w:val="0"/>
          <w:numId w:val="1"/>
        </w:numPr>
        <w:tabs>
          <w:tab w:val="left" w:pos="360"/>
        </w:tabs>
        <w:spacing w:after="120"/>
        <w:jc w:val="both"/>
        <w:rPr>
          <w:rFonts w:eastAsia="MS Mincho"/>
          <w:lang w:val="en-US" w:eastAsia="ja-JP"/>
        </w:rPr>
      </w:pPr>
      <w:r w:rsidRPr="00820524">
        <w:rPr>
          <w:rFonts w:eastAsia="MS Mincho"/>
          <w:lang w:val="en-US" w:eastAsia="ja-JP"/>
        </w:rPr>
        <w:t>R</w:t>
      </w:r>
      <w:r>
        <w:rPr>
          <w:rFonts w:eastAsia="MS Mincho"/>
          <w:lang w:val="en-US" w:eastAsia="ja-JP"/>
        </w:rPr>
        <w:t>1</w:t>
      </w:r>
      <w:r w:rsidRPr="00820524">
        <w:rPr>
          <w:rFonts w:eastAsia="MS Mincho"/>
          <w:lang w:val="en-US" w:eastAsia="ja-JP"/>
        </w:rPr>
        <w:t>-</w:t>
      </w:r>
      <w:r>
        <w:rPr>
          <w:rFonts w:eastAsia="MS Mincho"/>
          <w:lang w:val="en-US" w:eastAsia="ja-JP"/>
        </w:rPr>
        <w:t>220</w:t>
      </w:r>
      <w:r w:rsidR="00946960">
        <w:rPr>
          <w:rFonts w:eastAsia="MS Mincho"/>
          <w:lang w:val="en-US" w:eastAsia="ja-JP"/>
        </w:rPr>
        <w:t>4038</w:t>
      </w:r>
      <w:r>
        <w:rPr>
          <w:rFonts w:eastAsia="MS Mincho"/>
          <w:lang w:val="en-US" w:eastAsia="ja-JP"/>
        </w:rPr>
        <w:t>,</w:t>
      </w:r>
      <w:r w:rsidRPr="00CB3152">
        <w:rPr>
          <w:rFonts w:eastAsia="MS Mincho"/>
          <w:lang w:val="en-US" w:eastAsia="ja-JP"/>
        </w:rPr>
        <w:t xml:space="preserve"> “</w:t>
      </w:r>
      <w:r w:rsidR="00946960">
        <w:rPr>
          <w:lang w:eastAsia="x-none"/>
        </w:rPr>
        <w:t>Further UE Complexity Reduction</w:t>
      </w:r>
      <w:r>
        <w:rPr>
          <w:lang w:eastAsia="x-none"/>
        </w:rPr>
        <w:t>,</w:t>
      </w:r>
      <w:r w:rsidRPr="00CB3152">
        <w:rPr>
          <w:rFonts w:eastAsia="MS Mincho"/>
          <w:lang w:val="en-US" w:eastAsia="ja-JP"/>
        </w:rPr>
        <w:t xml:space="preserve">” </w:t>
      </w:r>
      <w:r w:rsidR="00EE201C">
        <w:rPr>
          <w:lang w:eastAsia="x-none"/>
        </w:rPr>
        <w:t>Nokia, Nokia Shanghai Bell</w:t>
      </w:r>
      <w:r w:rsidRPr="00CB3152">
        <w:rPr>
          <w:rFonts w:eastAsia="MS Mincho"/>
          <w:lang w:val="en-US" w:eastAsia="ja-JP"/>
        </w:rPr>
        <w:t xml:space="preserve">, </w:t>
      </w:r>
      <w:r>
        <w:rPr>
          <w:lang w:val="en-US"/>
        </w:rPr>
        <w:t>RAN1#109e, Electronic Meeting</w:t>
      </w:r>
      <w:r>
        <w:rPr>
          <w:rFonts w:eastAsia="MS Mincho"/>
          <w:lang w:val="en-US" w:eastAsia="ja-JP"/>
        </w:rPr>
        <w:t>.</w:t>
      </w:r>
    </w:p>
    <w:p w14:paraId="38E2A1FF" w14:textId="15B32ACD" w:rsidR="007A5CA7" w:rsidRPr="00175E15" w:rsidRDefault="00EE201C" w:rsidP="00E76164">
      <w:pPr>
        <w:numPr>
          <w:ilvl w:val="0"/>
          <w:numId w:val="1"/>
        </w:numPr>
        <w:tabs>
          <w:tab w:val="left" w:pos="360"/>
        </w:tabs>
        <w:spacing w:after="120"/>
        <w:jc w:val="both"/>
        <w:rPr>
          <w:rFonts w:eastAsia="MS Mincho"/>
          <w:lang w:val="en-US" w:eastAsia="ja-JP"/>
        </w:rPr>
      </w:pPr>
      <w:r w:rsidRPr="00175E15">
        <w:rPr>
          <w:rFonts w:eastAsia="MS Mincho"/>
          <w:lang w:val="en-US" w:eastAsia="ja-JP"/>
        </w:rPr>
        <w:t>R1-220403</w:t>
      </w:r>
      <w:r w:rsidR="006E6D6A" w:rsidRPr="00175E15">
        <w:rPr>
          <w:rFonts w:eastAsia="MS Mincho"/>
          <w:lang w:val="en-US" w:eastAsia="ja-JP"/>
        </w:rPr>
        <w:t>9</w:t>
      </w:r>
      <w:r w:rsidRPr="00175E15">
        <w:rPr>
          <w:rFonts w:eastAsia="MS Mincho"/>
          <w:lang w:val="en-US" w:eastAsia="ja-JP"/>
        </w:rPr>
        <w:t>, “</w:t>
      </w:r>
      <w:r w:rsidR="006E6D6A">
        <w:rPr>
          <w:lang w:eastAsia="x-none"/>
        </w:rPr>
        <w:t>Evaluation assumptions for further complexity reduction</w:t>
      </w:r>
      <w:r>
        <w:rPr>
          <w:lang w:eastAsia="x-none"/>
        </w:rPr>
        <w:t>,</w:t>
      </w:r>
      <w:r w:rsidRPr="00175E15">
        <w:rPr>
          <w:rFonts w:eastAsia="MS Mincho"/>
          <w:lang w:val="en-US" w:eastAsia="ja-JP"/>
        </w:rPr>
        <w:t xml:space="preserve">” </w:t>
      </w:r>
      <w:r>
        <w:rPr>
          <w:lang w:eastAsia="x-none"/>
        </w:rPr>
        <w:t>Nokia, Nokia Shanghai Bell</w:t>
      </w:r>
      <w:r w:rsidRPr="00175E15">
        <w:rPr>
          <w:rFonts w:eastAsia="MS Mincho"/>
          <w:lang w:val="en-US" w:eastAsia="ja-JP"/>
        </w:rPr>
        <w:t xml:space="preserve">, </w:t>
      </w:r>
      <w:r w:rsidRPr="00175E15">
        <w:rPr>
          <w:lang w:val="en-US"/>
        </w:rPr>
        <w:t>RAN1#109e, Electronic Meeting</w:t>
      </w:r>
      <w:r w:rsidRPr="00175E15">
        <w:rPr>
          <w:rFonts w:eastAsia="MS Mincho"/>
          <w:lang w:val="en-US" w:eastAsia="ja-JP"/>
        </w:rPr>
        <w:t>.</w:t>
      </w:r>
    </w:p>
    <w:sectPr w:rsidR="007A5CA7" w:rsidRPr="00175E1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2EFC8" w14:textId="77777777" w:rsidR="00E70D1E" w:rsidRDefault="00E70D1E">
      <w:r>
        <w:separator/>
      </w:r>
    </w:p>
  </w:endnote>
  <w:endnote w:type="continuationSeparator" w:id="0">
    <w:p w14:paraId="518003C5" w14:textId="77777777" w:rsidR="00E70D1E" w:rsidRDefault="00E70D1E">
      <w:r>
        <w:continuationSeparator/>
      </w:r>
    </w:p>
  </w:endnote>
  <w:endnote w:type="continuationNotice" w:id="1">
    <w:p w14:paraId="7EB937F1" w14:textId="77777777" w:rsidR="00E70D1E" w:rsidRDefault="00E70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A2653" w14:textId="77777777" w:rsidR="00E70D1E" w:rsidRDefault="00E70D1E">
      <w:r>
        <w:separator/>
      </w:r>
    </w:p>
  </w:footnote>
  <w:footnote w:type="continuationSeparator" w:id="0">
    <w:p w14:paraId="72293A0C" w14:textId="77777777" w:rsidR="00E70D1E" w:rsidRDefault="00E70D1E">
      <w:r>
        <w:continuationSeparator/>
      </w:r>
    </w:p>
  </w:footnote>
  <w:footnote w:type="continuationNotice" w:id="1">
    <w:p w14:paraId="759FBE3C" w14:textId="77777777" w:rsidR="00E70D1E" w:rsidRDefault="00E70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977BBD"/>
    <w:multiLevelType w:val="hybridMultilevel"/>
    <w:tmpl w:val="ADE48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C922BD"/>
    <w:multiLevelType w:val="hybridMultilevel"/>
    <w:tmpl w:val="18C4A1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E879BA"/>
    <w:multiLevelType w:val="hybridMultilevel"/>
    <w:tmpl w:val="673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977396"/>
    <w:multiLevelType w:val="hybridMultilevel"/>
    <w:tmpl w:val="3A309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D3A0D"/>
    <w:multiLevelType w:val="hybridMultilevel"/>
    <w:tmpl w:val="6C3E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B1436C"/>
    <w:multiLevelType w:val="multilevel"/>
    <w:tmpl w:val="AF5E2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290733"/>
    <w:multiLevelType w:val="hybridMultilevel"/>
    <w:tmpl w:val="BB8E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5392C"/>
    <w:multiLevelType w:val="hybridMultilevel"/>
    <w:tmpl w:val="3316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2E9572D"/>
    <w:multiLevelType w:val="hybridMultilevel"/>
    <w:tmpl w:val="3B0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E04E2"/>
    <w:multiLevelType w:val="hybridMultilevel"/>
    <w:tmpl w:val="E2C89B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9C4361"/>
    <w:multiLevelType w:val="hybridMultilevel"/>
    <w:tmpl w:val="1F7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67C1B"/>
    <w:multiLevelType w:val="hybridMultilevel"/>
    <w:tmpl w:val="E88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A7072"/>
    <w:multiLevelType w:val="hybridMultilevel"/>
    <w:tmpl w:val="0D84C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12"/>
  </w:num>
  <w:num w:numId="4">
    <w:abstractNumId w:val="16"/>
  </w:num>
  <w:num w:numId="5">
    <w:abstractNumId w:val="33"/>
  </w:num>
  <w:num w:numId="6">
    <w:abstractNumId w:val="17"/>
  </w:num>
  <w:num w:numId="7">
    <w:abstractNumId w:val="14"/>
  </w:num>
  <w:num w:numId="8">
    <w:abstractNumId w:val="1"/>
  </w:num>
  <w:num w:numId="9">
    <w:abstractNumId w:val="29"/>
  </w:num>
  <w:num w:numId="10">
    <w:abstractNumId w:val="13"/>
  </w:num>
  <w:num w:numId="11">
    <w:abstractNumId w:val="30"/>
  </w:num>
  <w:num w:numId="12">
    <w:abstractNumId w:val="25"/>
  </w:num>
  <w:num w:numId="13">
    <w:abstractNumId w:val="9"/>
  </w:num>
  <w:num w:numId="14">
    <w:abstractNumId w:val="27"/>
  </w:num>
  <w:num w:numId="15">
    <w:abstractNumId w:val="11"/>
  </w:num>
  <w:num w:numId="16">
    <w:abstractNumId w:val="20"/>
  </w:num>
  <w:num w:numId="17">
    <w:abstractNumId w:val="28"/>
  </w:num>
  <w:num w:numId="18">
    <w:abstractNumId w:val="21"/>
  </w:num>
  <w:num w:numId="19">
    <w:abstractNumId w:val="24"/>
  </w:num>
  <w:num w:numId="20">
    <w:abstractNumId w:val="19"/>
  </w:num>
  <w:num w:numId="21">
    <w:abstractNumId w:val="26"/>
  </w:num>
  <w:num w:numId="22">
    <w:abstractNumId w:val="6"/>
  </w:num>
  <w:num w:numId="23">
    <w:abstractNumId w:val="7"/>
  </w:num>
  <w:num w:numId="24">
    <w:abstractNumId w:val="3"/>
  </w:num>
  <w:num w:numId="25">
    <w:abstractNumId w:val="10"/>
  </w:num>
  <w:num w:numId="26">
    <w:abstractNumId w:val="8"/>
  </w:num>
  <w:num w:numId="27">
    <w:abstractNumId w:val="32"/>
  </w:num>
  <w:num w:numId="28">
    <w:abstractNumId w:val="31"/>
  </w:num>
  <w:num w:numId="29">
    <w:abstractNumId w:val="15"/>
  </w:num>
  <w:num w:numId="30">
    <w:abstractNumId w:val="18"/>
  </w:num>
  <w:num w:numId="31">
    <w:abstractNumId w:val="2"/>
  </w:num>
  <w:num w:numId="32">
    <w:abstractNumId w:val="4"/>
  </w:num>
  <w:num w:numId="33">
    <w:abstractNumId w:val="22"/>
  </w:num>
  <w:num w:numId="3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8F"/>
    <w:rsid w:val="00004AD6"/>
    <w:rsid w:val="000053A7"/>
    <w:rsid w:val="000056D4"/>
    <w:rsid w:val="0000579F"/>
    <w:rsid w:val="00005B99"/>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787"/>
    <w:rsid w:val="00015842"/>
    <w:rsid w:val="00015BFE"/>
    <w:rsid w:val="0001644E"/>
    <w:rsid w:val="000166E2"/>
    <w:rsid w:val="00016AA0"/>
    <w:rsid w:val="00016D52"/>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763"/>
    <w:rsid w:val="00024B53"/>
    <w:rsid w:val="00024F76"/>
    <w:rsid w:val="000258E3"/>
    <w:rsid w:val="00025B5C"/>
    <w:rsid w:val="00025C24"/>
    <w:rsid w:val="00025D50"/>
    <w:rsid w:val="00026065"/>
    <w:rsid w:val="0002616D"/>
    <w:rsid w:val="00026334"/>
    <w:rsid w:val="000263E6"/>
    <w:rsid w:val="000264B5"/>
    <w:rsid w:val="000265B1"/>
    <w:rsid w:val="000265D7"/>
    <w:rsid w:val="000269F3"/>
    <w:rsid w:val="00026D90"/>
    <w:rsid w:val="0002766A"/>
    <w:rsid w:val="00027BB9"/>
    <w:rsid w:val="00027BCE"/>
    <w:rsid w:val="00027CAF"/>
    <w:rsid w:val="00027D6E"/>
    <w:rsid w:val="00027F0D"/>
    <w:rsid w:val="00030105"/>
    <w:rsid w:val="000304CE"/>
    <w:rsid w:val="000306E3"/>
    <w:rsid w:val="00030DDF"/>
    <w:rsid w:val="00031245"/>
    <w:rsid w:val="00031D20"/>
    <w:rsid w:val="00031DD7"/>
    <w:rsid w:val="000322D0"/>
    <w:rsid w:val="00032523"/>
    <w:rsid w:val="00032A4D"/>
    <w:rsid w:val="00032D9B"/>
    <w:rsid w:val="00033148"/>
    <w:rsid w:val="000332E5"/>
    <w:rsid w:val="00033720"/>
    <w:rsid w:val="00033C84"/>
    <w:rsid w:val="00033E7E"/>
    <w:rsid w:val="00034224"/>
    <w:rsid w:val="00034373"/>
    <w:rsid w:val="00034617"/>
    <w:rsid w:val="0003525C"/>
    <w:rsid w:val="00036A4E"/>
    <w:rsid w:val="000374DF"/>
    <w:rsid w:val="00037887"/>
    <w:rsid w:val="00037D6A"/>
    <w:rsid w:val="000403A2"/>
    <w:rsid w:val="000407B4"/>
    <w:rsid w:val="00040C59"/>
    <w:rsid w:val="00040E5A"/>
    <w:rsid w:val="000411E0"/>
    <w:rsid w:val="000417BF"/>
    <w:rsid w:val="00041923"/>
    <w:rsid w:val="00042141"/>
    <w:rsid w:val="00042263"/>
    <w:rsid w:val="000423CA"/>
    <w:rsid w:val="00042669"/>
    <w:rsid w:val="000427FB"/>
    <w:rsid w:val="00042BC3"/>
    <w:rsid w:val="00043475"/>
    <w:rsid w:val="00043B31"/>
    <w:rsid w:val="00043CB2"/>
    <w:rsid w:val="00044642"/>
    <w:rsid w:val="00044CB4"/>
    <w:rsid w:val="00044F87"/>
    <w:rsid w:val="00045EA6"/>
    <w:rsid w:val="00045F6E"/>
    <w:rsid w:val="000461E3"/>
    <w:rsid w:val="00046586"/>
    <w:rsid w:val="00046A1B"/>
    <w:rsid w:val="00046A41"/>
    <w:rsid w:val="0004725A"/>
    <w:rsid w:val="00047511"/>
    <w:rsid w:val="00047534"/>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2FE5"/>
    <w:rsid w:val="000534AB"/>
    <w:rsid w:val="000535F1"/>
    <w:rsid w:val="00053AD8"/>
    <w:rsid w:val="00053F4F"/>
    <w:rsid w:val="00054BF9"/>
    <w:rsid w:val="00054FA3"/>
    <w:rsid w:val="00055403"/>
    <w:rsid w:val="00055AB3"/>
    <w:rsid w:val="00055AC2"/>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8DD"/>
    <w:rsid w:val="00070B74"/>
    <w:rsid w:val="000728C1"/>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77BDC"/>
    <w:rsid w:val="00080E89"/>
    <w:rsid w:val="00080F9E"/>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6F61"/>
    <w:rsid w:val="00087107"/>
    <w:rsid w:val="000872ED"/>
    <w:rsid w:val="00087647"/>
    <w:rsid w:val="000876BD"/>
    <w:rsid w:val="00087883"/>
    <w:rsid w:val="00087C0A"/>
    <w:rsid w:val="00087E56"/>
    <w:rsid w:val="0009024A"/>
    <w:rsid w:val="0009066E"/>
    <w:rsid w:val="000909A0"/>
    <w:rsid w:val="00090DBB"/>
    <w:rsid w:val="00090EBC"/>
    <w:rsid w:val="0009179B"/>
    <w:rsid w:val="00091A24"/>
    <w:rsid w:val="000922AD"/>
    <w:rsid w:val="00092A56"/>
    <w:rsid w:val="0009317A"/>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A99"/>
    <w:rsid w:val="00096E53"/>
    <w:rsid w:val="00097924"/>
    <w:rsid w:val="00097F30"/>
    <w:rsid w:val="000A06A1"/>
    <w:rsid w:val="000A072C"/>
    <w:rsid w:val="000A0782"/>
    <w:rsid w:val="000A07FC"/>
    <w:rsid w:val="000A0815"/>
    <w:rsid w:val="000A0817"/>
    <w:rsid w:val="000A0E6D"/>
    <w:rsid w:val="000A1587"/>
    <w:rsid w:val="000A18BA"/>
    <w:rsid w:val="000A1962"/>
    <w:rsid w:val="000A1CC6"/>
    <w:rsid w:val="000A1D7D"/>
    <w:rsid w:val="000A1E69"/>
    <w:rsid w:val="000A20BA"/>
    <w:rsid w:val="000A2ABB"/>
    <w:rsid w:val="000A2ED9"/>
    <w:rsid w:val="000A356B"/>
    <w:rsid w:val="000A3803"/>
    <w:rsid w:val="000A3AD1"/>
    <w:rsid w:val="000A3D29"/>
    <w:rsid w:val="000A46A6"/>
    <w:rsid w:val="000A47E2"/>
    <w:rsid w:val="000A4AC0"/>
    <w:rsid w:val="000A4D7C"/>
    <w:rsid w:val="000A5593"/>
    <w:rsid w:val="000A5721"/>
    <w:rsid w:val="000A609E"/>
    <w:rsid w:val="000A6238"/>
    <w:rsid w:val="000A6A09"/>
    <w:rsid w:val="000A6A0B"/>
    <w:rsid w:val="000A6B55"/>
    <w:rsid w:val="000A6CC2"/>
    <w:rsid w:val="000A6D5E"/>
    <w:rsid w:val="000A78B8"/>
    <w:rsid w:val="000A7939"/>
    <w:rsid w:val="000A7AB0"/>
    <w:rsid w:val="000B0141"/>
    <w:rsid w:val="000B0884"/>
    <w:rsid w:val="000B13C6"/>
    <w:rsid w:val="000B1624"/>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A0"/>
    <w:rsid w:val="000B5282"/>
    <w:rsid w:val="000B5875"/>
    <w:rsid w:val="000B64B0"/>
    <w:rsid w:val="000B64E9"/>
    <w:rsid w:val="000B64FA"/>
    <w:rsid w:val="000B674F"/>
    <w:rsid w:val="000B6A1C"/>
    <w:rsid w:val="000B6C7C"/>
    <w:rsid w:val="000B7063"/>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AD6"/>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3FD"/>
    <w:rsid w:val="000D24B2"/>
    <w:rsid w:val="000D269B"/>
    <w:rsid w:val="000D273F"/>
    <w:rsid w:val="000D29A9"/>
    <w:rsid w:val="000D2FC1"/>
    <w:rsid w:val="000D3441"/>
    <w:rsid w:val="000D347D"/>
    <w:rsid w:val="000D35ED"/>
    <w:rsid w:val="000D3AC5"/>
    <w:rsid w:val="000D3BE4"/>
    <w:rsid w:val="000D3FD2"/>
    <w:rsid w:val="000D40AD"/>
    <w:rsid w:val="000D416D"/>
    <w:rsid w:val="000D49A6"/>
    <w:rsid w:val="000D4E0D"/>
    <w:rsid w:val="000D504E"/>
    <w:rsid w:val="000D53B2"/>
    <w:rsid w:val="000D5879"/>
    <w:rsid w:val="000D660B"/>
    <w:rsid w:val="000D6C15"/>
    <w:rsid w:val="000D6D22"/>
    <w:rsid w:val="000D7668"/>
    <w:rsid w:val="000D775F"/>
    <w:rsid w:val="000D78A0"/>
    <w:rsid w:val="000E0562"/>
    <w:rsid w:val="000E08D7"/>
    <w:rsid w:val="000E0B77"/>
    <w:rsid w:val="000E0D66"/>
    <w:rsid w:val="000E0ECC"/>
    <w:rsid w:val="000E16F8"/>
    <w:rsid w:val="000E1946"/>
    <w:rsid w:val="000E1B55"/>
    <w:rsid w:val="000E1C4E"/>
    <w:rsid w:val="000E1D5A"/>
    <w:rsid w:val="000E2C18"/>
    <w:rsid w:val="000E3258"/>
    <w:rsid w:val="000E3442"/>
    <w:rsid w:val="000E3BA0"/>
    <w:rsid w:val="000E3BFF"/>
    <w:rsid w:val="000E3DEF"/>
    <w:rsid w:val="000E41A9"/>
    <w:rsid w:val="000E4FF4"/>
    <w:rsid w:val="000E5108"/>
    <w:rsid w:val="000E537D"/>
    <w:rsid w:val="000E53D3"/>
    <w:rsid w:val="000E5536"/>
    <w:rsid w:val="000E5855"/>
    <w:rsid w:val="000E59BC"/>
    <w:rsid w:val="000E5C7E"/>
    <w:rsid w:val="000E5CAA"/>
    <w:rsid w:val="000E5D5D"/>
    <w:rsid w:val="000E605B"/>
    <w:rsid w:val="000E6106"/>
    <w:rsid w:val="000E6470"/>
    <w:rsid w:val="000E6473"/>
    <w:rsid w:val="000E6635"/>
    <w:rsid w:val="000E6F3F"/>
    <w:rsid w:val="000E72FB"/>
    <w:rsid w:val="000E744C"/>
    <w:rsid w:val="000E7744"/>
    <w:rsid w:val="000E7B33"/>
    <w:rsid w:val="000F0242"/>
    <w:rsid w:val="000F03BD"/>
    <w:rsid w:val="000F09A2"/>
    <w:rsid w:val="000F0E8D"/>
    <w:rsid w:val="000F102A"/>
    <w:rsid w:val="000F12DA"/>
    <w:rsid w:val="000F19F7"/>
    <w:rsid w:val="000F2176"/>
    <w:rsid w:val="000F26EC"/>
    <w:rsid w:val="000F26FD"/>
    <w:rsid w:val="000F2D63"/>
    <w:rsid w:val="000F2F1F"/>
    <w:rsid w:val="000F328B"/>
    <w:rsid w:val="000F33FB"/>
    <w:rsid w:val="000F3693"/>
    <w:rsid w:val="000F3751"/>
    <w:rsid w:val="000F3F95"/>
    <w:rsid w:val="000F41B3"/>
    <w:rsid w:val="000F518F"/>
    <w:rsid w:val="000F536B"/>
    <w:rsid w:val="000F5FB6"/>
    <w:rsid w:val="000F6167"/>
    <w:rsid w:val="000F666C"/>
    <w:rsid w:val="000F7230"/>
    <w:rsid w:val="000F789E"/>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0E7"/>
    <w:rsid w:val="00112575"/>
    <w:rsid w:val="0011290E"/>
    <w:rsid w:val="0011295E"/>
    <w:rsid w:val="00112C9E"/>
    <w:rsid w:val="00112CF7"/>
    <w:rsid w:val="001131E2"/>
    <w:rsid w:val="00113AE2"/>
    <w:rsid w:val="00113DD0"/>
    <w:rsid w:val="001140EA"/>
    <w:rsid w:val="00114480"/>
    <w:rsid w:val="00114D77"/>
    <w:rsid w:val="00115C80"/>
    <w:rsid w:val="00115EB2"/>
    <w:rsid w:val="00116452"/>
    <w:rsid w:val="00116EB9"/>
    <w:rsid w:val="00116EFD"/>
    <w:rsid w:val="001201CE"/>
    <w:rsid w:val="001202F7"/>
    <w:rsid w:val="001215C4"/>
    <w:rsid w:val="001221EC"/>
    <w:rsid w:val="001225F0"/>
    <w:rsid w:val="0012280F"/>
    <w:rsid w:val="00122832"/>
    <w:rsid w:val="00122B4F"/>
    <w:rsid w:val="00122F32"/>
    <w:rsid w:val="001231CA"/>
    <w:rsid w:val="00123F02"/>
    <w:rsid w:val="001243CE"/>
    <w:rsid w:val="00124562"/>
    <w:rsid w:val="00124C85"/>
    <w:rsid w:val="00124E9B"/>
    <w:rsid w:val="0012504C"/>
    <w:rsid w:val="001267FC"/>
    <w:rsid w:val="0012699B"/>
    <w:rsid w:val="00126E18"/>
    <w:rsid w:val="00126F1D"/>
    <w:rsid w:val="00127009"/>
    <w:rsid w:val="0012714F"/>
    <w:rsid w:val="001274F0"/>
    <w:rsid w:val="001277FA"/>
    <w:rsid w:val="001279F8"/>
    <w:rsid w:val="00127B76"/>
    <w:rsid w:val="00127C2C"/>
    <w:rsid w:val="00127EB5"/>
    <w:rsid w:val="001303EA"/>
    <w:rsid w:val="001305B2"/>
    <w:rsid w:val="00130EF9"/>
    <w:rsid w:val="0013107E"/>
    <w:rsid w:val="00131159"/>
    <w:rsid w:val="0013172A"/>
    <w:rsid w:val="001318E7"/>
    <w:rsid w:val="00131D94"/>
    <w:rsid w:val="00131F8B"/>
    <w:rsid w:val="0013229E"/>
    <w:rsid w:val="001325DB"/>
    <w:rsid w:val="00132744"/>
    <w:rsid w:val="0013324B"/>
    <w:rsid w:val="00133309"/>
    <w:rsid w:val="00133794"/>
    <w:rsid w:val="00133A58"/>
    <w:rsid w:val="00133AC7"/>
    <w:rsid w:val="00134416"/>
    <w:rsid w:val="00134B06"/>
    <w:rsid w:val="00134C4F"/>
    <w:rsid w:val="00134F38"/>
    <w:rsid w:val="00135626"/>
    <w:rsid w:val="00135CCB"/>
    <w:rsid w:val="0013601F"/>
    <w:rsid w:val="0013602C"/>
    <w:rsid w:val="00136DAC"/>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0C"/>
    <w:rsid w:val="00154A10"/>
    <w:rsid w:val="00154CBD"/>
    <w:rsid w:val="00154E6E"/>
    <w:rsid w:val="00154F9C"/>
    <w:rsid w:val="0015556D"/>
    <w:rsid w:val="00155571"/>
    <w:rsid w:val="00155EEB"/>
    <w:rsid w:val="00156394"/>
    <w:rsid w:val="001563B7"/>
    <w:rsid w:val="001565C7"/>
    <w:rsid w:val="00156F8B"/>
    <w:rsid w:val="0015709E"/>
    <w:rsid w:val="00157286"/>
    <w:rsid w:val="00157666"/>
    <w:rsid w:val="00157831"/>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9F1"/>
    <w:rsid w:val="00164D3B"/>
    <w:rsid w:val="00165033"/>
    <w:rsid w:val="0016509A"/>
    <w:rsid w:val="0016525C"/>
    <w:rsid w:val="00165758"/>
    <w:rsid w:val="00165A7E"/>
    <w:rsid w:val="00165F9C"/>
    <w:rsid w:val="0016611E"/>
    <w:rsid w:val="001661BC"/>
    <w:rsid w:val="00166AE1"/>
    <w:rsid w:val="001670E0"/>
    <w:rsid w:val="001670EA"/>
    <w:rsid w:val="001674A0"/>
    <w:rsid w:val="0016774B"/>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69B"/>
    <w:rsid w:val="00175E15"/>
    <w:rsid w:val="00176742"/>
    <w:rsid w:val="0017674F"/>
    <w:rsid w:val="00176D2D"/>
    <w:rsid w:val="0017703E"/>
    <w:rsid w:val="00177227"/>
    <w:rsid w:val="00177664"/>
    <w:rsid w:val="00177679"/>
    <w:rsid w:val="001779E5"/>
    <w:rsid w:val="001779F1"/>
    <w:rsid w:val="00177B90"/>
    <w:rsid w:val="00177E80"/>
    <w:rsid w:val="001800B7"/>
    <w:rsid w:val="001800BF"/>
    <w:rsid w:val="001802CA"/>
    <w:rsid w:val="0018034D"/>
    <w:rsid w:val="001807E8"/>
    <w:rsid w:val="0018129E"/>
    <w:rsid w:val="00181CB1"/>
    <w:rsid w:val="00181F7A"/>
    <w:rsid w:val="00182253"/>
    <w:rsid w:val="001825C2"/>
    <w:rsid w:val="00182B15"/>
    <w:rsid w:val="00182B8B"/>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CE8"/>
    <w:rsid w:val="00187D0A"/>
    <w:rsid w:val="001900A2"/>
    <w:rsid w:val="001900D2"/>
    <w:rsid w:val="00190595"/>
    <w:rsid w:val="00190627"/>
    <w:rsid w:val="00190839"/>
    <w:rsid w:val="001909F5"/>
    <w:rsid w:val="00191042"/>
    <w:rsid w:val="00191226"/>
    <w:rsid w:val="001913D3"/>
    <w:rsid w:val="001915E3"/>
    <w:rsid w:val="00191DC6"/>
    <w:rsid w:val="00192575"/>
    <w:rsid w:val="00192C2E"/>
    <w:rsid w:val="00192C52"/>
    <w:rsid w:val="00192DCF"/>
    <w:rsid w:val="0019309D"/>
    <w:rsid w:val="0019320B"/>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A0734"/>
    <w:rsid w:val="001A103E"/>
    <w:rsid w:val="001A1940"/>
    <w:rsid w:val="001A1F3A"/>
    <w:rsid w:val="001A2B4E"/>
    <w:rsid w:val="001A2C97"/>
    <w:rsid w:val="001A3290"/>
    <w:rsid w:val="001A4160"/>
    <w:rsid w:val="001A4215"/>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0FD8"/>
    <w:rsid w:val="001B1053"/>
    <w:rsid w:val="001B185B"/>
    <w:rsid w:val="001B1A86"/>
    <w:rsid w:val="001B2BF4"/>
    <w:rsid w:val="001B2D04"/>
    <w:rsid w:val="001B34EE"/>
    <w:rsid w:val="001B374F"/>
    <w:rsid w:val="001B37C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21"/>
    <w:rsid w:val="001C145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7BA"/>
    <w:rsid w:val="001C6589"/>
    <w:rsid w:val="001C6596"/>
    <w:rsid w:val="001C6EE4"/>
    <w:rsid w:val="001C70F3"/>
    <w:rsid w:val="001C73D7"/>
    <w:rsid w:val="001C76C1"/>
    <w:rsid w:val="001C777A"/>
    <w:rsid w:val="001C78F9"/>
    <w:rsid w:val="001D0592"/>
    <w:rsid w:val="001D09D2"/>
    <w:rsid w:val="001D0CD2"/>
    <w:rsid w:val="001D0DB8"/>
    <w:rsid w:val="001D0E62"/>
    <w:rsid w:val="001D1312"/>
    <w:rsid w:val="001D17D6"/>
    <w:rsid w:val="001D181B"/>
    <w:rsid w:val="001D1C0B"/>
    <w:rsid w:val="001D1D0C"/>
    <w:rsid w:val="001D225A"/>
    <w:rsid w:val="001D2395"/>
    <w:rsid w:val="001D2ECA"/>
    <w:rsid w:val="001D2FAF"/>
    <w:rsid w:val="001D3B95"/>
    <w:rsid w:val="001D3C1F"/>
    <w:rsid w:val="001D41AD"/>
    <w:rsid w:val="001D4D5C"/>
    <w:rsid w:val="001D4FE3"/>
    <w:rsid w:val="001D5039"/>
    <w:rsid w:val="001D52BE"/>
    <w:rsid w:val="001D551D"/>
    <w:rsid w:val="001D5E52"/>
    <w:rsid w:val="001D5FBD"/>
    <w:rsid w:val="001D610E"/>
    <w:rsid w:val="001D6350"/>
    <w:rsid w:val="001D64B9"/>
    <w:rsid w:val="001D64BA"/>
    <w:rsid w:val="001D6C2E"/>
    <w:rsid w:val="001D72D2"/>
    <w:rsid w:val="001D7300"/>
    <w:rsid w:val="001E0801"/>
    <w:rsid w:val="001E1406"/>
    <w:rsid w:val="001E2132"/>
    <w:rsid w:val="001E22A3"/>
    <w:rsid w:val="001E2449"/>
    <w:rsid w:val="001E2698"/>
    <w:rsid w:val="001E2BCB"/>
    <w:rsid w:val="001E36B8"/>
    <w:rsid w:val="001E3C32"/>
    <w:rsid w:val="001E4473"/>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05F"/>
    <w:rsid w:val="001F231A"/>
    <w:rsid w:val="001F2372"/>
    <w:rsid w:val="001F27E2"/>
    <w:rsid w:val="001F2A23"/>
    <w:rsid w:val="001F2DDD"/>
    <w:rsid w:val="001F30EF"/>
    <w:rsid w:val="001F32F7"/>
    <w:rsid w:val="001F39D4"/>
    <w:rsid w:val="001F3BB5"/>
    <w:rsid w:val="001F3EDD"/>
    <w:rsid w:val="001F3FAB"/>
    <w:rsid w:val="001F4259"/>
    <w:rsid w:val="001F48F9"/>
    <w:rsid w:val="001F4940"/>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1DC2"/>
    <w:rsid w:val="00202151"/>
    <w:rsid w:val="00202ABC"/>
    <w:rsid w:val="00202B39"/>
    <w:rsid w:val="00202F91"/>
    <w:rsid w:val="00203461"/>
    <w:rsid w:val="00203F28"/>
    <w:rsid w:val="00204140"/>
    <w:rsid w:val="00204296"/>
    <w:rsid w:val="00204B3A"/>
    <w:rsid w:val="002050D3"/>
    <w:rsid w:val="00205969"/>
    <w:rsid w:val="00206164"/>
    <w:rsid w:val="00206209"/>
    <w:rsid w:val="00206413"/>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2F4"/>
    <w:rsid w:val="0021366B"/>
    <w:rsid w:val="00213755"/>
    <w:rsid w:val="0021396C"/>
    <w:rsid w:val="00213D86"/>
    <w:rsid w:val="002144B8"/>
    <w:rsid w:val="002149AF"/>
    <w:rsid w:val="00214F4D"/>
    <w:rsid w:val="0021577D"/>
    <w:rsid w:val="00215A16"/>
    <w:rsid w:val="00215C63"/>
    <w:rsid w:val="00216244"/>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D22"/>
    <w:rsid w:val="00221167"/>
    <w:rsid w:val="002223C7"/>
    <w:rsid w:val="002225B2"/>
    <w:rsid w:val="00222857"/>
    <w:rsid w:val="00222A7A"/>
    <w:rsid w:val="00223E0D"/>
    <w:rsid w:val="0022436C"/>
    <w:rsid w:val="0022472B"/>
    <w:rsid w:val="00224A2C"/>
    <w:rsid w:val="00224D55"/>
    <w:rsid w:val="00225164"/>
    <w:rsid w:val="002252F0"/>
    <w:rsid w:val="00225413"/>
    <w:rsid w:val="00225648"/>
    <w:rsid w:val="00226BF0"/>
    <w:rsid w:val="002273FB"/>
    <w:rsid w:val="00227BE5"/>
    <w:rsid w:val="00230232"/>
    <w:rsid w:val="0023031F"/>
    <w:rsid w:val="00230375"/>
    <w:rsid w:val="002306C2"/>
    <w:rsid w:val="00230945"/>
    <w:rsid w:val="00230B1F"/>
    <w:rsid w:val="00230C7E"/>
    <w:rsid w:val="00230F1C"/>
    <w:rsid w:val="002312F4"/>
    <w:rsid w:val="002313AE"/>
    <w:rsid w:val="00231BBF"/>
    <w:rsid w:val="00231FC7"/>
    <w:rsid w:val="00232B2F"/>
    <w:rsid w:val="00232B7A"/>
    <w:rsid w:val="00232CC0"/>
    <w:rsid w:val="00232E26"/>
    <w:rsid w:val="0023325B"/>
    <w:rsid w:val="0023363A"/>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C64"/>
    <w:rsid w:val="00251D92"/>
    <w:rsid w:val="00252508"/>
    <w:rsid w:val="002528D5"/>
    <w:rsid w:val="00252C17"/>
    <w:rsid w:val="00252EE2"/>
    <w:rsid w:val="00253004"/>
    <w:rsid w:val="0025303A"/>
    <w:rsid w:val="0025356C"/>
    <w:rsid w:val="00253632"/>
    <w:rsid w:val="0025392F"/>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DEC"/>
    <w:rsid w:val="00264FE0"/>
    <w:rsid w:val="002651FD"/>
    <w:rsid w:val="0026536D"/>
    <w:rsid w:val="0026561E"/>
    <w:rsid w:val="00265C0B"/>
    <w:rsid w:val="00265C20"/>
    <w:rsid w:val="00266D06"/>
    <w:rsid w:val="00266DDD"/>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100"/>
    <w:rsid w:val="0027377F"/>
    <w:rsid w:val="00273C1A"/>
    <w:rsid w:val="00274471"/>
    <w:rsid w:val="0027495E"/>
    <w:rsid w:val="002750E6"/>
    <w:rsid w:val="00275497"/>
    <w:rsid w:val="00275519"/>
    <w:rsid w:val="00275807"/>
    <w:rsid w:val="0027580F"/>
    <w:rsid w:val="002759D0"/>
    <w:rsid w:val="00275E03"/>
    <w:rsid w:val="00276108"/>
    <w:rsid w:val="0027617D"/>
    <w:rsid w:val="002763A9"/>
    <w:rsid w:val="00276D4B"/>
    <w:rsid w:val="00276E69"/>
    <w:rsid w:val="00276FDD"/>
    <w:rsid w:val="002773D6"/>
    <w:rsid w:val="002774CA"/>
    <w:rsid w:val="002775C7"/>
    <w:rsid w:val="002777EA"/>
    <w:rsid w:val="00277C67"/>
    <w:rsid w:val="00277E7D"/>
    <w:rsid w:val="00280049"/>
    <w:rsid w:val="00280569"/>
    <w:rsid w:val="00280F72"/>
    <w:rsid w:val="0028115B"/>
    <w:rsid w:val="00281B66"/>
    <w:rsid w:val="00281BDA"/>
    <w:rsid w:val="002820A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8726E"/>
    <w:rsid w:val="0029036F"/>
    <w:rsid w:val="0029060B"/>
    <w:rsid w:val="00290BA5"/>
    <w:rsid w:val="00291165"/>
    <w:rsid w:val="00291225"/>
    <w:rsid w:val="00291287"/>
    <w:rsid w:val="002914AA"/>
    <w:rsid w:val="00291A09"/>
    <w:rsid w:val="002922A9"/>
    <w:rsid w:val="00293555"/>
    <w:rsid w:val="002937B8"/>
    <w:rsid w:val="00293B50"/>
    <w:rsid w:val="00293E09"/>
    <w:rsid w:val="00293E1B"/>
    <w:rsid w:val="00294C4F"/>
    <w:rsid w:val="00294DF4"/>
    <w:rsid w:val="002952B2"/>
    <w:rsid w:val="0029564B"/>
    <w:rsid w:val="002958DB"/>
    <w:rsid w:val="0029592C"/>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8CE"/>
    <w:rsid w:val="002A799E"/>
    <w:rsid w:val="002A7E30"/>
    <w:rsid w:val="002A7FB0"/>
    <w:rsid w:val="002B02D3"/>
    <w:rsid w:val="002B044B"/>
    <w:rsid w:val="002B0562"/>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C010B"/>
    <w:rsid w:val="002C06B7"/>
    <w:rsid w:val="002C139E"/>
    <w:rsid w:val="002C180A"/>
    <w:rsid w:val="002C1C79"/>
    <w:rsid w:val="002C1F53"/>
    <w:rsid w:val="002C2E1E"/>
    <w:rsid w:val="002C30A5"/>
    <w:rsid w:val="002C32DB"/>
    <w:rsid w:val="002C32EF"/>
    <w:rsid w:val="002C354F"/>
    <w:rsid w:val="002C3622"/>
    <w:rsid w:val="002C3894"/>
    <w:rsid w:val="002C39FE"/>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0F5"/>
    <w:rsid w:val="002E23CA"/>
    <w:rsid w:val="002E23D5"/>
    <w:rsid w:val="002E2EE0"/>
    <w:rsid w:val="002E3686"/>
    <w:rsid w:val="002E3A21"/>
    <w:rsid w:val="002E3A3B"/>
    <w:rsid w:val="002E4D2E"/>
    <w:rsid w:val="002E596D"/>
    <w:rsid w:val="002E5B31"/>
    <w:rsid w:val="002E5CC3"/>
    <w:rsid w:val="002E5F7A"/>
    <w:rsid w:val="002E6225"/>
    <w:rsid w:val="002E628D"/>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7A0"/>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57B"/>
    <w:rsid w:val="00300E13"/>
    <w:rsid w:val="00301225"/>
    <w:rsid w:val="0030122E"/>
    <w:rsid w:val="003012F9"/>
    <w:rsid w:val="003013B2"/>
    <w:rsid w:val="00301EE5"/>
    <w:rsid w:val="0030235D"/>
    <w:rsid w:val="00302409"/>
    <w:rsid w:val="0030263A"/>
    <w:rsid w:val="0030287A"/>
    <w:rsid w:val="00302A21"/>
    <w:rsid w:val="00302D86"/>
    <w:rsid w:val="0030310B"/>
    <w:rsid w:val="00303503"/>
    <w:rsid w:val="003035D8"/>
    <w:rsid w:val="00303B0C"/>
    <w:rsid w:val="00303B57"/>
    <w:rsid w:val="00303D53"/>
    <w:rsid w:val="003042FE"/>
    <w:rsid w:val="003045C1"/>
    <w:rsid w:val="003048D7"/>
    <w:rsid w:val="00304E42"/>
    <w:rsid w:val="00304EC7"/>
    <w:rsid w:val="00305571"/>
    <w:rsid w:val="0030565B"/>
    <w:rsid w:val="0030573D"/>
    <w:rsid w:val="00305749"/>
    <w:rsid w:val="0030599F"/>
    <w:rsid w:val="003061B5"/>
    <w:rsid w:val="00306569"/>
    <w:rsid w:val="00306858"/>
    <w:rsid w:val="00306A70"/>
    <w:rsid w:val="003071F6"/>
    <w:rsid w:val="0030773F"/>
    <w:rsid w:val="00307BCA"/>
    <w:rsid w:val="00307D56"/>
    <w:rsid w:val="003102D0"/>
    <w:rsid w:val="00310463"/>
    <w:rsid w:val="003108E0"/>
    <w:rsid w:val="00310E5A"/>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68E"/>
    <w:rsid w:val="003175A6"/>
    <w:rsid w:val="0031771F"/>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68C"/>
    <w:rsid w:val="00324C9B"/>
    <w:rsid w:val="00324D2E"/>
    <w:rsid w:val="00324E60"/>
    <w:rsid w:val="003250A8"/>
    <w:rsid w:val="00325640"/>
    <w:rsid w:val="003256BC"/>
    <w:rsid w:val="00325702"/>
    <w:rsid w:val="00325D5D"/>
    <w:rsid w:val="00325EA8"/>
    <w:rsid w:val="00326617"/>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7FE"/>
    <w:rsid w:val="00337B59"/>
    <w:rsid w:val="0034019D"/>
    <w:rsid w:val="00340429"/>
    <w:rsid w:val="003404E1"/>
    <w:rsid w:val="00340807"/>
    <w:rsid w:val="00340968"/>
    <w:rsid w:val="00340BB3"/>
    <w:rsid w:val="00340DE8"/>
    <w:rsid w:val="0034101B"/>
    <w:rsid w:val="0034111C"/>
    <w:rsid w:val="0034161F"/>
    <w:rsid w:val="00341723"/>
    <w:rsid w:val="00341A54"/>
    <w:rsid w:val="00341AEB"/>
    <w:rsid w:val="00341B23"/>
    <w:rsid w:val="00341C27"/>
    <w:rsid w:val="00341D1F"/>
    <w:rsid w:val="00341E1C"/>
    <w:rsid w:val="0034279D"/>
    <w:rsid w:val="00342A18"/>
    <w:rsid w:val="00342AD5"/>
    <w:rsid w:val="00342DD3"/>
    <w:rsid w:val="00343513"/>
    <w:rsid w:val="0034388A"/>
    <w:rsid w:val="00343B42"/>
    <w:rsid w:val="00343B5C"/>
    <w:rsid w:val="003443D6"/>
    <w:rsid w:val="003447F7"/>
    <w:rsid w:val="003449C7"/>
    <w:rsid w:val="003449E4"/>
    <w:rsid w:val="003462D7"/>
    <w:rsid w:val="003465E5"/>
    <w:rsid w:val="00346ADA"/>
    <w:rsid w:val="00346B8E"/>
    <w:rsid w:val="00347245"/>
    <w:rsid w:val="003472CC"/>
    <w:rsid w:val="003474B8"/>
    <w:rsid w:val="0034778B"/>
    <w:rsid w:val="00347F95"/>
    <w:rsid w:val="003501AE"/>
    <w:rsid w:val="0035023F"/>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B9B"/>
    <w:rsid w:val="00356253"/>
    <w:rsid w:val="0035641C"/>
    <w:rsid w:val="00356861"/>
    <w:rsid w:val="003579FA"/>
    <w:rsid w:val="00357B29"/>
    <w:rsid w:val="00357B9C"/>
    <w:rsid w:val="00357CE3"/>
    <w:rsid w:val="00360E9F"/>
    <w:rsid w:val="00361310"/>
    <w:rsid w:val="0036140A"/>
    <w:rsid w:val="00361D71"/>
    <w:rsid w:val="00361F39"/>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67D20"/>
    <w:rsid w:val="003705AC"/>
    <w:rsid w:val="00370866"/>
    <w:rsid w:val="003709DA"/>
    <w:rsid w:val="00370EC4"/>
    <w:rsid w:val="003710E1"/>
    <w:rsid w:val="003710E2"/>
    <w:rsid w:val="003711E9"/>
    <w:rsid w:val="003714BC"/>
    <w:rsid w:val="00371781"/>
    <w:rsid w:val="00371787"/>
    <w:rsid w:val="003717EC"/>
    <w:rsid w:val="00372043"/>
    <w:rsid w:val="00372093"/>
    <w:rsid w:val="00372471"/>
    <w:rsid w:val="00372702"/>
    <w:rsid w:val="0037366C"/>
    <w:rsid w:val="00373A7D"/>
    <w:rsid w:val="00373FF9"/>
    <w:rsid w:val="0037411D"/>
    <w:rsid w:val="0037493F"/>
    <w:rsid w:val="00374B35"/>
    <w:rsid w:val="00374CAF"/>
    <w:rsid w:val="00374DB7"/>
    <w:rsid w:val="0037500D"/>
    <w:rsid w:val="00375259"/>
    <w:rsid w:val="0037538D"/>
    <w:rsid w:val="00375761"/>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0F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691"/>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1E76"/>
    <w:rsid w:val="003A2DB1"/>
    <w:rsid w:val="003A31A1"/>
    <w:rsid w:val="003A3614"/>
    <w:rsid w:val="003A4130"/>
    <w:rsid w:val="003A4649"/>
    <w:rsid w:val="003A498F"/>
    <w:rsid w:val="003A5322"/>
    <w:rsid w:val="003A597F"/>
    <w:rsid w:val="003A5DA9"/>
    <w:rsid w:val="003A5F5E"/>
    <w:rsid w:val="003A5F81"/>
    <w:rsid w:val="003A6088"/>
    <w:rsid w:val="003A63F5"/>
    <w:rsid w:val="003A6AEA"/>
    <w:rsid w:val="003A6DA3"/>
    <w:rsid w:val="003A7357"/>
    <w:rsid w:val="003A75A0"/>
    <w:rsid w:val="003A75F1"/>
    <w:rsid w:val="003A7966"/>
    <w:rsid w:val="003B02E9"/>
    <w:rsid w:val="003B030B"/>
    <w:rsid w:val="003B05A5"/>
    <w:rsid w:val="003B0750"/>
    <w:rsid w:val="003B0ABB"/>
    <w:rsid w:val="003B0F77"/>
    <w:rsid w:val="003B1161"/>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89D"/>
    <w:rsid w:val="003E3F38"/>
    <w:rsid w:val="003E42DD"/>
    <w:rsid w:val="003E4580"/>
    <w:rsid w:val="003E521B"/>
    <w:rsid w:val="003E5428"/>
    <w:rsid w:val="003E588D"/>
    <w:rsid w:val="003E5AD0"/>
    <w:rsid w:val="003E5B0C"/>
    <w:rsid w:val="003E5B29"/>
    <w:rsid w:val="003E5D2C"/>
    <w:rsid w:val="003E5E46"/>
    <w:rsid w:val="003E6282"/>
    <w:rsid w:val="003E6B45"/>
    <w:rsid w:val="003E6D71"/>
    <w:rsid w:val="003E6F97"/>
    <w:rsid w:val="003E7EC6"/>
    <w:rsid w:val="003F008D"/>
    <w:rsid w:val="003F020E"/>
    <w:rsid w:val="003F0739"/>
    <w:rsid w:val="003F1329"/>
    <w:rsid w:val="003F164B"/>
    <w:rsid w:val="003F16FA"/>
    <w:rsid w:val="003F1A7F"/>
    <w:rsid w:val="003F2433"/>
    <w:rsid w:val="003F2449"/>
    <w:rsid w:val="003F29CC"/>
    <w:rsid w:val="003F2FF7"/>
    <w:rsid w:val="003F3B26"/>
    <w:rsid w:val="003F3EB7"/>
    <w:rsid w:val="003F43D8"/>
    <w:rsid w:val="003F4414"/>
    <w:rsid w:val="003F448D"/>
    <w:rsid w:val="003F45C9"/>
    <w:rsid w:val="003F5869"/>
    <w:rsid w:val="003F5D59"/>
    <w:rsid w:val="003F636B"/>
    <w:rsid w:val="003F681C"/>
    <w:rsid w:val="003F68B8"/>
    <w:rsid w:val="003F6DE3"/>
    <w:rsid w:val="003F6E9F"/>
    <w:rsid w:val="003F702F"/>
    <w:rsid w:val="003F70F5"/>
    <w:rsid w:val="003F762A"/>
    <w:rsid w:val="003F782F"/>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73C"/>
    <w:rsid w:val="00403985"/>
    <w:rsid w:val="00403991"/>
    <w:rsid w:val="00403C11"/>
    <w:rsid w:val="004040CD"/>
    <w:rsid w:val="0040439D"/>
    <w:rsid w:val="00404B02"/>
    <w:rsid w:val="00405191"/>
    <w:rsid w:val="00405A85"/>
    <w:rsid w:val="00405F8F"/>
    <w:rsid w:val="00406011"/>
    <w:rsid w:val="004063B9"/>
    <w:rsid w:val="00406E44"/>
    <w:rsid w:val="00406ED1"/>
    <w:rsid w:val="00406ED2"/>
    <w:rsid w:val="0040783F"/>
    <w:rsid w:val="00410094"/>
    <w:rsid w:val="004100F6"/>
    <w:rsid w:val="0041021C"/>
    <w:rsid w:val="004115FA"/>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36A"/>
    <w:rsid w:val="004255B8"/>
    <w:rsid w:val="004257BB"/>
    <w:rsid w:val="00425AFA"/>
    <w:rsid w:val="00425E33"/>
    <w:rsid w:val="00426580"/>
    <w:rsid w:val="00426714"/>
    <w:rsid w:val="00426DA6"/>
    <w:rsid w:val="0042732D"/>
    <w:rsid w:val="004276EE"/>
    <w:rsid w:val="004276F1"/>
    <w:rsid w:val="00427AAD"/>
    <w:rsid w:val="00427AB4"/>
    <w:rsid w:val="00427DEA"/>
    <w:rsid w:val="0043062F"/>
    <w:rsid w:val="00430768"/>
    <w:rsid w:val="00430D56"/>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25"/>
    <w:rsid w:val="00437D57"/>
    <w:rsid w:val="004403E4"/>
    <w:rsid w:val="00440FE8"/>
    <w:rsid w:val="00441877"/>
    <w:rsid w:val="00441D5C"/>
    <w:rsid w:val="004426C0"/>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52"/>
    <w:rsid w:val="00460481"/>
    <w:rsid w:val="00460EE6"/>
    <w:rsid w:val="00460FCA"/>
    <w:rsid w:val="00461210"/>
    <w:rsid w:val="0046185D"/>
    <w:rsid w:val="00461A04"/>
    <w:rsid w:val="00461C0C"/>
    <w:rsid w:val="00461E37"/>
    <w:rsid w:val="00462339"/>
    <w:rsid w:val="00462766"/>
    <w:rsid w:val="004630E3"/>
    <w:rsid w:val="004632B6"/>
    <w:rsid w:val="00463890"/>
    <w:rsid w:val="00463B13"/>
    <w:rsid w:val="004647D4"/>
    <w:rsid w:val="00464A30"/>
    <w:rsid w:val="00464C0B"/>
    <w:rsid w:val="00464CE3"/>
    <w:rsid w:val="00465C7C"/>
    <w:rsid w:val="00465E45"/>
    <w:rsid w:val="00465EB1"/>
    <w:rsid w:val="00465FB1"/>
    <w:rsid w:val="00466292"/>
    <w:rsid w:val="00466649"/>
    <w:rsid w:val="0046714E"/>
    <w:rsid w:val="00467347"/>
    <w:rsid w:val="004673A9"/>
    <w:rsid w:val="004674D2"/>
    <w:rsid w:val="004676CE"/>
    <w:rsid w:val="00467E1A"/>
    <w:rsid w:val="00467FA5"/>
    <w:rsid w:val="004701AA"/>
    <w:rsid w:val="004708CA"/>
    <w:rsid w:val="00470BFC"/>
    <w:rsid w:val="00471BA2"/>
    <w:rsid w:val="00471BB3"/>
    <w:rsid w:val="00472023"/>
    <w:rsid w:val="00472942"/>
    <w:rsid w:val="00472985"/>
    <w:rsid w:val="004733FF"/>
    <w:rsid w:val="00473B00"/>
    <w:rsid w:val="00473D37"/>
    <w:rsid w:val="00473EBB"/>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1046"/>
    <w:rsid w:val="00481645"/>
    <w:rsid w:val="004817BD"/>
    <w:rsid w:val="00481D65"/>
    <w:rsid w:val="004823FD"/>
    <w:rsid w:val="0048298F"/>
    <w:rsid w:val="00482C1D"/>
    <w:rsid w:val="00483261"/>
    <w:rsid w:val="004832C7"/>
    <w:rsid w:val="0048330A"/>
    <w:rsid w:val="0048348A"/>
    <w:rsid w:val="0048350F"/>
    <w:rsid w:val="00483CDA"/>
    <w:rsid w:val="00484015"/>
    <w:rsid w:val="004843F1"/>
    <w:rsid w:val="00484424"/>
    <w:rsid w:val="00484A7C"/>
    <w:rsid w:val="004854CB"/>
    <w:rsid w:val="00485977"/>
    <w:rsid w:val="00485BB6"/>
    <w:rsid w:val="00485E9A"/>
    <w:rsid w:val="00485EB5"/>
    <w:rsid w:val="00485FDC"/>
    <w:rsid w:val="004865FB"/>
    <w:rsid w:val="00486696"/>
    <w:rsid w:val="00486EAE"/>
    <w:rsid w:val="00486F2E"/>
    <w:rsid w:val="00486F84"/>
    <w:rsid w:val="0048710A"/>
    <w:rsid w:val="00487151"/>
    <w:rsid w:val="00487235"/>
    <w:rsid w:val="00487621"/>
    <w:rsid w:val="0048784B"/>
    <w:rsid w:val="00487863"/>
    <w:rsid w:val="00487F2F"/>
    <w:rsid w:val="0049015D"/>
    <w:rsid w:val="004901A6"/>
    <w:rsid w:val="00490831"/>
    <w:rsid w:val="00490D14"/>
    <w:rsid w:val="0049169D"/>
    <w:rsid w:val="004916A0"/>
    <w:rsid w:val="004917AB"/>
    <w:rsid w:val="00491D89"/>
    <w:rsid w:val="00491DF0"/>
    <w:rsid w:val="00492033"/>
    <w:rsid w:val="00492D1D"/>
    <w:rsid w:val="00492DF7"/>
    <w:rsid w:val="00492E4E"/>
    <w:rsid w:val="00493180"/>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550"/>
    <w:rsid w:val="004A0837"/>
    <w:rsid w:val="004A083E"/>
    <w:rsid w:val="004A0E5E"/>
    <w:rsid w:val="004A1073"/>
    <w:rsid w:val="004A1130"/>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CE0"/>
    <w:rsid w:val="004B2D59"/>
    <w:rsid w:val="004B3259"/>
    <w:rsid w:val="004B3551"/>
    <w:rsid w:val="004B37EF"/>
    <w:rsid w:val="004B3F34"/>
    <w:rsid w:val="004B475A"/>
    <w:rsid w:val="004B47C7"/>
    <w:rsid w:val="004B4BFD"/>
    <w:rsid w:val="004B4D46"/>
    <w:rsid w:val="004B529D"/>
    <w:rsid w:val="004B5E06"/>
    <w:rsid w:val="004B5FDE"/>
    <w:rsid w:val="004B6209"/>
    <w:rsid w:val="004B6F8C"/>
    <w:rsid w:val="004B71D2"/>
    <w:rsid w:val="004B74FF"/>
    <w:rsid w:val="004B76E7"/>
    <w:rsid w:val="004B7B75"/>
    <w:rsid w:val="004B7DFD"/>
    <w:rsid w:val="004B7E88"/>
    <w:rsid w:val="004B7FED"/>
    <w:rsid w:val="004C0BD8"/>
    <w:rsid w:val="004C0C03"/>
    <w:rsid w:val="004C0DC5"/>
    <w:rsid w:val="004C1394"/>
    <w:rsid w:val="004C1EFA"/>
    <w:rsid w:val="004C20B0"/>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D006C"/>
    <w:rsid w:val="004D0803"/>
    <w:rsid w:val="004D0A0D"/>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98D"/>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4E5"/>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1E2"/>
    <w:rsid w:val="00502A5B"/>
    <w:rsid w:val="00502F6A"/>
    <w:rsid w:val="005039D8"/>
    <w:rsid w:val="00503E6A"/>
    <w:rsid w:val="00505035"/>
    <w:rsid w:val="005053AA"/>
    <w:rsid w:val="00505458"/>
    <w:rsid w:val="005054D9"/>
    <w:rsid w:val="0050574D"/>
    <w:rsid w:val="0050588B"/>
    <w:rsid w:val="00505A7C"/>
    <w:rsid w:val="00506238"/>
    <w:rsid w:val="00506364"/>
    <w:rsid w:val="005063B0"/>
    <w:rsid w:val="0050649C"/>
    <w:rsid w:val="00506692"/>
    <w:rsid w:val="00507561"/>
    <w:rsid w:val="00507DC3"/>
    <w:rsid w:val="005100C4"/>
    <w:rsid w:val="005101C8"/>
    <w:rsid w:val="00510975"/>
    <w:rsid w:val="00510AFC"/>
    <w:rsid w:val="00510CB7"/>
    <w:rsid w:val="00511079"/>
    <w:rsid w:val="00511353"/>
    <w:rsid w:val="00511922"/>
    <w:rsid w:val="00511C4B"/>
    <w:rsid w:val="00511F59"/>
    <w:rsid w:val="00512352"/>
    <w:rsid w:val="00512654"/>
    <w:rsid w:val="00512676"/>
    <w:rsid w:val="00512D17"/>
    <w:rsid w:val="00512E57"/>
    <w:rsid w:val="0051330B"/>
    <w:rsid w:val="0051334A"/>
    <w:rsid w:val="0051423C"/>
    <w:rsid w:val="0051514C"/>
    <w:rsid w:val="00515349"/>
    <w:rsid w:val="00515422"/>
    <w:rsid w:val="00515519"/>
    <w:rsid w:val="005163EF"/>
    <w:rsid w:val="00516666"/>
    <w:rsid w:val="00516B09"/>
    <w:rsid w:val="00516D12"/>
    <w:rsid w:val="00516FD9"/>
    <w:rsid w:val="005172C1"/>
    <w:rsid w:val="00517352"/>
    <w:rsid w:val="00517C56"/>
    <w:rsid w:val="00517C73"/>
    <w:rsid w:val="005205EA"/>
    <w:rsid w:val="00520713"/>
    <w:rsid w:val="0052093C"/>
    <w:rsid w:val="00520B9F"/>
    <w:rsid w:val="0052113F"/>
    <w:rsid w:val="005213BF"/>
    <w:rsid w:val="00521747"/>
    <w:rsid w:val="005217B5"/>
    <w:rsid w:val="005219BB"/>
    <w:rsid w:val="00521AD2"/>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BD8"/>
    <w:rsid w:val="005276BC"/>
    <w:rsid w:val="00527AFF"/>
    <w:rsid w:val="00527E6D"/>
    <w:rsid w:val="005311B2"/>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12E8"/>
    <w:rsid w:val="00541837"/>
    <w:rsid w:val="0054194F"/>
    <w:rsid w:val="00541A1B"/>
    <w:rsid w:val="00541A68"/>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AAE"/>
    <w:rsid w:val="00544C9A"/>
    <w:rsid w:val="00545286"/>
    <w:rsid w:val="00545320"/>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E7F"/>
    <w:rsid w:val="005561EB"/>
    <w:rsid w:val="005565F9"/>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C7"/>
    <w:rsid w:val="00565408"/>
    <w:rsid w:val="00565489"/>
    <w:rsid w:val="00565A85"/>
    <w:rsid w:val="00565B34"/>
    <w:rsid w:val="00565B86"/>
    <w:rsid w:val="00565C99"/>
    <w:rsid w:val="00565EAF"/>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3A1"/>
    <w:rsid w:val="00577530"/>
    <w:rsid w:val="00577F4E"/>
    <w:rsid w:val="0058011C"/>
    <w:rsid w:val="00580459"/>
    <w:rsid w:val="00580954"/>
    <w:rsid w:val="00580E26"/>
    <w:rsid w:val="005811DF"/>
    <w:rsid w:val="005815FD"/>
    <w:rsid w:val="005818F0"/>
    <w:rsid w:val="00581E43"/>
    <w:rsid w:val="005820C2"/>
    <w:rsid w:val="0058239E"/>
    <w:rsid w:val="00582979"/>
    <w:rsid w:val="00583325"/>
    <w:rsid w:val="00583631"/>
    <w:rsid w:val="00583871"/>
    <w:rsid w:val="00583C95"/>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66"/>
    <w:rsid w:val="00590388"/>
    <w:rsid w:val="005903B1"/>
    <w:rsid w:val="00590A08"/>
    <w:rsid w:val="00590E29"/>
    <w:rsid w:val="005910FF"/>
    <w:rsid w:val="005912AA"/>
    <w:rsid w:val="00591624"/>
    <w:rsid w:val="00591769"/>
    <w:rsid w:val="0059179B"/>
    <w:rsid w:val="00592104"/>
    <w:rsid w:val="0059264B"/>
    <w:rsid w:val="00592A63"/>
    <w:rsid w:val="00592BF4"/>
    <w:rsid w:val="00592E78"/>
    <w:rsid w:val="00592EB2"/>
    <w:rsid w:val="005930CA"/>
    <w:rsid w:val="00593766"/>
    <w:rsid w:val="00593AC3"/>
    <w:rsid w:val="00593D37"/>
    <w:rsid w:val="0059401A"/>
    <w:rsid w:val="0059437E"/>
    <w:rsid w:val="00594386"/>
    <w:rsid w:val="005943A0"/>
    <w:rsid w:val="005944A3"/>
    <w:rsid w:val="005949DC"/>
    <w:rsid w:val="00594EEE"/>
    <w:rsid w:val="0059535D"/>
    <w:rsid w:val="00595659"/>
    <w:rsid w:val="0059667F"/>
    <w:rsid w:val="005969BC"/>
    <w:rsid w:val="005975F5"/>
    <w:rsid w:val="005979F8"/>
    <w:rsid w:val="00597A54"/>
    <w:rsid w:val="00597EBB"/>
    <w:rsid w:val="005A0173"/>
    <w:rsid w:val="005A129E"/>
    <w:rsid w:val="005A14E1"/>
    <w:rsid w:val="005A17A2"/>
    <w:rsid w:val="005A19EF"/>
    <w:rsid w:val="005A1A2F"/>
    <w:rsid w:val="005A1C50"/>
    <w:rsid w:val="005A2293"/>
    <w:rsid w:val="005A2421"/>
    <w:rsid w:val="005A252B"/>
    <w:rsid w:val="005A3274"/>
    <w:rsid w:val="005A3328"/>
    <w:rsid w:val="005A3658"/>
    <w:rsid w:val="005A36A5"/>
    <w:rsid w:val="005A45ED"/>
    <w:rsid w:val="005A48AC"/>
    <w:rsid w:val="005A4932"/>
    <w:rsid w:val="005A4964"/>
    <w:rsid w:val="005A510C"/>
    <w:rsid w:val="005A5208"/>
    <w:rsid w:val="005A58FF"/>
    <w:rsid w:val="005A5FE6"/>
    <w:rsid w:val="005A6290"/>
    <w:rsid w:val="005A68E9"/>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498"/>
    <w:rsid w:val="005B5A6A"/>
    <w:rsid w:val="005B6C71"/>
    <w:rsid w:val="005B7227"/>
    <w:rsid w:val="005B72DD"/>
    <w:rsid w:val="005B7560"/>
    <w:rsid w:val="005B77C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492F"/>
    <w:rsid w:val="005C4E9A"/>
    <w:rsid w:val="005C4F91"/>
    <w:rsid w:val="005C50BD"/>
    <w:rsid w:val="005C52BB"/>
    <w:rsid w:val="005C5563"/>
    <w:rsid w:val="005C5A5E"/>
    <w:rsid w:val="005C6991"/>
    <w:rsid w:val="005C6BA5"/>
    <w:rsid w:val="005C746F"/>
    <w:rsid w:val="005D0A7F"/>
    <w:rsid w:val="005D18BD"/>
    <w:rsid w:val="005D1C45"/>
    <w:rsid w:val="005D26C8"/>
    <w:rsid w:val="005D28B1"/>
    <w:rsid w:val="005D2E62"/>
    <w:rsid w:val="005D3076"/>
    <w:rsid w:val="005D3262"/>
    <w:rsid w:val="005D3565"/>
    <w:rsid w:val="005D3842"/>
    <w:rsid w:val="005D3E17"/>
    <w:rsid w:val="005D3EE9"/>
    <w:rsid w:val="005D4398"/>
    <w:rsid w:val="005D43BF"/>
    <w:rsid w:val="005D48C4"/>
    <w:rsid w:val="005D4BC7"/>
    <w:rsid w:val="005D6331"/>
    <w:rsid w:val="005D6612"/>
    <w:rsid w:val="005D6AFC"/>
    <w:rsid w:val="005D6B92"/>
    <w:rsid w:val="005D6BBA"/>
    <w:rsid w:val="005D712D"/>
    <w:rsid w:val="005D76B8"/>
    <w:rsid w:val="005D7CA9"/>
    <w:rsid w:val="005D7DE6"/>
    <w:rsid w:val="005E05C4"/>
    <w:rsid w:val="005E0E72"/>
    <w:rsid w:val="005E1564"/>
    <w:rsid w:val="005E165C"/>
    <w:rsid w:val="005E20E9"/>
    <w:rsid w:val="005E2732"/>
    <w:rsid w:val="005E27E4"/>
    <w:rsid w:val="005E2C98"/>
    <w:rsid w:val="005E31D5"/>
    <w:rsid w:val="005E3253"/>
    <w:rsid w:val="005E34A5"/>
    <w:rsid w:val="005E3797"/>
    <w:rsid w:val="005E390A"/>
    <w:rsid w:val="005E3AEF"/>
    <w:rsid w:val="005E3F6C"/>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2129"/>
    <w:rsid w:val="005F2396"/>
    <w:rsid w:val="005F23F6"/>
    <w:rsid w:val="005F2596"/>
    <w:rsid w:val="005F2628"/>
    <w:rsid w:val="005F30A0"/>
    <w:rsid w:val="005F3814"/>
    <w:rsid w:val="005F3839"/>
    <w:rsid w:val="005F38C1"/>
    <w:rsid w:val="005F38F0"/>
    <w:rsid w:val="005F3F32"/>
    <w:rsid w:val="005F4506"/>
    <w:rsid w:val="005F4643"/>
    <w:rsid w:val="005F4927"/>
    <w:rsid w:val="005F4C57"/>
    <w:rsid w:val="005F52AC"/>
    <w:rsid w:val="005F54AD"/>
    <w:rsid w:val="005F5947"/>
    <w:rsid w:val="005F5ACD"/>
    <w:rsid w:val="005F5B88"/>
    <w:rsid w:val="005F689A"/>
    <w:rsid w:val="005F68E9"/>
    <w:rsid w:val="005F6B3E"/>
    <w:rsid w:val="005F6DA0"/>
    <w:rsid w:val="005F78F4"/>
    <w:rsid w:val="005F7A2C"/>
    <w:rsid w:val="005F7C65"/>
    <w:rsid w:val="00600509"/>
    <w:rsid w:val="00600871"/>
    <w:rsid w:val="006011A8"/>
    <w:rsid w:val="006011FA"/>
    <w:rsid w:val="006019C5"/>
    <w:rsid w:val="00601B65"/>
    <w:rsid w:val="00601BD4"/>
    <w:rsid w:val="0060287B"/>
    <w:rsid w:val="00602D09"/>
    <w:rsid w:val="00602ED7"/>
    <w:rsid w:val="0060307D"/>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1D2"/>
    <w:rsid w:val="00607973"/>
    <w:rsid w:val="00607F41"/>
    <w:rsid w:val="00610281"/>
    <w:rsid w:val="00610385"/>
    <w:rsid w:val="006106A7"/>
    <w:rsid w:val="0061110A"/>
    <w:rsid w:val="0061128F"/>
    <w:rsid w:val="00611B66"/>
    <w:rsid w:val="00611F34"/>
    <w:rsid w:val="006125A3"/>
    <w:rsid w:val="00612A05"/>
    <w:rsid w:val="006139CC"/>
    <w:rsid w:val="00613C89"/>
    <w:rsid w:val="0061449D"/>
    <w:rsid w:val="00614BEF"/>
    <w:rsid w:val="00614CD1"/>
    <w:rsid w:val="00614FCF"/>
    <w:rsid w:val="0061505B"/>
    <w:rsid w:val="00616155"/>
    <w:rsid w:val="00616411"/>
    <w:rsid w:val="00616DF5"/>
    <w:rsid w:val="00616EC9"/>
    <w:rsid w:val="00616FAD"/>
    <w:rsid w:val="00617D97"/>
    <w:rsid w:val="00620121"/>
    <w:rsid w:val="00620951"/>
    <w:rsid w:val="00620974"/>
    <w:rsid w:val="00620BF0"/>
    <w:rsid w:val="00621A4B"/>
    <w:rsid w:val="00621BAF"/>
    <w:rsid w:val="00621D04"/>
    <w:rsid w:val="00621E92"/>
    <w:rsid w:val="0062202B"/>
    <w:rsid w:val="006220DB"/>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EA0"/>
    <w:rsid w:val="00630102"/>
    <w:rsid w:val="00630964"/>
    <w:rsid w:val="00630AB5"/>
    <w:rsid w:val="00630F89"/>
    <w:rsid w:val="00631175"/>
    <w:rsid w:val="00631307"/>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3C4"/>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843"/>
    <w:rsid w:val="00645EED"/>
    <w:rsid w:val="006461D5"/>
    <w:rsid w:val="00646676"/>
    <w:rsid w:val="006466FB"/>
    <w:rsid w:val="006467E6"/>
    <w:rsid w:val="00646A66"/>
    <w:rsid w:val="00646BA6"/>
    <w:rsid w:val="00646F4D"/>
    <w:rsid w:val="006472E1"/>
    <w:rsid w:val="00647338"/>
    <w:rsid w:val="006476E0"/>
    <w:rsid w:val="0065034C"/>
    <w:rsid w:val="00650373"/>
    <w:rsid w:val="006503A0"/>
    <w:rsid w:val="00650E37"/>
    <w:rsid w:val="00650E85"/>
    <w:rsid w:val="00651154"/>
    <w:rsid w:val="00651319"/>
    <w:rsid w:val="00652869"/>
    <w:rsid w:val="00652A58"/>
    <w:rsid w:val="00652B52"/>
    <w:rsid w:val="00652D86"/>
    <w:rsid w:val="00652F24"/>
    <w:rsid w:val="00652FFF"/>
    <w:rsid w:val="006531A6"/>
    <w:rsid w:val="00653541"/>
    <w:rsid w:val="0065395E"/>
    <w:rsid w:val="00653A88"/>
    <w:rsid w:val="00653F38"/>
    <w:rsid w:val="00654B58"/>
    <w:rsid w:val="00654E40"/>
    <w:rsid w:val="0065501E"/>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177"/>
    <w:rsid w:val="0066447D"/>
    <w:rsid w:val="00664540"/>
    <w:rsid w:val="006646F9"/>
    <w:rsid w:val="006648B9"/>
    <w:rsid w:val="00664F64"/>
    <w:rsid w:val="00664F7E"/>
    <w:rsid w:val="00664FF5"/>
    <w:rsid w:val="00665025"/>
    <w:rsid w:val="00665863"/>
    <w:rsid w:val="00665F94"/>
    <w:rsid w:val="00666086"/>
    <w:rsid w:val="006662ED"/>
    <w:rsid w:val="0066657F"/>
    <w:rsid w:val="00666A8F"/>
    <w:rsid w:val="00666A9C"/>
    <w:rsid w:val="00666E78"/>
    <w:rsid w:val="00667358"/>
    <w:rsid w:val="00667C80"/>
    <w:rsid w:val="00667CF9"/>
    <w:rsid w:val="00667F37"/>
    <w:rsid w:val="0067015A"/>
    <w:rsid w:val="0067017C"/>
    <w:rsid w:val="0067024D"/>
    <w:rsid w:val="0067090B"/>
    <w:rsid w:val="00670DDA"/>
    <w:rsid w:val="00671E11"/>
    <w:rsid w:val="0067206B"/>
    <w:rsid w:val="0067215B"/>
    <w:rsid w:val="00672BB3"/>
    <w:rsid w:val="006734F6"/>
    <w:rsid w:val="006738A7"/>
    <w:rsid w:val="006740FF"/>
    <w:rsid w:val="00674695"/>
    <w:rsid w:val="00674B2D"/>
    <w:rsid w:val="006752BB"/>
    <w:rsid w:val="006758CA"/>
    <w:rsid w:val="00675D5A"/>
    <w:rsid w:val="00675F58"/>
    <w:rsid w:val="006761F8"/>
    <w:rsid w:val="006763E4"/>
    <w:rsid w:val="006764A2"/>
    <w:rsid w:val="006765FF"/>
    <w:rsid w:val="00676946"/>
    <w:rsid w:val="00676C89"/>
    <w:rsid w:val="00677474"/>
    <w:rsid w:val="006776E3"/>
    <w:rsid w:val="00677925"/>
    <w:rsid w:val="006803ED"/>
    <w:rsid w:val="0068048F"/>
    <w:rsid w:val="006804BC"/>
    <w:rsid w:val="00680538"/>
    <w:rsid w:val="006805E9"/>
    <w:rsid w:val="00680F41"/>
    <w:rsid w:val="00680F57"/>
    <w:rsid w:val="006818A4"/>
    <w:rsid w:val="00682594"/>
    <w:rsid w:val="00682AF4"/>
    <w:rsid w:val="00682B32"/>
    <w:rsid w:val="00682C73"/>
    <w:rsid w:val="00683D9E"/>
    <w:rsid w:val="006843B4"/>
    <w:rsid w:val="006845A2"/>
    <w:rsid w:val="006846E2"/>
    <w:rsid w:val="0068498E"/>
    <w:rsid w:val="00684AB8"/>
    <w:rsid w:val="00684CA7"/>
    <w:rsid w:val="00684E70"/>
    <w:rsid w:val="00684F6E"/>
    <w:rsid w:val="006853D4"/>
    <w:rsid w:val="00685534"/>
    <w:rsid w:val="006855F4"/>
    <w:rsid w:val="006857B7"/>
    <w:rsid w:val="00685B5C"/>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439"/>
    <w:rsid w:val="006875D5"/>
    <w:rsid w:val="0068783A"/>
    <w:rsid w:val="00687EBF"/>
    <w:rsid w:val="006907DB"/>
    <w:rsid w:val="006907E6"/>
    <w:rsid w:val="00690C7E"/>
    <w:rsid w:val="00690E94"/>
    <w:rsid w:val="00690EF6"/>
    <w:rsid w:val="00691E2A"/>
    <w:rsid w:val="006936CE"/>
    <w:rsid w:val="00693B92"/>
    <w:rsid w:val="00693F5A"/>
    <w:rsid w:val="00694270"/>
    <w:rsid w:val="00694C3E"/>
    <w:rsid w:val="00694D7C"/>
    <w:rsid w:val="0069581E"/>
    <w:rsid w:val="00695F8B"/>
    <w:rsid w:val="00696209"/>
    <w:rsid w:val="00696EA1"/>
    <w:rsid w:val="006973F6"/>
    <w:rsid w:val="006974D9"/>
    <w:rsid w:val="006975A7"/>
    <w:rsid w:val="0069775B"/>
    <w:rsid w:val="006A0D16"/>
    <w:rsid w:val="006A0DF4"/>
    <w:rsid w:val="006A0EF5"/>
    <w:rsid w:val="006A1144"/>
    <w:rsid w:val="006A12DD"/>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DEC"/>
    <w:rsid w:val="006A7FFB"/>
    <w:rsid w:val="006B05A2"/>
    <w:rsid w:val="006B0A88"/>
    <w:rsid w:val="006B0AC8"/>
    <w:rsid w:val="006B0D58"/>
    <w:rsid w:val="006B149F"/>
    <w:rsid w:val="006B1583"/>
    <w:rsid w:val="006B1628"/>
    <w:rsid w:val="006B1653"/>
    <w:rsid w:val="006B1BC0"/>
    <w:rsid w:val="006B2238"/>
    <w:rsid w:val="006B26C6"/>
    <w:rsid w:val="006B27DF"/>
    <w:rsid w:val="006B3459"/>
    <w:rsid w:val="006B3C70"/>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EA6"/>
    <w:rsid w:val="006C0F4B"/>
    <w:rsid w:val="006C1096"/>
    <w:rsid w:val="006C1224"/>
    <w:rsid w:val="006C151F"/>
    <w:rsid w:val="006C15B5"/>
    <w:rsid w:val="006C1760"/>
    <w:rsid w:val="006C17F5"/>
    <w:rsid w:val="006C193A"/>
    <w:rsid w:val="006C1B61"/>
    <w:rsid w:val="006C1B62"/>
    <w:rsid w:val="006C1C6D"/>
    <w:rsid w:val="006C21EA"/>
    <w:rsid w:val="006C2418"/>
    <w:rsid w:val="006C278B"/>
    <w:rsid w:val="006C2A38"/>
    <w:rsid w:val="006C2AA7"/>
    <w:rsid w:val="006C2BF7"/>
    <w:rsid w:val="006C2E51"/>
    <w:rsid w:val="006C2FF9"/>
    <w:rsid w:val="006C3A4A"/>
    <w:rsid w:val="006C3EC8"/>
    <w:rsid w:val="006C3FC9"/>
    <w:rsid w:val="006C4106"/>
    <w:rsid w:val="006C4278"/>
    <w:rsid w:val="006C46A4"/>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628"/>
    <w:rsid w:val="006D1EC3"/>
    <w:rsid w:val="006D2279"/>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779"/>
    <w:rsid w:val="006E0127"/>
    <w:rsid w:val="006E049C"/>
    <w:rsid w:val="006E0A1C"/>
    <w:rsid w:val="006E0B13"/>
    <w:rsid w:val="006E0BDC"/>
    <w:rsid w:val="006E0D8E"/>
    <w:rsid w:val="006E0DF1"/>
    <w:rsid w:val="006E0E2C"/>
    <w:rsid w:val="006E1163"/>
    <w:rsid w:val="006E13D1"/>
    <w:rsid w:val="006E1416"/>
    <w:rsid w:val="006E143C"/>
    <w:rsid w:val="006E180C"/>
    <w:rsid w:val="006E2246"/>
    <w:rsid w:val="006E22A7"/>
    <w:rsid w:val="006E2743"/>
    <w:rsid w:val="006E2F00"/>
    <w:rsid w:val="006E3679"/>
    <w:rsid w:val="006E3D74"/>
    <w:rsid w:val="006E421D"/>
    <w:rsid w:val="006E50C2"/>
    <w:rsid w:val="006E52A1"/>
    <w:rsid w:val="006E54FC"/>
    <w:rsid w:val="006E625A"/>
    <w:rsid w:val="006E65D0"/>
    <w:rsid w:val="006E6693"/>
    <w:rsid w:val="006E671C"/>
    <w:rsid w:val="006E6A0C"/>
    <w:rsid w:val="006E6AB2"/>
    <w:rsid w:val="006E6BA3"/>
    <w:rsid w:val="006E6D6A"/>
    <w:rsid w:val="006E6EFD"/>
    <w:rsid w:val="006E6FFE"/>
    <w:rsid w:val="006E77B4"/>
    <w:rsid w:val="006F0214"/>
    <w:rsid w:val="006F0426"/>
    <w:rsid w:val="006F076B"/>
    <w:rsid w:val="006F07DE"/>
    <w:rsid w:val="006F08B1"/>
    <w:rsid w:val="006F123E"/>
    <w:rsid w:val="006F1752"/>
    <w:rsid w:val="006F1A38"/>
    <w:rsid w:val="006F27C2"/>
    <w:rsid w:val="006F2979"/>
    <w:rsid w:val="006F2CAC"/>
    <w:rsid w:val="006F2D22"/>
    <w:rsid w:val="006F2E04"/>
    <w:rsid w:val="006F310D"/>
    <w:rsid w:val="006F3589"/>
    <w:rsid w:val="006F3ADC"/>
    <w:rsid w:val="006F4327"/>
    <w:rsid w:val="006F4B36"/>
    <w:rsid w:val="006F4BF7"/>
    <w:rsid w:val="006F4C5D"/>
    <w:rsid w:val="006F52AF"/>
    <w:rsid w:val="006F56CD"/>
    <w:rsid w:val="006F5874"/>
    <w:rsid w:val="006F589E"/>
    <w:rsid w:val="006F5B1D"/>
    <w:rsid w:val="006F5D41"/>
    <w:rsid w:val="006F5F0B"/>
    <w:rsid w:val="006F63D1"/>
    <w:rsid w:val="006F64A4"/>
    <w:rsid w:val="006F670F"/>
    <w:rsid w:val="006F6FCD"/>
    <w:rsid w:val="0070009A"/>
    <w:rsid w:val="00700297"/>
    <w:rsid w:val="007003C4"/>
    <w:rsid w:val="007004E7"/>
    <w:rsid w:val="00700503"/>
    <w:rsid w:val="007012DE"/>
    <w:rsid w:val="007013CA"/>
    <w:rsid w:val="007013E1"/>
    <w:rsid w:val="0070160A"/>
    <w:rsid w:val="0070234D"/>
    <w:rsid w:val="0070271F"/>
    <w:rsid w:val="007027A1"/>
    <w:rsid w:val="00702C36"/>
    <w:rsid w:val="0070320C"/>
    <w:rsid w:val="00703547"/>
    <w:rsid w:val="0070396B"/>
    <w:rsid w:val="00703A4A"/>
    <w:rsid w:val="00703C0A"/>
    <w:rsid w:val="007046FF"/>
    <w:rsid w:val="007051D3"/>
    <w:rsid w:val="0070527E"/>
    <w:rsid w:val="007058A3"/>
    <w:rsid w:val="00705D03"/>
    <w:rsid w:val="0070635B"/>
    <w:rsid w:val="00706973"/>
    <w:rsid w:val="00706FC5"/>
    <w:rsid w:val="00707254"/>
    <w:rsid w:val="007074EC"/>
    <w:rsid w:val="00707503"/>
    <w:rsid w:val="00707A0A"/>
    <w:rsid w:val="00707A3A"/>
    <w:rsid w:val="00707D6F"/>
    <w:rsid w:val="00707F36"/>
    <w:rsid w:val="00710BA4"/>
    <w:rsid w:val="00710BCC"/>
    <w:rsid w:val="00711B9B"/>
    <w:rsid w:val="00711E13"/>
    <w:rsid w:val="007120BA"/>
    <w:rsid w:val="00712765"/>
    <w:rsid w:val="0071295E"/>
    <w:rsid w:val="00712EDA"/>
    <w:rsid w:val="00713130"/>
    <w:rsid w:val="00714554"/>
    <w:rsid w:val="0071480D"/>
    <w:rsid w:val="007148B6"/>
    <w:rsid w:val="007152C6"/>
    <w:rsid w:val="00715340"/>
    <w:rsid w:val="00715B3C"/>
    <w:rsid w:val="00715B85"/>
    <w:rsid w:val="00715D5C"/>
    <w:rsid w:val="007162D8"/>
    <w:rsid w:val="00716C8C"/>
    <w:rsid w:val="0071705B"/>
    <w:rsid w:val="00717731"/>
    <w:rsid w:val="007177A8"/>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F52"/>
    <w:rsid w:val="007301CA"/>
    <w:rsid w:val="00730AE0"/>
    <w:rsid w:val="00731885"/>
    <w:rsid w:val="00731A2A"/>
    <w:rsid w:val="00731B54"/>
    <w:rsid w:val="00731DCD"/>
    <w:rsid w:val="00731DE7"/>
    <w:rsid w:val="00731E05"/>
    <w:rsid w:val="00731E54"/>
    <w:rsid w:val="007322A8"/>
    <w:rsid w:val="00732B63"/>
    <w:rsid w:val="007334CA"/>
    <w:rsid w:val="007336E8"/>
    <w:rsid w:val="00733706"/>
    <w:rsid w:val="00733A29"/>
    <w:rsid w:val="00733CDA"/>
    <w:rsid w:val="00734850"/>
    <w:rsid w:val="00734A5E"/>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412"/>
    <w:rsid w:val="007375A2"/>
    <w:rsid w:val="00737D61"/>
    <w:rsid w:val="00737F82"/>
    <w:rsid w:val="007405B2"/>
    <w:rsid w:val="007405EC"/>
    <w:rsid w:val="0074067F"/>
    <w:rsid w:val="00740BFC"/>
    <w:rsid w:val="007416FB"/>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433"/>
    <w:rsid w:val="0074654D"/>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4E03"/>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68B"/>
    <w:rsid w:val="00762CEA"/>
    <w:rsid w:val="00762D12"/>
    <w:rsid w:val="007633C9"/>
    <w:rsid w:val="00763B3C"/>
    <w:rsid w:val="00763EF1"/>
    <w:rsid w:val="0076419D"/>
    <w:rsid w:val="007642A3"/>
    <w:rsid w:val="007642AD"/>
    <w:rsid w:val="0076440B"/>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654"/>
    <w:rsid w:val="007739FC"/>
    <w:rsid w:val="00773E7F"/>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0CF"/>
    <w:rsid w:val="00782390"/>
    <w:rsid w:val="007824ED"/>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38B"/>
    <w:rsid w:val="007865DE"/>
    <w:rsid w:val="007867CB"/>
    <w:rsid w:val="0078681D"/>
    <w:rsid w:val="00786BF5"/>
    <w:rsid w:val="00787051"/>
    <w:rsid w:val="007871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978"/>
    <w:rsid w:val="007A0A96"/>
    <w:rsid w:val="007A0F65"/>
    <w:rsid w:val="007A0FCB"/>
    <w:rsid w:val="007A0FF3"/>
    <w:rsid w:val="007A151B"/>
    <w:rsid w:val="007A1752"/>
    <w:rsid w:val="007A1D5B"/>
    <w:rsid w:val="007A1FAB"/>
    <w:rsid w:val="007A2333"/>
    <w:rsid w:val="007A2812"/>
    <w:rsid w:val="007A287F"/>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921"/>
    <w:rsid w:val="007B0FAA"/>
    <w:rsid w:val="007B1256"/>
    <w:rsid w:val="007B165E"/>
    <w:rsid w:val="007B176B"/>
    <w:rsid w:val="007B17E4"/>
    <w:rsid w:val="007B1B32"/>
    <w:rsid w:val="007B1CF7"/>
    <w:rsid w:val="007B1EFB"/>
    <w:rsid w:val="007B223D"/>
    <w:rsid w:val="007B2431"/>
    <w:rsid w:val="007B245E"/>
    <w:rsid w:val="007B2501"/>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7F2"/>
    <w:rsid w:val="007B69AA"/>
    <w:rsid w:val="007B720B"/>
    <w:rsid w:val="007B73C8"/>
    <w:rsid w:val="007B7496"/>
    <w:rsid w:val="007B76BD"/>
    <w:rsid w:val="007B7834"/>
    <w:rsid w:val="007B7D7B"/>
    <w:rsid w:val="007C06BF"/>
    <w:rsid w:val="007C07AB"/>
    <w:rsid w:val="007C0B23"/>
    <w:rsid w:val="007C0D6E"/>
    <w:rsid w:val="007C0EFD"/>
    <w:rsid w:val="007C2352"/>
    <w:rsid w:val="007C2729"/>
    <w:rsid w:val="007C2739"/>
    <w:rsid w:val="007C289D"/>
    <w:rsid w:val="007C2964"/>
    <w:rsid w:val="007C2ED0"/>
    <w:rsid w:val="007C3040"/>
    <w:rsid w:val="007C30DC"/>
    <w:rsid w:val="007C34A2"/>
    <w:rsid w:val="007C3FA2"/>
    <w:rsid w:val="007C4D02"/>
    <w:rsid w:val="007C4DBA"/>
    <w:rsid w:val="007C4EB4"/>
    <w:rsid w:val="007C502A"/>
    <w:rsid w:val="007C5553"/>
    <w:rsid w:val="007C57CE"/>
    <w:rsid w:val="007C5B92"/>
    <w:rsid w:val="007C6AD3"/>
    <w:rsid w:val="007C6B64"/>
    <w:rsid w:val="007C72FD"/>
    <w:rsid w:val="007C7638"/>
    <w:rsid w:val="007C779A"/>
    <w:rsid w:val="007C7833"/>
    <w:rsid w:val="007C7C74"/>
    <w:rsid w:val="007C7D4F"/>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CAA"/>
    <w:rsid w:val="007E1D23"/>
    <w:rsid w:val="007E24A9"/>
    <w:rsid w:val="007E27C4"/>
    <w:rsid w:val="007E3495"/>
    <w:rsid w:val="007E3704"/>
    <w:rsid w:val="007E3C98"/>
    <w:rsid w:val="007E4209"/>
    <w:rsid w:val="007E4C30"/>
    <w:rsid w:val="007E4F92"/>
    <w:rsid w:val="007E54CB"/>
    <w:rsid w:val="007E5B01"/>
    <w:rsid w:val="007E5BB1"/>
    <w:rsid w:val="007E6000"/>
    <w:rsid w:val="007E617B"/>
    <w:rsid w:val="007E670B"/>
    <w:rsid w:val="007E6A27"/>
    <w:rsid w:val="007E6C46"/>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CD0"/>
    <w:rsid w:val="007F29F0"/>
    <w:rsid w:val="007F3156"/>
    <w:rsid w:val="007F3D63"/>
    <w:rsid w:val="007F461B"/>
    <w:rsid w:val="007F47CF"/>
    <w:rsid w:val="007F493D"/>
    <w:rsid w:val="007F4B96"/>
    <w:rsid w:val="007F4D38"/>
    <w:rsid w:val="007F5395"/>
    <w:rsid w:val="007F54E2"/>
    <w:rsid w:val="007F5628"/>
    <w:rsid w:val="007F5898"/>
    <w:rsid w:val="007F5C40"/>
    <w:rsid w:val="007F5CFE"/>
    <w:rsid w:val="007F6568"/>
    <w:rsid w:val="007F67E3"/>
    <w:rsid w:val="007F6D3E"/>
    <w:rsid w:val="007F73C5"/>
    <w:rsid w:val="007F75DC"/>
    <w:rsid w:val="007F76A3"/>
    <w:rsid w:val="007F7718"/>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D7C"/>
    <w:rsid w:val="00803F54"/>
    <w:rsid w:val="00804889"/>
    <w:rsid w:val="00804E1E"/>
    <w:rsid w:val="00805066"/>
    <w:rsid w:val="008055C4"/>
    <w:rsid w:val="0080568F"/>
    <w:rsid w:val="008057A0"/>
    <w:rsid w:val="00806455"/>
    <w:rsid w:val="0080716C"/>
    <w:rsid w:val="0080743E"/>
    <w:rsid w:val="008074C3"/>
    <w:rsid w:val="00807664"/>
    <w:rsid w:val="00807987"/>
    <w:rsid w:val="00807BA7"/>
    <w:rsid w:val="00807E2C"/>
    <w:rsid w:val="0081077D"/>
    <w:rsid w:val="0081098E"/>
    <w:rsid w:val="008109D2"/>
    <w:rsid w:val="00810ECE"/>
    <w:rsid w:val="008110BD"/>
    <w:rsid w:val="00811219"/>
    <w:rsid w:val="0081121A"/>
    <w:rsid w:val="00811319"/>
    <w:rsid w:val="00811731"/>
    <w:rsid w:val="00811E9D"/>
    <w:rsid w:val="0081209E"/>
    <w:rsid w:val="00812455"/>
    <w:rsid w:val="00812608"/>
    <w:rsid w:val="008129D3"/>
    <w:rsid w:val="0081318D"/>
    <w:rsid w:val="00813DEA"/>
    <w:rsid w:val="00813E56"/>
    <w:rsid w:val="00814452"/>
    <w:rsid w:val="008154B4"/>
    <w:rsid w:val="008155D8"/>
    <w:rsid w:val="00815779"/>
    <w:rsid w:val="00816126"/>
    <w:rsid w:val="0081625F"/>
    <w:rsid w:val="008162A0"/>
    <w:rsid w:val="0081663F"/>
    <w:rsid w:val="00816781"/>
    <w:rsid w:val="00816E3D"/>
    <w:rsid w:val="008175D9"/>
    <w:rsid w:val="00817B04"/>
    <w:rsid w:val="00817E95"/>
    <w:rsid w:val="00817F2D"/>
    <w:rsid w:val="00820163"/>
    <w:rsid w:val="008204BD"/>
    <w:rsid w:val="00820524"/>
    <w:rsid w:val="0082077D"/>
    <w:rsid w:val="0082092C"/>
    <w:rsid w:val="00820C03"/>
    <w:rsid w:val="00820CB1"/>
    <w:rsid w:val="00820D4A"/>
    <w:rsid w:val="00820ED2"/>
    <w:rsid w:val="00821698"/>
    <w:rsid w:val="008216D3"/>
    <w:rsid w:val="008218C3"/>
    <w:rsid w:val="00821EA8"/>
    <w:rsid w:val="00822A75"/>
    <w:rsid w:val="00822A7A"/>
    <w:rsid w:val="00822FBE"/>
    <w:rsid w:val="008230A4"/>
    <w:rsid w:val="00823412"/>
    <w:rsid w:val="008242A2"/>
    <w:rsid w:val="00824630"/>
    <w:rsid w:val="008248A4"/>
    <w:rsid w:val="00824C2E"/>
    <w:rsid w:val="00824E34"/>
    <w:rsid w:val="0082505B"/>
    <w:rsid w:val="00825578"/>
    <w:rsid w:val="00825DC0"/>
    <w:rsid w:val="00825FA3"/>
    <w:rsid w:val="00825FFD"/>
    <w:rsid w:val="008266BA"/>
    <w:rsid w:val="00826DD9"/>
    <w:rsid w:val="00826FDA"/>
    <w:rsid w:val="00827842"/>
    <w:rsid w:val="008278B6"/>
    <w:rsid w:val="00827CAD"/>
    <w:rsid w:val="008302DC"/>
    <w:rsid w:val="00830398"/>
    <w:rsid w:val="0083040E"/>
    <w:rsid w:val="00830B74"/>
    <w:rsid w:val="00830E79"/>
    <w:rsid w:val="0083160A"/>
    <w:rsid w:val="0083170B"/>
    <w:rsid w:val="00831748"/>
    <w:rsid w:val="008319A6"/>
    <w:rsid w:val="008325BC"/>
    <w:rsid w:val="00832E54"/>
    <w:rsid w:val="00832F96"/>
    <w:rsid w:val="00833729"/>
    <w:rsid w:val="00833884"/>
    <w:rsid w:val="00833AE1"/>
    <w:rsid w:val="00833E0D"/>
    <w:rsid w:val="008344AB"/>
    <w:rsid w:val="00834974"/>
    <w:rsid w:val="00834A98"/>
    <w:rsid w:val="00834B77"/>
    <w:rsid w:val="00834C45"/>
    <w:rsid w:val="00835883"/>
    <w:rsid w:val="00836FA9"/>
    <w:rsid w:val="00837C36"/>
    <w:rsid w:val="00837D64"/>
    <w:rsid w:val="00837F1D"/>
    <w:rsid w:val="0084044F"/>
    <w:rsid w:val="008404B1"/>
    <w:rsid w:val="0084095C"/>
    <w:rsid w:val="00840A00"/>
    <w:rsid w:val="00840B1B"/>
    <w:rsid w:val="00841255"/>
    <w:rsid w:val="0084126B"/>
    <w:rsid w:val="00841AB3"/>
    <w:rsid w:val="00841CF5"/>
    <w:rsid w:val="00841D82"/>
    <w:rsid w:val="00841F89"/>
    <w:rsid w:val="00842100"/>
    <w:rsid w:val="008424CB"/>
    <w:rsid w:val="00842A0D"/>
    <w:rsid w:val="00842C86"/>
    <w:rsid w:val="00842CC6"/>
    <w:rsid w:val="0084315A"/>
    <w:rsid w:val="00843846"/>
    <w:rsid w:val="00843F42"/>
    <w:rsid w:val="0084439A"/>
    <w:rsid w:val="0084480A"/>
    <w:rsid w:val="00844BE9"/>
    <w:rsid w:val="00844D4A"/>
    <w:rsid w:val="00844E17"/>
    <w:rsid w:val="00844E56"/>
    <w:rsid w:val="0084598B"/>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358"/>
    <w:rsid w:val="00854473"/>
    <w:rsid w:val="0085450D"/>
    <w:rsid w:val="0085452C"/>
    <w:rsid w:val="00854617"/>
    <w:rsid w:val="008547F2"/>
    <w:rsid w:val="00854FBF"/>
    <w:rsid w:val="008550B5"/>
    <w:rsid w:val="008551A7"/>
    <w:rsid w:val="00855377"/>
    <w:rsid w:val="00855C9D"/>
    <w:rsid w:val="00855F19"/>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2B9"/>
    <w:rsid w:val="008633B8"/>
    <w:rsid w:val="0086362F"/>
    <w:rsid w:val="00863931"/>
    <w:rsid w:val="00863E27"/>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E25"/>
    <w:rsid w:val="00876365"/>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AC6"/>
    <w:rsid w:val="00882FDA"/>
    <w:rsid w:val="008830F7"/>
    <w:rsid w:val="0088321C"/>
    <w:rsid w:val="0088364E"/>
    <w:rsid w:val="008836B8"/>
    <w:rsid w:val="00883AA3"/>
    <w:rsid w:val="00883B6F"/>
    <w:rsid w:val="00883DD0"/>
    <w:rsid w:val="00883F3B"/>
    <w:rsid w:val="00884085"/>
    <w:rsid w:val="008840EC"/>
    <w:rsid w:val="00884377"/>
    <w:rsid w:val="00885287"/>
    <w:rsid w:val="0088573F"/>
    <w:rsid w:val="00885D51"/>
    <w:rsid w:val="0088648A"/>
    <w:rsid w:val="00886663"/>
    <w:rsid w:val="0088667A"/>
    <w:rsid w:val="00886F8D"/>
    <w:rsid w:val="008872E0"/>
    <w:rsid w:val="00887AAE"/>
    <w:rsid w:val="00887C73"/>
    <w:rsid w:val="0089048C"/>
    <w:rsid w:val="00890889"/>
    <w:rsid w:val="00890CAB"/>
    <w:rsid w:val="0089133E"/>
    <w:rsid w:val="00891D2F"/>
    <w:rsid w:val="00891D92"/>
    <w:rsid w:val="008926FE"/>
    <w:rsid w:val="00893131"/>
    <w:rsid w:val="00893408"/>
    <w:rsid w:val="0089365F"/>
    <w:rsid w:val="0089406C"/>
    <w:rsid w:val="008948E8"/>
    <w:rsid w:val="00894E25"/>
    <w:rsid w:val="0089558A"/>
    <w:rsid w:val="00895832"/>
    <w:rsid w:val="0089586D"/>
    <w:rsid w:val="008964DB"/>
    <w:rsid w:val="008966F6"/>
    <w:rsid w:val="00896EED"/>
    <w:rsid w:val="0089715A"/>
    <w:rsid w:val="008976FE"/>
    <w:rsid w:val="008978CB"/>
    <w:rsid w:val="00897C5A"/>
    <w:rsid w:val="00897D27"/>
    <w:rsid w:val="00897ED5"/>
    <w:rsid w:val="008A05D5"/>
    <w:rsid w:val="008A090D"/>
    <w:rsid w:val="008A0A5B"/>
    <w:rsid w:val="008A16C0"/>
    <w:rsid w:val="008A1DD7"/>
    <w:rsid w:val="008A1FF1"/>
    <w:rsid w:val="008A21E9"/>
    <w:rsid w:val="008A338F"/>
    <w:rsid w:val="008A339F"/>
    <w:rsid w:val="008A359D"/>
    <w:rsid w:val="008A36E4"/>
    <w:rsid w:val="008A3777"/>
    <w:rsid w:val="008A3C2A"/>
    <w:rsid w:val="008A415D"/>
    <w:rsid w:val="008A4316"/>
    <w:rsid w:val="008A4614"/>
    <w:rsid w:val="008A48C1"/>
    <w:rsid w:val="008A57E5"/>
    <w:rsid w:val="008A5DB1"/>
    <w:rsid w:val="008A6D42"/>
    <w:rsid w:val="008A6FDE"/>
    <w:rsid w:val="008A71F3"/>
    <w:rsid w:val="008A7340"/>
    <w:rsid w:val="008A78E9"/>
    <w:rsid w:val="008B016F"/>
    <w:rsid w:val="008B01EE"/>
    <w:rsid w:val="008B0B98"/>
    <w:rsid w:val="008B1E26"/>
    <w:rsid w:val="008B1EAD"/>
    <w:rsid w:val="008B1F69"/>
    <w:rsid w:val="008B2239"/>
    <w:rsid w:val="008B2695"/>
    <w:rsid w:val="008B275B"/>
    <w:rsid w:val="008B3240"/>
    <w:rsid w:val="008B34CE"/>
    <w:rsid w:val="008B3AFF"/>
    <w:rsid w:val="008B3B35"/>
    <w:rsid w:val="008B40C1"/>
    <w:rsid w:val="008B4106"/>
    <w:rsid w:val="008B5290"/>
    <w:rsid w:val="008B54F2"/>
    <w:rsid w:val="008B5872"/>
    <w:rsid w:val="008B645B"/>
    <w:rsid w:val="008B66AB"/>
    <w:rsid w:val="008B6D07"/>
    <w:rsid w:val="008B71C9"/>
    <w:rsid w:val="008B71EE"/>
    <w:rsid w:val="008B79D3"/>
    <w:rsid w:val="008B7D39"/>
    <w:rsid w:val="008B7F38"/>
    <w:rsid w:val="008C06A5"/>
    <w:rsid w:val="008C0851"/>
    <w:rsid w:val="008C0DA0"/>
    <w:rsid w:val="008C0DC0"/>
    <w:rsid w:val="008C0FEE"/>
    <w:rsid w:val="008C138B"/>
    <w:rsid w:val="008C1512"/>
    <w:rsid w:val="008C1730"/>
    <w:rsid w:val="008C1AD6"/>
    <w:rsid w:val="008C1DC0"/>
    <w:rsid w:val="008C1DCE"/>
    <w:rsid w:val="008C20EB"/>
    <w:rsid w:val="008C2348"/>
    <w:rsid w:val="008C239D"/>
    <w:rsid w:val="008C2964"/>
    <w:rsid w:val="008C2F71"/>
    <w:rsid w:val="008C375E"/>
    <w:rsid w:val="008C44CD"/>
    <w:rsid w:val="008C4739"/>
    <w:rsid w:val="008C4A99"/>
    <w:rsid w:val="008C4C4D"/>
    <w:rsid w:val="008C521A"/>
    <w:rsid w:val="008C53A7"/>
    <w:rsid w:val="008C5849"/>
    <w:rsid w:val="008C62C8"/>
    <w:rsid w:val="008C685E"/>
    <w:rsid w:val="008C6EF2"/>
    <w:rsid w:val="008C72ED"/>
    <w:rsid w:val="008C74C9"/>
    <w:rsid w:val="008C7A9C"/>
    <w:rsid w:val="008C7F42"/>
    <w:rsid w:val="008D0543"/>
    <w:rsid w:val="008D0716"/>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24C"/>
    <w:rsid w:val="008D63F2"/>
    <w:rsid w:val="008D6B17"/>
    <w:rsid w:val="008D707B"/>
    <w:rsid w:val="008D70A4"/>
    <w:rsid w:val="008D772A"/>
    <w:rsid w:val="008D784B"/>
    <w:rsid w:val="008D796F"/>
    <w:rsid w:val="008D7B2B"/>
    <w:rsid w:val="008D7DD9"/>
    <w:rsid w:val="008E0819"/>
    <w:rsid w:val="008E0976"/>
    <w:rsid w:val="008E0C40"/>
    <w:rsid w:val="008E0EAE"/>
    <w:rsid w:val="008E0F52"/>
    <w:rsid w:val="008E0F90"/>
    <w:rsid w:val="008E11C5"/>
    <w:rsid w:val="008E13F3"/>
    <w:rsid w:val="008E1506"/>
    <w:rsid w:val="008E150D"/>
    <w:rsid w:val="008E1A57"/>
    <w:rsid w:val="008E1AFF"/>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D03"/>
    <w:rsid w:val="008F0EB6"/>
    <w:rsid w:val="008F15C3"/>
    <w:rsid w:val="008F1897"/>
    <w:rsid w:val="008F1C16"/>
    <w:rsid w:val="008F1FBC"/>
    <w:rsid w:val="008F23B9"/>
    <w:rsid w:val="008F2521"/>
    <w:rsid w:val="008F288D"/>
    <w:rsid w:val="008F2B58"/>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1479"/>
    <w:rsid w:val="009216AB"/>
    <w:rsid w:val="00921951"/>
    <w:rsid w:val="00921BD5"/>
    <w:rsid w:val="00921E85"/>
    <w:rsid w:val="00921F0F"/>
    <w:rsid w:val="00922090"/>
    <w:rsid w:val="00922996"/>
    <w:rsid w:val="00922B26"/>
    <w:rsid w:val="00922BED"/>
    <w:rsid w:val="00922E63"/>
    <w:rsid w:val="00922F10"/>
    <w:rsid w:val="0092311F"/>
    <w:rsid w:val="009239C1"/>
    <w:rsid w:val="00923D5A"/>
    <w:rsid w:val="0092409F"/>
    <w:rsid w:val="009253AB"/>
    <w:rsid w:val="00925855"/>
    <w:rsid w:val="0092599D"/>
    <w:rsid w:val="00925E77"/>
    <w:rsid w:val="00926519"/>
    <w:rsid w:val="00926709"/>
    <w:rsid w:val="00926E6D"/>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3546"/>
    <w:rsid w:val="00933B9D"/>
    <w:rsid w:val="00934A98"/>
    <w:rsid w:val="00934C39"/>
    <w:rsid w:val="00934F00"/>
    <w:rsid w:val="009350BF"/>
    <w:rsid w:val="009352C9"/>
    <w:rsid w:val="009353DB"/>
    <w:rsid w:val="00936767"/>
    <w:rsid w:val="00936BB6"/>
    <w:rsid w:val="00936C96"/>
    <w:rsid w:val="00936D2A"/>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C35"/>
    <w:rsid w:val="00947EDA"/>
    <w:rsid w:val="00950984"/>
    <w:rsid w:val="00950A88"/>
    <w:rsid w:val="0095117D"/>
    <w:rsid w:val="0095155F"/>
    <w:rsid w:val="00951861"/>
    <w:rsid w:val="0095210C"/>
    <w:rsid w:val="00952283"/>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6211"/>
    <w:rsid w:val="009562A9"/>
    <w:rsid w:val="009564FC"/>
    <w:rsid w:val="00956686"/>
    <w:rsid w:val="00956889"/>
    <w:rsid w:val="0095694C"/>
    <w:rsid w:val="00956D9D"/>
    <w:rsid w:val="009570D4"/>
    <w:rsid w:val="00957648"/>
    <w:rsid w:val="00957C23"/>
    <w:rsid w:val="009605D7"/>
    <w:rsid w:val="009606FD"/>
    <w:rsid w:val="00960969"/>
    <w:rsid w:val="00961208"/>
    <w:rsid w:val="00961386"/>
    <w:rsid w:val="009613A5"/>
    <w:rsid w:val="00961C86"/>
    <w:rsid w:val="00961F5F"/>
    <w:rsid w:val="0096207F"/>
    <w:rsid w:val="009626AA"/>
    <w:rsid w:val="00962779"/>
    <w:rsid w:val="009627A8"/>
    <w:rsid w:val="009633D3"/>
    <w:rsid w:val="00963581"/>
    <w:rsid w:val="009635EE"/>
    <w:rsid w:val="009639CF"/>
    <w:rsid w:val="00963CBD"/>
    <w:rsid w:val="00963E63"/>
    <w:rsid w:val="0096496B"/>
    <w:rsid w:val="009651BC"/>
    <w:rsid w:val="0096536C"/>
    <w:rsid w:val="009653FD"/>
    <w:rsid w:val="0096583E"/>
    <w:rsid w:val="00965938"/>
    <w:rsid w:val="00966093"/>
    <w:rsid w:val="00966486"/>
    <w:rsid w:val="00966ED4"/>
    <w:rsid w:val="00966EEA"/>
    <w:rsid w:val="00967216"/>
    <w:rsid w:val="009675DA"/>
    <w:rsid w:val="0096760C"/>
    <w:rsid w:val="00967675"/>
    <w:rsid w:val="00967CF5"/>
    <w:rsid w:val="009700EC"/>
    <w:rsid w:val="009705AA"/>
    <w:rsid w:val="00970FFA"/>
    <w:rsid w:val="009715AB"/>
    <w:rsid w:val="00971600"/>
    <w:rsid w:val="00971D7D"/>
    <w:rsid w:val="00972090"/>
    <w:rsid w:val="009720AB"/>
    <w:rsid w:val="00972DD8"/>
    <w:rsid w:val="00973541"/>
    <w:rsid w:val="009736AA"/>
    <w:rsid w:val="0097371B"/>
    <w:rsid w:val="0097373C"/>
    <w:rsid w:val="00973C34"/>
    <w:rsid w:val="009743A7"/>
    <w:rsid w:val="00974DDE"/>
    <w:rsid w:val="009750D7"/>
    <w:rsid w:val="00975182"/>
    <w:rsid w:val="0097538E"/>
    <w:rsid w:val="009753FC"/>
    <w:rsid w:val="00975622"/>
    <w:rsid w:val="00976348"/>
    <w:rsid w:val="009767EC"/>
    <w:rsid w:val="00976FA2"/>
    <w:rsid w:val="00977E74"/>
    <w:rsid w:val="00977FC0"/>
    <w:rsid w:val="00980169"/>
    <w:rsid w:val="009802BC"/>
    <w:rsid w:val="00980460"/>
    <w:rsid w:val="0098092C"/>
    <w:rsid w:val="009809B8"/>
    <w:rsid w:val="00980A0C"/>
    <w:rsid w:val="00980DD0"/>
    <w:rsid w:val="009811A7"/>
    <w:rsid w:val="009817B6"/>
    <w:rsid w:val="009821C0"/>
    <w:rsid w:val="009822BA"/>
    <w:rsid w:val="00982A37"/>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4D5"/>
    <w:rsid w:val="009877FC"/>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8E4"/>
    <w:rsid w:val="009A0398"/>
    <w:rsid w:val="009A0E19"/>
    <w:rsid w:val="009A11B4"/>
    <w:rsid w:val="009A1451"/>
    <w:rsid w:val="009A16BB"/>
    <w:rsid w:val="009A1B99"/>
    <w:rsid w:val="009A1F79"/>
    <w:rsid w:val="009A2166"/>
    <w:rsid w:val="009A2474"/>
    <w:rsid w:val="009A254B"/>
    <w:rsid w:val="009A29B3"/>
    <w:rsid w:val="009A31E9"/>
    <w:rsid w:val="009A32C3"/>
    <w:rsid w:val="009A33EF"/>
    <w:rsid w:val="009A33F0"/>
    <w:rsid w:val="009A3443"/>
    <w:rsid w:val="009A353F"/>
    <w:rsid w:val="009A3697"/>
    <w:rsid w:val="009A3B0D"/>
    <w:rsid w:val="009A3CE1"/>
    <w:rsid w:val="009A459C"/>
    <w:rsid w:val="009A4661"/>
    <w:rsid w:val="009A48D8"/>
    <w:rsid w:val="009A4D63"/>
    <w:rsid w:val="009A5032"/>
    <w:rsid w:val="009A50E6"/>
    <w:rsid w:val="009A5C17"/>
    <w:rsid w:val="009A6733"/>
    <w:rsid w:val="009A69E0"/>
    <w:rsid w:val="009A6C89"/>
    <w:rsid w:val="009A72A3"/>
    <w:rsid w:val="009A794B"/>
    <w:rsid w:val="009A7D0A"/>
    <w:rsid w:val="009B005B"/>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3EFB"/>
    <w:rsid w:val="009B4450"/>
    <w:rsid w:val="009B4E5E"/>
    <w:rsid w:val="009B57D9"/>
    <w:rsid w:val="009B5C76"/>
    <w:rsid w:val="009B618C"/>
    <w:rsid w:val="009B63DC"/>
    <w:rsid w:val="009B65DA"/>
    <w:rsid w:val="009B6FC1"/>
    <w:rsid w:val="009B76D9"/>
    <w:rsid w:val="009B773D"/>
    <w:rsid w:val="009B77B1"/>
    <w:rsid w:val="009B7ABB"/>
    <w:rsid w:val="009C0336"/>
    <w:rsid w:val="009C06C4"/>
    <w:rsid w:val="009C0AFD"/>
    <w:rsid w:val="009C12CD"/>
    <w:rsid w:val="009C19A4"/>
    <w:rsid w:val="009C1E1A"/>
    <w:rsid w:val="009C21A0"/>
    <w:rsid w:val="009C21E6"/>
    <w:rsid w:val="009C226A"/>
    <w:rsid w:val="009C2905"/>
    <w:rsid w:val="009C2C4B"/>
    <w:rsid w:val="009C2D69"/>
    <w:rsid w:val="009C2DD2"/>
    <w:rsid w:val="009C30D6"/>
    <w:rsid w:val="009C3C8D"/>
    <w:rsid w:val="009C3DB4"/>
    <w:rsid w:val="009C3FCF"/>
    <w:rsid w:val="009C49A7"/>
    <w:rsid w:val="009C4B78"/>
    <w:rsid w:val="009C4CF1"/>
    <w:rsid w:val="009C4F2B"/>
    <w:rsid w:val="009C5112"/>
    <w:rsid w:val="009C51D5"/>
    <w:rsid w:val="009C5484"/>
    <w:rsid w:val="009C557E"/>
    <w:rsid w:val="009C55ED"/>
    <w:rsid w:val="009C611B"/>
    <w:rsid w:val="009C62F8"/>
    <w:rsid w:val="009C6335"/>
    <w:rsid w:val="009C67DB"/>
    <w:rsid w:val="009C7454"/>
    <w:rsid w:val="009C74DA"/>
    <w:rsid w:val="009C7E3F"/>
    <w:rsid w:val="009D043B"/>
    <w:rsid w:val="009D1453"/>
    <w:rsid w:val="009D1987"/>
    <w:rsid w:val="009D1D92"/>
    <w:rsid w:val="009D276C"/>
    <w:rsid w:val="009D3650"/>
    <w:rsid w:val="009D444F"/>
    <w:rsid w:val="009D464C"/>
    <w:rsid w:val="009D4D68"/>
    <w:rsid w:val="009D544F"/>
    <w:rsid w:val="009D5690"/>
    <w:rsid w:val="009D594D"/>
    <w:rsid w:val="009D5976"/>
    <w:rsid w:val="009D5A2A"/>
    <w:rsid w:val="009D6209"/>
    <w:rsid w:val="009D698E"/>
    <w:rsid w:val="009D788F"/>
    <w:rsid w:val="009D79C1"/>
    <w:rsid w:val="009D79DE"/>
    <w:rsid w:val="009E007F"/>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F0D"/>
    <w:rsid w:val="009F0470"/>
    <w:rsid w:val="009F0712"/>
    <w:rsid w:val="009F0DCF"/>
    <w:rsid w:val="009F0EB0"/>
    <w:rsid w:val="009F155C"/>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54D"/>
    <w:rsid w:val="009F55C9"/>
    <w:rsid w:val="009F58FE"/>
    <w:rsid w:val="009F592E"/>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A7"/>
    <w:rsid w:val="00A06D94"/>
    <w:rsid w:val="00A07101"/>
    <w:rsid w:val="00A071E5"/>
    <w:rsid w:val="00A0729B"/>
    <w:rsid w:val="00A10031"/>
    <w:rsid w:val="00A102F5"/>
    <w:rsid w:val="00A1030A"/>
    <w:rsid w:val="00A1030F"/>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0F8B"/>
    <w:rsid w:val="00A2103E"/>
    <w:rsid w:val="00A21442"/>
    <w:rsid w:val="00A217B0"/>
    <w:rsid w:val="00A21DA8"/>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172"/>
    <w:rsid w:val="00A262BB"/>
    <w:rsid w:val="00A263C6"/>
    <w:rsid w:val="00A26790"/>
    <w:rsid w:val="00A26BDE"/>
    <w:rsid w:val="00A2710D"/>
    <w:rsid w:val="00A2740F"/>
    <w:rsid w:val="00A27BD9"/>
    <w:rsid w:val="00A30042"/>
    <w:rsid w:val="00A3033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4F31"/>
    <w:rsid w:val="00A350D2"/>
    <w:rsid w:val="00A358CE"/>
    <w:rsid w:val="00A359A9"/>
    <w:rsid w:val="00A35A5C"/>
    <w:rsid w:val="00A3618D"/>
    <w:rsid w:val="00A36295"/>
    <w:rsid w:val="00A3642E"/>
    <w:rsid w:val="00A364BC"/>
    <w:rsid w:val="00A36541"/>
    <w:rsid w:val="00A3693D"/>
    <w:rsid w:val="00A36AE3"/>
    <w:rsid w:val="00A36F83"/>
    <w:rsid w:val="00A37D30"/>
    <w:rsid w:val="00A37D53"/>
    <w:rsid w:val="00A37E80"/>
    <w:rsid w:val="00A40227"/>
    <w:rsid w:val="00A40E01"/>
    <w:rsid w:val="00A415F7"/>
    <w:rsid w:val="00A4164A"/>
    <w:rsid w:val="00A4171B"/>
    <w:rsid w:val="00A417D2"/>
    <w:rsid w:val="00A41E10"/>
    <w:rsid w:val="00A41FA4"/>
    <w:rsid w:val="00A42A16"/>
    <w:rsid w:val="00A42BE9"/>
    <w:rsid w:val="00A431CA"/>
    <w:rsid w:val="00A435B1"/>
    <w:rsid w:val="00A436D5"/>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23F"/>
    <w:rsid w:val="00A4781E"/>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5D1A"/>
    <w:rsid w:val="00A55D30"/>
    <w:rsid w:val="00A55F18"/>
    <w:rsid w:val="00A5613D"/>
    <w:rsid w:val="00A569D2"/>
    <w:rsid w:val="00A56C22"/>
    <w:rsid w:val="00A56D36"/>
    <w:rsid w:val="00A57C90"/>
    <w:rsid w:val="00A603B7"/>
    <w:rsid w:val="00A6055B"/>
    <w:rsid w:val="00A606A4"/>
    <w:rsid w:val="00A60949"/>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410"/>
    <w:rsid w:val="00A749FF"/>
    <w:rsid w:val="00A74BF1"/>
    <w:rsid w:val="00A74E19"/>
    <w:rsid w:val="00A7526F"/>
    <w:rsid w:val="00A75742"/>
    <w:rsid w:val="00A75B37"/>
    <w:rsid w:val="00A76814"/>
    <w:rsid w:val="00A768B5"/>
    <w:rsid w:val="00A769DE"/>
    <w:rsid w:val="00A76BA8"/>
    <w:rsid w:val="00A77D7A"/>
    <w:rsid w:val="00A8025E"/>
    <w:rsid w:val="00A80E7E"/>
    <w:rsid w:val="00A81217"/>
    <w:rsid w:val="00A81A35"/>
    <w:rsid w:val="00A81A85"/>
    <w:rsid w:val="00A81CC3"/>
    <w:rsid w:val="00A82422"/>
    <w:rsid w:val="00A82697"/>
    <w:rsid w:val="00A82B61"/>
    <w:rsid w:val="00A830EA"/>
    <w:rsid w:val="00A8338E"/>
    <w:rsid w:val="00A83632"/>
    <w:rsid w:val="00A83844"/>
    <w:rsid w:val="00A83B05"/>
    <w:rsid w:val="00A84039"/>
    <w:rsid w:val="00A840F8"/>
    <w:rsid w:val="00A8444E"/>
    <w:rsid w:val="00A846D2"/>
    <w:rsid w:val="00A84B4D"/>
    <w:rsid w:val="00A85244"/>
    <w:rsid w:val="00A853DD"/>
    <w:rsid w:val="00A854EF"/>
    <w:rsid w:val="00A855AE"/>
    <w:rsid w:val="00A8561C"/>
    <w:rsid w:val="00A85978"/>
    <w:rsid w:val="00A85B5C"/>
    <w:rsid w:val="00A86A82"/>
    <w:rsid w:val="00A86AB9"/>
    <w:rsid w:val="00A86BBC"/>
    <w:rsid w:val="00A86E76"/>
    <w:rsid w:val="00A870B5"/>
    <w:rsid w:val="00A8729D"/>
    <w:rsid w:val="00A8748B"/>
    <w:rsid w:val="00A87705"/>
    <w:rsid w:val="00A87B17"/>
    <w:rsid w:val="00A87D1F"/>
    <w:rsid w:val="00A87E92"/>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63F0"/>
    <w:rsid w:val="00A96ED6"/>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359"/>
    <w:rsid w:val="00AA57A4"/>
    <w:rsid w:val="00AA59B5"/>
    <w:rsid w:val="00AA5F30"/>
    <w:rsid w:val="00AA665B"/>
    <w:rsid w:val="00AA686C"/>
    <w:rsid w:val="00AA6AB4"/>
    <w:rsid w:val="00AA6D05"/>
    <w:rsid w:val="00AA758B"/>
    <w:rsid w:val="00AA7819"/>
    <w:rsid w:val="00AA7FA4"/>
    <w:rsid w:val="00AB013E"/>
    <w:rsid w:val="00AB0530"/>
    <w:rsid w:val="00AB0E52"/>
    <w:rsid w:val="00AB1584"/>
    <w:rsid w:val="00AB1A72"/>
    <w:rsid w:val="00AB1D3F"/>
    <w:rsid w:val="00AB2574"/>
    <w:rsid w:val="00AB2697"/>
    <w:rsid w:val="00AB2FE2"/>
    <w:rsid w:val="00AB3462"/>
    <w:rsid w:val="00AB3D98"/>
    <w:rsid w:val="00AB4925"/>
    <w:rsid w:val="00AB4AE2"/>
    <w:rsid w:val="00AB4B95"/>
    <w:rsid w:val="00AB5094"/>
    <w:rsid w:val="00AB52A6"/>
    <w:rsid w:val="00AB5576"/>
    <w:rsid w:val="00AB55D1"/>
    <w:rsid w:val="00AB5A90"/>
    <w:rsid w:val="00AB5B51"/>
    <w:rsid w:val="00AB5E9A"/>
    <w:rsid w:val="00AB613B"/>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513"/>
    <w:rsid w:val="00AC4685"/>
    <w:rsid w:val="00AC468D"/>
    <w:rsid w:val="00AC46BB"/>
    <w:rsid w:val="00AC47F5"/>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EA2"/>
    <w:rsid w:val="00AD0F10"/>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60E"/>
    <w:rsid w:val="00AE46CA"/>
    <w:rsid w:val="00AE48E4"/>
    <w:rsid w:val="00AE4DC1"/>
    <w:rsid w:val="00AE516B"/>
    <w:rsid w:val="00AE572E"/>
    <w:rsid w:val="00AE5E52"/>
    <w:rsid w:val="00AE6161"/>
    <w:rsid w:val="00AE6A47"/>
    <w:rsid w:val="00AE6B28"/>
    <w:rsid w:val="00AE6DE8"/>
    <w:rsid w:val="00AE714D"/>
    <w:rsid w:val="00AE776C"/>
    <w:rsid w:val="00AE7A30"/>
    <w:rsid w:val="00AE7ACF"/>
    <w:rsid w:val="00AE7AED"/>
    <w:rsid w:val="00AE7DED"/>
    <w:rsid w:val="00AF09A1"/>
    <w:rsid w:val="00AF1578"/>
    <w:rsid w:val="00AF1890"/>
    <w:rsid w:val="00AF1A43"/>
    <w:rsid w:val="00AF2095"/>
    <w:rsid w:val="00AF2210"/>
    <w:rsid w:val="00AF289D"/>
    <w:rsid w:val="00AF3233"/>
    <w:rsid w:val="00AF3494"/>
    <w:rsid w:val="00AF373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F30"/>
    <w:rsid w:val="00B04187"/>
    <w:rsid w:val="00B04B60"/>
    <w:rsid w:val="00B04E8B"/>
    <w:rsid w:val="00B04F01"/>
    <w:rsid w:val="00B05D27"/>
    <w:rsid w:val="00B05FBE"/>
    <w:rsid w:val="00B06028"/>
    <w:rsid w:val="00B061D9"/>
    <w:rsid w:val="00B067C1"/>
    <w:rsid w:val="00B109C2"/>
    <w:rsid w:val="00B11155"/>
    <w:rsid w:val="00B11841"/>
    <w:rsid w:val="00B11DE7"/>
    <w:rsid w:val="00B125DD"/>
    <w:rsid w:val="00B128E0"/>
    <w:rsid w:val="00B12CE7"/>
    <w:rsid w:val="00B12D9D"/>
    <w:rsid w:val="00B13032"/>
    <w:rsid w:val="00B13051"/>
    <w:rsid w:val="00B13530"/>
    <w:rsid w:val="00B13881"/>
    <w:rsid w:val="00B13900"/>
    <w:rsid w:val="00B13947"/>
    <w:rsid w:val="00B13D3D"/>
    <w:rsid w:val="00B14046"/>
    <w:rsid w:val="00B148C6"/>
    <w:rsid w:val="00B14DF2"/>
    <w:rsid w:val="00B14FBA"/>
    <w:rsid w:val="00B1513F"/>
    <w:rsid w:val="00B152C6"/>
    <w:rsid w:val="00B153B0"/>
    <w:rsid w:val="00B1573C"/>
    <w:rsid w:val="00B15F4D"/>
    <w:rsid w:val="00B1600D"/>
    <w:rsid w:val="00B16246"/>
    <w:rsid w:val="00B167B8"/>
    <w:rsid w:val="00B168B1"/>
    <w:rsid w:val="00B17042"/>
    <w:rsid w:val="00B17441"/>
    <w:rsid w:val="00B17CBD"/>
    <w:rsid w:val="00B17DDE"/>
    <w:rsid w:val="00B2015B"/>
    <w:rsid w:val="00B20287"/>
    <w:rsid w:val="00B20484"/>
    <w:rsid w:val="00B20834"/>
    <w:rsid w:val="00B20E92"/>
    <w:rsid w:val="00B2136C"/>
    <w:rsid w:val="00B215E5"/>
    <w:rsid w:val="00B21B86"/>
    <w:rsid w:val="00B21CFE"/>
    <w:rsid w:val="00B21CFF"/>
    <w:rsid w:val="00B21F43"/>
    <w:rsid w:val="00B2227C"/>
    <w:rsid w:val="00B2236C"/>
    <w:rsid w:val="00B22616"/>
    <w:rsid w:val="00B22E5E"/>
    <w:rsid w:val="00B23578"/>
    <w:rsid w:val="00B235EF"/>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A98"/>
    <w:rsid w:val="00B26C76"/>
    <w:rsid w:val="00B27030"/>
    <w:rsid w:val="00B27240"/>
    <w:rsid w:val="00B27249"/>
    <w:rsid w:val="00B27256"/>
    <w:rsid w:val="00B2736A"/>
    <w:rsid w:val="00B2741E"/>
    <w:rsid w:val="00B276F2"/>
    <w:rsid w:val="00B27947"/>
    <w:rsid w:val="00B27E4C"/>
    <w:rsid w:val="00B3000E"/>
    <w:rsid w:val="00B3007A"/>
    <w:rsid w:val="00B300FD"/>
    <w:rsid w:val="00B301F6"/>
    <w:rsid w:val="00B3072C"/>
    <w:rsid w:val="00B30B12"/>
    <w:rsid w:val="00B30CF6"/>
    <w:rsid w:val="00B311F5"/>
    <w:rsid w:val="00B3158C"/>
    <w:rsid w:val="00B31755"/>
    <w:rsid w:val="00B317C5"/>
    <w:rsid w:val="00B32220"/>
    <w:rsid w:val="00B324D3"/>
    <w:rsid w:val="00B327B9"/>
    <w:rsid w:val="00B3324A"/>
    <w:rsid w:val="00B332DB"/>
    <w:rsid w:val="00B336B5"/>
    <w:rsid w:val="00B338C5"/>
    <w:rsid w:val="00B33C43"/>
    <w:rsid w:val="00B33CD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A9"/>
    <w:rsid w:val="00B41444"/>
    <w:rsid w:val="00B41709"/>
    <w:rsid w:val="00B41A42"/>
    <w:rsid w:val="00B41CE3"/>
    <w:rsid w:val="00B4235B"/>
    <w:rsid w:val="00B42793"/>
    <w:rsid w:val="00B42877"/>
    <w:rsid w:val="00B42980"/>
    <w:rsid w:val="00B43396"/>
    <w:rsid w:val="00B43DEC"/>
    <w:rsid w:val="00B43FB1"/>
    <w:rsid w:val="00B4438A"/>
    <w:rsid w:val="00B44B5C"/>
    <w:rsid w:val="00B45072"/>
    <w:rsid w:val="00B4511F"/>
    <w:rsid w:val="00B45355"/>
    <w:rsid w:val="00B45528"/>
    <w:rsid w:val="00B458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24E"/>
    <w:rsid w:val="00B614F2"/>
    <w:rsid w:val="00B61583"/>
    <w:rsid w:val="00B617FE"/>
    <w:rsid w:val="00B61D08"/>
    <w:rsid w:val="00B621BB"/>
    <w:rsid w:val="00B62680"/>
    <w:rsid w:val="00B62E7E"/>
    <w:rsid w:val="00B63337"/>
    <w:rsid w:val="00B63878"/>
    <w:rsid w:val="00B64101"/>
    <w:rsid w:val="00B64201"/>
    <w:rsid w:val="00B643B5"/>
    <w:rsid w:val="00B645CE"/>
    <w:rsid w:val="00B6486F"/>
    <w:rsid w:val="00B6498B"/>
    <w:rsid w:val="00B64BF5"/>
    <w:rsid w:val="00B65786"/>
    <w:rsid w:val="00B65868"/>
    <w:rsid w:val="00B65B74"/>
    <w:rsid w:val="00B66127"/>
    <w:rsid w:val="00B66176"/>
    <w:rsid w:val="00B663F9"/>
    <w:rsid w:val="00B669BE"/>
    <w:rsid w:val="00B66A84"/>
    <w:rsid w:val="00B66AD9"/>
    <w:rsid w:val="00B66D8E"/>
    <w:rsid w:val="00B672CB"/>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7DA"/>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3008"/>
    <w:rsid w:val="00B931A6"/>
    <w:rsid w:val="00B9331A"/>
    <w:rsid w:val="00B9350A"/>
    <w:rsid w:val="00B93931"/>
    <w:rsid w:val="00B93C15"/>
    <w:rsid w:val="00B9462D"/>
    <w:rsid w:val="00B94862"/>
    <w:rsid w:val="00B94BBD"/>
    <w:rsid w:val="00B94E0E"/>
    <w:rsid w:val="00B94F1E"/>
    <w:rsid w:val="00B953D1"/>
    <w:rsid w:val="00B957E4"/>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77E"/>
    <w:rsid w:val="00BB1AFC"/>
    <w:rsid w:val="00BB1FA5"/>
    <w:rsid w:val="00BB24D3"/>
    <w:rsid w:val="00BB3055"/>
    <w:rsid w:val="00BB33C3"/>
    <w:rsid w:val="00BB38E7"/>
    <w:rsid w:val="00BB3E2B"/>
    <w:rsid w:val="00BB4331"/>
    <w:rsid w:val="00BB4B42"/>
    <w:rsid w:val="00BB4C0F"/>
    <w:rsid w:val="00BB4ECD"/>
    <w:rsid w:val="00BB5298"/>
    <w:rsid w:val="00BB537C"/>
    <w:rsid w:val="00BB54F7"/>
    <w:rsid w:val="00BB5716"/>
    <w:rsid w:val="00BB5CD0"/>
    <w:rsid w:val="00BB6651"/>
    <w:rsid w:val="00BB6ACC"/>
    <w:rsid w:val="00BB70A0"/>
    <w:rsid w:val="00BB74ED"/>
    <w:rsid w:val="00BB7500"/>
    <w:rsid w:val="00BB7A0B"/>
    <w:rsid w:val="00BB7B79"/>
    <w:rsid w:val="00BB7BBD"/>
    <w:rsid w:val="00BB7F63"/>
    <w:rsid w:val="00BC0D16"/>
    <w:rsid w:val="00BC10A4"/>
    <w:rsid w:val="00BC139E"/>
    <w:rsid w:val="00BC2050"/>
    <w:rsid w:val="00BC209D"/>
    <w:rsid w:val="00BC2548"/>
    <w:rsid w:val="00BC29CA"/>
    <w:rsid w:val="00BC358C"/>
    <w:rsid w:val="00BC3858"/>
    <w:rsid w:val="00BC38B6"/>
    <w:rsid w:val="00BC3DE0"/>
    <w:rsid w:val="00BC4177"/>
    <w:rsid w:val="00BC4272"/>
    <w:rsid w:val="00BC4571"/>
    <w:rsid w:val="00BC510F"/>
    <w:rsid w:val="00BC559F"/>
    <w:rsid w:val="00BC5D0D"/>
    <w:rsid w:val="00BC5E50"/>
    <w:rsid w:val="00BC62F2"/>
    <w:rsid w:val="00BC631F"/>
    <w:rsid w:val="00BC6715"/>
    <w:rsid w:val="00BC675A"/>
    <w:rsid w:val="00BC6A39"/>
    <w:rsid w:val="00BC6C76"/>
    <w:rsid w:val="00BC6D2F"/>
    <w:rsid w:val="00BC71E3"/>
    <w:rsid w:val="00BC7359"/>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2DC6"/>
    <w:rsid w:val="00BD328B"/>
    <w:rsid w:val="00BD337C"/>
    <w:rsid w:val="00BD3EC0"/>
    <w:rsid w:val="00BD41B4"/>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4D4"/>
    <w:rsid w:val="00BF0784"/>
    <w:rsid w:val="00BF07AF"/>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7664"/>
    <w:rsid w:val="00BF7889"/>
    <w:rsid w:val="00BF792A"/>
    <w:rsid w:val="00C007A3"/>
    <w:rsid w:val="00C0092A"/>
    <w:rsid w:val="00C00F6B"/>
    <w:rsid w:val="00C0107D"/>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DCE"/>
    <w:rsid w:val="00C05E95"/>
    <w:rsid w:val="00C05F10"/>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736B"/>
    <w:rsid w:val="00C1770D"/>
    <w:rsid w:val="00C17FCF"/>
    <w:rsid w:val="00C20531"/>
    <w:rsid w:val="00C208D7"/>
    <w:rsid w:val="00C20BEA"/>
    <w:rsid w:val="00C20E20"/>
    <w:rsid w:val="00C21016"/>
    <w:rsid w:val="00C211E0"/>
    <w:rsid w:val="00C21368"/>
    <w:rsid w:val="00C21A5A"/>
    <w:rsid w:val="00C21D22"/>
    <w:rsid w:val="00C21F08"/>
    <w:rsid w:val="00C222C9"/>
    <w:rsid w:val="00C223DC"/>
    <w:rsid w:val="00C2255D"/>
    <w:rsid w:val="00C22776"/>
    <w:rsid w:val="00C22B9D"/>
    <w:rsid w:val="00C22FF0"/>
    <w:rsid w:val="00C231FC"/>
    <w:rsid w:val="00C23686"/>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4260"/>
    <w:rsid w:val="00C34314"/>
    <w:rsid w:val="00C3441D"/>
    <w:rsid w:val="00C3449B"/>
    <w:rsid w:val="00C348F4"/>
    <w:rsid w:val="00C349DC"/>
    <w:rsid w:val="00C34DDA"/>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7EA"/>
    <w:rsid w:val="00C40B56"/>
    <w:rsid w:val="00C40B5B"/>
    <w:rsid w:val="00C4167D"/>
    <w:rsid w:val="00C41B52"/>
    <w:rsid w:val="00C41ED7"/>
    <w:rsid w:val="00C41F77"/>
    <w:rsid w:val="00C41FD4"/>
    <w:rsid w:val="00C4242B"/>
    <w:rsid w:val="00C4253A"/>
    <w:rsid w:val="00C42A69"/>
    <w:rsid w:val="00C42B2E"/>
    <w:rsid w:val="00C42B74"/>
    <w:rsid w:val="00C42C24"/>
    <w:rsid w:val="00C42CF3"/>
    <w:rsid w:val="00C42E55"/>
    <w:rsid w:val="00C431BF"/>
    <w:rsid w:val="00C432A5"/>
    <w:rsid w:val="00C433D6"/>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97C"/>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35C"/>
    <w:rsid w:val="00C52410"/>
    <w:rsid w:val="00C525B3"/>
    <w:rsid w:val="00C52CF6"/>
    <w:rsid w:val="00C52F1C"/>
    <w:rsid w:val="00C53314"/>
    <w:rsid w:val="00C534AF"/>
    <w:rsid w:val="00C5377D"/>
    <w:rsid w:val="00C53BDB"/>
    <w:rsid w:val="00C53BE7"/>
    <w:rsid w:val="00C54112"/>
    <w:rsid w:val="00C54888"/>
    <w:rsid w:val="00C5531A"/>
    <w:rsid w:val="00C5535A"/>
    <w:rsid w:val="00C55384"/>
    <w:rsid w:val="00C55732"/>
    <w:rsid w:val="00C55B5B"/>
    <w:rsid w:val="00C56203"/>
    <w:rsid w:val="00C5648E"/>
    <w:rsid w:val="00C56F16"/>
    <w:rsid w:val="00C57751"/>
    <w:rsid w:val="00C57CCC"/>
    <w:rsid w:val="00C6004F"/>
    <w:rsid w:val="00C60F23"/>
    <w:rsid w:val="00C613D1"/>
    <w:rsid w:val="00C6153C"/>
    <w:rsid w:val="00C6168C"/>
    <w:rsid w:val="00C61936"/>
    <w:rsid w:val="00C61957"/>
    <w:rsid w:val="00C61B12"/>
    <w:rsid w:val="00C620A2"/>
    <w:rsid w:val="00C6225A"/>
    <w:rsid w:val="00C6256B"/>
    <w:rsid w:val="00C6276C"/>
    <w:rsid w:val="00C62BE4"/>
    <w:rsid w:val="00C62BF6"/>
    <w:rsid w:val="00C636B0"/>
    <w:rsid w:val="00C639B8"/>
    <w:rsid w:val="00C63B22"/>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D31"/>
    <w:rsid w:val="00C66E43"/>
    <w:rsid w:val="00C6716C"/>
    <w:rsid w:val="00C67470"/>
    <w:rsid w:val="00C67A9B"/>
    <w:rsid w:val="00C70307"/>
    <w:rsid w:val="00C70400"/>
    <w:rsid w:val="00C70CCC"/>
    <w:rsid w:val="00C7199C"/>
    <w:rsid w:val="00C71FE3"/>
    <w:rsid w:val="00C72196"/>
    <w:rsid w:val="00C7233D"/>
    <w:rsid w:val="00C7238D"/>
    <w:rsid w:val="00C72F3A"/>
    <w:rsid w:val="00C73517"/>
    <w:rsid w:val="00C73666"/>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584"/>
    <w:rsid w:val="00C766C4"/>
    <w:rsid w:val="00C76A5B"/>
    <w:rsid w:val="00C77137"/>
    <w:rsid w:val="00C7778B"/>
    <w:rsid w:val="00C777A6"/>
    <w:rsid w:val="00C77812"/>
    <w:rsid w:val="00C801BE"/>
    <w:rsid w:val="00C802DF"/>
    <w:rsid w:val="00C8035A"/>
    <w:rsid w:val="00C80496"/>
    <w:rsid w:val="00C80568"/>
    <w:rsid w:val="00C805A9"/>
    <w:rsid w:val="00C8073A"/>
    <w:rsid w:val="00C80928"/>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623C"/>
    <w:rsid w:val="00C86255"/>
    <w:rsid w:val="00C866F4"/>
    <w:rsid w:val="00C869C7"/>
    <w:rsid w:val="00C86D9A"/>
    <w:rsid w:val="00C86EA4"/>
    <w:rsid w:val="00C8712C"/>
    <w:rsid w:val="00C872A6"/>
    <w:rsid w:val="00C87464"/>
    <w:rsid w:val="00C874D0"/>
    <w:rsid w:val="00C87AC4"/>
    <w:rsid w:val="00C902F6"/>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6A"/>
    <w:rsid w:val="00C94089"/>
    <w:rsid w:val="00C9477F"/>
    <w:rsid w:val="00C9499F"/>
    <w:rsid w:val="00C949CD"/>
    <w:rsid w:val="00C94CE9"/>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6227"/>
    <w:rsid w:val="00CA62B1"/>
    <w:rsid w:val="00CA65F0"/>
    <w:rsid w:val="00CA66A8"/>
    <w:rsid w:val="00CA6EBC"/>
    <w:rsid w:val="00CA6F1C"/>
    <w:rsid w:val="00CA7198"/>
    <w:rsid w:val="00CA78E9"/>
    <w:rsid w:val="00CA7CAE"/>
    <w:rsid w:val="00CA7D61"/>
    <w:rsid w:val="00CA7E2D"/>
    <w:rsid w:val="00CB02D2"/>
    <w:rsid w:val="00CB057D"/>
    <w:rsid w:val="00CB07E6"/>
    <w:rsid w:val="00CB09AB"/>
    <w:rsid w:val="00CB09DA"/>
    <w:rsid w:val="00CB0E54"/>
    <w:rsid w:val="00CB0EC6"/>
    <w:rsid w:val="00CB0F2C"/>
    <w:rsid w:val="00CB12DE"/>
    <w:rsid w:val="00CB190B"/>
    <w:rsid w:val="00CB1985"/>
    <w:rsid w:val="00CB1CB8"/>
    <w:rsid w:val="00CB2539"/>
    <w:rsid w:val="00CB26C1"/>
    <w:rsid w:val="00CB2C92"/>
    <w:rsid w:val="00CB38BA"/>
    <w:rsid w:val="00CB420C"/>
    <w:rsid w:val="00CB44CF"/>
    <w:rsid w:val="00CB478D"/>
    <w:rsid w:val="00CB4A7D"/>
    <w:rsid w:val="00CB4BEC"/>
    <w:rsid w:val="00CB4FB2"/>
    <w:rsid w:val="00CB5799"/>
    <w:rsid w:val="00CB5A7D"/>
    <w:rsid w:val="00CB5BE6"/>
    <w:rsid w:val="00CB5C70"/>
    <w:rsid w:val="00CB690B"/>
    <w:rsid w:val="00CB6CA2"/>
    <w:rsid w:val="00CB6EED"/>
    <w:rsid w:val="00CB6F2A"/>
    <w:rsid w:val="00CB6F5D"/>
    <w:rsid w:val="00CB70F6"/>
    <w:rsid w:val="00CB73F3"/>
    <w:rsid w:val="00CB74BD"/>
    <w:rsid w:val="00CB7B40"/>
    <w:rsid w:val="00CB7D4E"/>
    <w:rsid w:val="00CB7F68"/>
    <w:rsid w:val="00CC039B"/>
    <w:rsid w:val="00CC0435"/>
    <w:rsid w:val="00CC054E"/>
    <w:rsid w:val="00CC06DF"/>
    <w:rsid w:val="00CC09D9"/>
    <w:rsid w:val="00CC0B1D"/>
    <w:rsid w:val="00CC23A3"/>
    <w:rsid w:val="00CC2503"/>
    <w:rsid w:val="00CC2B37"/>
    <w:rsid w:val="00CC2EBB"/>
    <w:rsid w:val="00CC2F30"/>
    <w:rsid w:val="00CC32BE"/>
    <w:rsid w:val="00CC3315"/>
    <w:rsid w:val="00CC3391"/>
    <w:rsid w:val="00CC3486"/>
    <w:rsid w:val="00CC3570"/>
    <w:rsid w:val="00CC36BF"/>
    <w:rsid w:val="00CC3D74"/>
    <w:rsid w:val="00CC3E3B"/>
    <w:rsid w:val="00CC3F68"/>
    <w:rsid w:val="00CC49DD"/>
    <w:rsid w:val="00CC51E4"/>
    <w:rsid w:val="00CC53AE"/>
    <w:rsid w:val="00CC5546"/>
    <w:rsid w:val="00CC55C0"/>
    <w:rsid w:val="00CC59F7"/>
    <w:rsid w:val="00CC5C5D"/>
    <w:rsid w:val="00CC5D41"/>
    <w:rsid w:val="00CC5DC4"/>
    <w:rsid w:val="00CC6045"/>
    <w:rsid w:val="00CC609E"/>
    <w:rsid w:val="00CC6167"/>
    <w:rsid w:val="00CC6632"/>
    <w:rsid w:val="00CC7DBA"/>
    <w:rsid w:val="00CD01A7"/>
    <w:rsid w:val="00CD0686"/>
    <w:rsid w:val="00CD0BA0"/>
    <w:rsid w:val="00CD0D45"/>
    <w:rsid w:val="00CD1215"/>
    <w:rsid w:val="00CD16BD"/>
    <w:rsid w:val="00CD1A6C"/>
    <w:rsid w:val="00CD22B7"/>
    <w:rsid w:val="00CD22E5"/>
    <w:rsid w:val="00CD27B5"/>
    <w:rsid w:val="00CD2CA5"/>
    <w:rsid w:val="00CD2F63"/>
    <w:rsid w:val="00CD2FE6"/>
    <w:rsid w:val="00CD3079"/>
    <w:rsid w:val="00CD3595"/>
    <w:rsid w:val="00CD3670"/>
    <w:rsid w:val="00CD36BE"/>
    <w:rsid w:val="00CD37EE"/>
    <w:rsid w:val="00CD3B98"/>
    <w:rsid w:val="00CD3D8F"/>
    <w:rsid w:val="00CD40AB"/>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3BD"/>
    <w:rsid w:val="00CE1757"/>
    <w:rsid w:val="00CE310B"/>
    <w:rsid w:val="00CE31C4"/>
    <w:rsid w:val="00CE336F"/>
    <w:rsid w:val="00CE35C5"/>
    <w:rsid w:val="00CE3C68"/>
    <w:rsid w:val="00CE3F9D"/>
    <w:rsid w:val="00CE4235"/>
    <w:rsid w:val="00CE4482"/>
    <w:rsid w:val="00CE4483"/>
    <w:rsid w:val="00CE44DE"/>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D00090"/>
    <w:rsid w:val="00D00B73"/>
    <w:rsid w:val="00D013DA"/>
    <w:rsid w:val="00D013E9"/>
    <w:rsid w:val="00D0144F"/>
    <w:rsid w:val="00D01722"/>
    <w:rsid w:val="00D01830"/>
    <w:rsid w:val="00D01B50"/>
    <w:rsid w:val="00D020FC"/>
    <w:rsid w:val="00D02677"/>
    <w:rsid w:val="00D02C40"/>
    <w:rsid w:val="00D030EF"/>
    <w:rsid w:val="00D031CD"/>
    <w:rsid w:val="00D03499"/>
    <w:rsid w:val="00D03718"/>
    <w:rsid w:val="00D039D8"/>
    <w:rsid w:val="00D03A33"/>
    <w:rsid w:val="00D03A8A"/>
    <w:rsid w:val="00D03C60"/>
    <w:rsid w:val="00D043CE"/>
    <w:rsid w:val="00D04576"/>
    <w:rsid w:val="00D04687"/>
    <w:rsid w:val="00D048A2"/>
    <w:rsid w:val="00D04F13"/>
    <w:rsid w:val="00D04F4D"/>
    <w:rsid w:val="00D050B0"/>
    <w:rsid w:val="00D05562"/>
    <w:rsid w:val="00D059D8"/>
    <w:rsid w:val="00D05BE8"/>
    <w:rsid w:val="00D05C7A"/>
    <w:rsid w:val="00D05DF8"/>
    <w:rsid w:val="00D05E4F"/>
    <w:rsid w:val="00D064E8"/>
    <w:rsid w:val="00D0678C"/>
    <w:rsid w:val="00D06AE8"/>
    <w:rsid w:val="00D06C86"/>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72F9"/>
    <w:rsid w:val="00D173F5"/>
    <w:rsid w:val="00D20AEA"/>
    <w:rsid w:val="00D2102D"/>
    <w:rsid w:val="00D211AD"/>
    <w:rsid w:val="00D216A7"/>
    <w:rsid w:val="00D21944"/>
    <w:rsid w:val="00D21D38"/>
    <w:rsid w:val="00D21E50"/>
    <w:rsid w:val="00D21E7B"/>
    <w:rsid w:val="00D2251A"/>
    <w:rsid w:val="00D2260A"/>
    <w:rsid w:val="00D22EB4"/>
    <w:rsid w:val="00D23041"/>
    <w:rsid w:val="00D235A8"/>
    <w:rsid w:val="00D2418F"/>
    <w:rsid w:val="00D24294"/>
    <w:rsid w:val="00D242AE"/>
    <w:rsid w:val="00D24586"/>
    <w:rsid w:val="00D2476A"/>
    <w:rsid w:val="00D24944"/>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620"/>
    <w:rsid w:val="00D31780"/>
    <w:rsid w:val="00D319B7"/>
    <w:rsid w:val="00D31BB7"/>
    <w:rsid w:val="00D31C5D"/>
    <w:rsid w:val="00D32059"/>
    <w:rsid w:val="00D32284"/>
    <w:rsid w:val="00D324CC"/>
    <w:rsid w:val="00D329EA"/>
    <w:rsid w:val="00D3329F"/>
    <w:rsid w:val="00D3351F"/>
    <w:rsid w:val="00D33CB4"/>
    <w:rsid w:val="00D34903"/>
    <w:rsid w:val="00D35511"/>
    <w:rsid w:val="00D36010"/>
    <w:rsid w:val="00D3626A"/>
    <w:rsid w:val="00D3683C"/>
    <w:rsid w:val="00D371AA"/>
    <w:rsid w:val="00D37204"/>
    <w:rsid w:val="00D379FB"/>
    <w:rsid w:val="00D37DC4"/>
    <w:rsid w:val="00D40807"/>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6F48"/>
    <w:rsid w:val="00D57021"/>
    <w:rsid w:val="00D5790C"/>
    <w:rsid w:val="00D57B6D"/>
    <w:rsid w:val="00D57DC0"/>
    <w:rsid w:val="00D602EF"/>
    <w:rsid w:val="00D60318"/>
    <w:rsid w:val="00D607AA"/>
    <w:rsid w:val="00D60A75"/>
    <w:rsid w:val="00D6196C"/>
    <w:rsid w:val="00D61CDE"/>
    <w:rsid w:val="00D61E61"/>
    <w:rsid w:val="00D620D0"/>
    <w:rsid w:val="00D62439"/>
    <w:rsid w:val="00D62582"/>
    <w:rsid w:val="00D62974"/>
    <w:rsid w:val="00D62D0A"/>
    <w:rsid w:val="00D63597"/>
    <w:rsid w:val="00D63A22"/>
    <w:rsid w:val="00D63B1A"/>
    <w:rsid w:val="00D63E66"/>
    <w:rsid w:val="00D63F31"/>
    <w:rsid w:val="00D6443E"/>
    <w:rsid w:val="00D64472"/>
    <w:rsid w:val="00D64EDA"/>
    <w:rsid w:val="00D653DA"/>
    <w:rsid w:val="00D65B35"/>
    <w:rsid w:val="00D65FC3"/>
    <w:rsid w:val="00D662E2"/>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53E"/>
    <w:rsid w:val="00D86772"/>
    <w:rsid w:val="00D869B9"/>
    <w:rsid w:val="00D86ED8"/>
    <w:rsid w:val="00D86F68"/>
    <w:rsid w:val="00D8718A"/>
    <w:rsid w:val="00D871A8"/>
    <w:rsid w:val="00D874DF"/>
    <w:rsid w:val="00D87524"/>
    <w:rsid w:val="00D8790F"/>
    <w:rsid w:val="00D87B29"/>
    <w:rsid w:val="00D87CA4"/>
    <w:rsid w:val="00D87D17"/>
    <w:rsid w:val="00D9095A"/>
    <w:rsid w:val="00D90FE5"/>
    <w:rsid w:val="00D91559"/>
    <w:rsid w:val="00D91EAE"/>
    <w:rsid w:val="00D91F42"/>
    <w:rsid w:val="00D925F6"/>
    <w:rsid w:val="00D92919"/>
    <w:rsid w:val="00D92A19"/>
    <w:rsid w:val="00D92DA6"/>
    <w:rsid w:val="00D92EE7"/>
    <w:rsid w:val="00D93347"/>
    <w:rsid w:val="00D9344A"/>
    <w:rsid w:val="00D935E4"/>
    <w:rsid w:val="00D93716"/>
    <w:rsid w:val="00D93CF1"/>
    <w:rsid w:val="00D93F13"/>
    <w:rsid w:val="00D9415C"/>
    <w:rsid w:val="00D947DD"/>
    <w:rsid w:val="00D94A4E"/>
    <w:rsid w:val="00D94F4C"/>
    <w:rsid w:val="00D952C1"/>
    <w:rsid w:val="00D95A1B"/>
    <w:rsid w:val="00D95AC1"/>
    <w:rsid w:val="00D96290"/>
    <w:rsid w:val="00D966C9"/>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5B89"/>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970"/>
    <w:rsid w:val="00DB64C0"/>
    <w:rsid w:val="00DB6528"/>
    <w:rsid w:val="00DB68D5"/>
    <w:rsid w:val="00DB7A38"/>
    <w:rsid w:val="00DB7C51"/>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3A16"/>
    <w:rsid w:val="00DC4261"/>
    <w:rsid w:val="00DC46D4"/>
    <w:rsid w:val="00DC47A9"/>
    <w:rsid w:val="00DC4B2C"/>
    <w:rsid w:val="00DC4FB4"/>
    <w:rsid w:val="00DC5104"/>
    <w:rsid w:val="00DC5BC3"/>
    <w:rsid w:val="00DC5DA5"/>
    <w:rsid w:val="00DC63D3"/>
    <w:rsid w:val="00DC6A22"/>
    <w:rsid w:val="00DC70C2"/>
    <w:rsid w:val="00DC71DC"/>
    <w:rsid w:val="00DC7BB7"/>
    <w:rsid w:val="00DC7C02"/>
    <w:rsid w:val="00DC7C91"/>
    <w:rsid w:val="00DD01E5"/>
    <w:rsid w:val="00DD02EC"/>
    <w:rsid w:val="00DD0CD6"/>
    <w:rsid w:val="00DD208B"/>
    <w:rsid w:val="00DD229E"/>
    <w:rsid w:val="00DD268F"/>
    <w:rsid w:val="00DD2B36"/>
    <w:rsid w:val="00DD2C53"/>
    <w:rsid w:val="00DD2FF4"/>
    <w:rsid w:val="00DD3340"/>
    <w:rsid w:val="00DD3717"/>
    <w:rsid w:val="00DD3C41"/>
    <w:rsid w:val="00DD3EE3"/>
    <w:rsid w:val="00DD47E0"/>
    <w:rsid w:val="00DD4A34"/>
    <w:rsid w:val="00DD55E0"/>
    <w:rsid w:val="00DD572D"/>
    <w:rsid w:val="00DD58AE"/>
    <w:rsid w:val="00DD5A32"/>
    <w:rsid w:val="00DD5A71"/>
    <w:rsid w:val="00DD5DA8"/>
    <w:rsid w:val="00DD603D"/>
    <w:rsid w:val="00DD616E"/>
    <w:rsid w:val="00DD62A3"/>
    <w:rsid w:val="00DD6547"/>
    <w:rsid w:val="00DD75DD"/>
    <w:rsid w:val="00DD78CA"/>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B20"/>
    <w:rsid w:val="00DE3C97"/>
    <w:rsid w:val="00DE3DBB"/>
    <w:rsid w:val="00DE46AC"/>
    <w:rsid w:val="00DE4DB4"/>
    <w:rsid w:val="00DE5B89"/>
    <w:rsid w:val="00DE605C"/>
    <w:rsid w:val="00DE6640"/>
    <w:rsid w:val="00DE6BBD"/>
    <w:rsid w:val="00DE75CC"/>
    <w:rsid w:val="00DE7B66"/>
    <w:rsid w:val="00DE7C8E"/>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6F6F"/>
    <w:rsid w:val="00DF7288"/>
    <w:rsid w:val="00DF747F"/>
    <w:rsid w:val="00DF777C"/>
    <w:rsid w:val="00DF7ED2"/>
    <w:rsid w:val="00E00AC0"/>
    <w:rsid w:val="00E00EE4"/>
    <w:rsid w:val="00E01223"/>
    <w:rsid w:val="00E01B64"/>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41F"/>
    <w:rsid w:val="00E116A1"/>
    <w:rsid w:val="00E11788"/>
    <w:rsid w:val="00E11AD8"/>
    <w:rsid w:val="00E11BB3"/>
    <w:rsid w:val="00E11F46"/>
    <w:rsid w:val="00E126CF"/>
    <w:rsid w:val="00E132F0"/>
    <w:rsid w:val="00E13504"/>
    <w:rsid w:val="00E13A07"/>
    <w:rsid w:val="00E13A5E"/>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1BC9"/>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9EA"/>
    <w:rsid w:val="00E34B44"/>
    <w:rsid w:val="00E3508A"/>
    <w:rsid w:val="00E359F4"/>
    <w:rsid w:val="00E35AB4"/>
    <w:rsid w:val="00E35C04"/>
    <w:rsid w:val="00E35DDC"/>
    <w:rsid w:val="00E36207"/>
    <w:rsid w:val="00E363A0"/>
    <w:rsid w:val="00E36807"/>
    <w:rsid w:val="00E36A2C"/>
    <w:rsid w:val="00E36DD8"/>
    <w:rsid w:val="00E373E3"/>
    <w:rsid w:val="00E37C4F"/>
    <w:rsid w:val="00E40057"/>
    <w:rsid w:val="00E40545"/>
    <w:rsid w:val="00E40572"/>
    <w:rsid w:val="00E4060A"/>
    <w:rsid w:val="00E40D62"/>
    <w:rsid w:val="00E41083"/>
    <w:rsid w:val="00E41430"/>
    <w:rsid w:val="00E41440"/>
    <w:rsid w:val="00E414D3"/>
    <w:rsid w:val="00E422B2"/>
    <w:rsid w:val="00E42325"/>
    <w:rsid w:val="00E42427"/>
    <w:rsid w:val="00E42FF8"/>
    <w:rsid w:val="00E43A4F"/>
    <w:rsid w:val="00E43B5F"/>
    <w:rsid w:val="00E43EB7"/>
    <w:rsid w:val="00E43F8E"/>
    <w:rsid w:val="00E44C11"/>
    <w:rsid w:val="00E44CD7"/>
    <w:rsid w:val="00E44D5C"/>
    <w:rsid w:val="00E4517B"/>
    <w:rsid w:val="00E45A87"/>
    <w:rsid w:val="00E45E5C"/>
    <w:rsid w:val="00E45FB6"/>
    <w:rsid w:val="00E464DA"/>
    <w:rsid w:val="00E4675F"/>
    <w:rsid w:val="00E469DD"/>
    <w:rsid w:val="00E46A24"/>
    <w:rsid w:val="00E47226"/>
    <w:rsid w:val="00E47475"/>
    <w:rsid w:val="00E477BD"/>
    <w:rsid w:val="00E5039C"/>
    <w:rsid w:val="00E506A0"/>
    <w:rsid w:val="00E50B15"/>
    <w:rsid w:val="00E51205"/>
    <w:rsid w:val="00E51477"/>
    <w:rsid w:val="00E51AFB"/>
    <w:rsid w:val="00E51CE8"/>
    <w:rsid w:val="00E520D7"/>
    <w:rsid w:val="00E52E45"/>
    <w:rsid w:val="00E531EB"/>
    <w:rsid w:val="00E53B86"/>
    <w:rsid w:val="00E541E5"/>
    <w:rsid w:val="00E542BB"/>
    <w:rsid w:val="00E54AB1"/>
    <w:rsid w:val="00E54D5E"/>
    <w:rsid w:val="00E54ED3"/>
    <w:rsid w:val="00E554AD"/>
    <w:rsid w:val="00E5554E"/>
    <w:rsid w:val="00E557DB"/>
    <w:rsid w:val="00E55D95"/>
    <w:rsid w:val="00E56278"/>
    <w:rsid w:val="00E562DC"/>
    <w:rsid w:val="00E5636C"/>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0AF"/>
    <w:rsid w:val="00E62147"/>
    <w:rsid w:val="00E62365"/>
    <w:rsid w:val="00E625E1"/>
    <w:rsid w:val="00E626CB"/>
    <w:rsid w:val="00E62DDA"/>
    <w:rsid w:val="00E63333"/>
    <w:rsid w:val="00E63979"/>
    <w:rsid w:val="00E63A0F"/>
    <w:rsid w:val="00E63B18"/>
    <w:rsid w:val="00E63E58"/>
    <w:rsid w:val="00E64121"/>
    <w:rsid w:val="00E641DD"/>
    <w:rsid w:val="00E65245"/>
    <w:rsid w:val="00E656E1"/>
    <w:rsid w:val="00E66098"/>
    <w:rsid w:val="00E6610C"/>
    <w:rsid w:val="00E6620B"/>
    <w:rsid w:val="00E66874"/>
    <w:rsid w:val="00E66C6E"/>
    <w:rsid w:val="00E67218"/>
    <w:rsid w:val="00E6738A"/>
    <w:rsid w:val="00E674C4"/>
    <w:rsid w:val="00E67580"/>
    <w:rsid w:val="00E67B66"/>
    <w:rsid w:val="00E67C1A"/>
    <w:rsid w:val="00E67D5C"/>
    <w:rsid w:val="00E7018D"/>
    <w:rsid w:val="00E70D1E"/>
    <w:rsid w:val="00E71528"/>
    <w:rsid w:val="00E723A7"/>
    <w:rsid w:val="00E72455"/>
    <w:rsid w:val="00E72AB4"/>
    <w:rsid w:val="00E72E72"/>
    <w:rsid w:val="00E73325"/>
    <w:rsid w:val="00E7338E"/>
    <w:rsid w:val="00E73852"/>
    <w:rsid w:val="00E73F27"/>
    <w:rsid w:val="00E74212"/>
    <w:rsid w:val="00E746E5"/>
    <w:rsid w:val="00E748A8"/>
    <w:rsid w:val="00E74DCB"/>
    <w:rsid w:val="00E74EE7"/>
    <w:rsid w:val="00E759DD"/>
    <w:rsid w:val="00E75DAD"/>
    <w:rsid w:val="00E75E43"/>
    <w:rsid w:val="00E76164"/>
    <w:rsid w:val="00E76854"/>
    <w:rsid w:val="00E76A1A"/>
    <w:rsid w:val="00E76A94"/>
    <w:rsid w:val="00E76D4A"/>
    <w:rsid w:val="00E76DAC"/>
    <w:rsid w:val="00E7723E"/>
    <w:rsid w:val="00E778BD"/>
    <w:rsid w:val="00E80CF3"/>
    <w:rsid w:val="00E80F33"/>
    <w:rsid w:val="00E81190"/>
    <w:rsid w:val="00E813B8"/>
    <w:rsid w:val="00E8152E"/>
    <w:rsid w:val="00E8153C"/>
    <w:rsid w:val="00E81ACC"/>
    <w:rsid w:val="00E81FFC"/>
    <w:rsid w:val="00E82A18"/>
    <w:rsid w:val="00E82E54"/>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7E6"/>
    <w:rsid w:val="00E91837"/>
    <w:rsid w:val="00E91B8A"/>
    <w:rsid w:val="00E925DD"/>
    <w:rsid w:val="00E9267D"/>
    <w:rsid w:val="00E92DA1"/>
    <w:rsid w:val="00E92E49"/>
    <w:rsid w:val="00E930E2"/>
    <w:rsid w:val="00E93184"/>
    <w:rsid w:val="00E93A02"/>
    <w:rsid w:val="00E93A71"/>
    <w:rsid w:val="00E93F22"/>
    <w:rsid w:val="00E943FF"/>
    <w:rsid w:val="00E946A6"/>
    <w:rsid w:val="00E94823"/>
    <w:rsid w:val="00E9568B"/>
    <w:rsid w:val="00E9575B"/>
    <w:rsid w:val="00E95D28"/>
    <w:rsid w:val="00E96041"/>
    <w:rsid w:val="00E96219"/>
    <w:rsid w:val="00E96745"/>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1F9"/>
    <w:rsid w:val="00EA25CF"/>
    <w:rsid w:val="00EA290D"/>
    <w:rsid w:val="00EA2DBF"/>
    <w:rsid w:val="00EA31A1"/>
    <w:rsid w:val="00EA31AB"/>
    <w:rsid w:val="00EA346E"/>
    <w:rsid w:val="00EA3636"/>
    <w:rsid w:val="00EA3BE6"/>
    <w:rsid w:val="00EA3CC6"/>
    <w:rsid w:val="00EA4327"/>
    <w:rsid w:val="00EA4A51"/>
    <w:rsid w:val="00EA4AC4"/>
    <w:rsid w:val="00EA4B85"/>
    <w:rsid w:val="00EA4F5E"/>
    <w:rsid w:val="00EA53D4"/>
    <w:rsid w:val="00EA5973"/>
    <w:rsid w:val="00EA5B7C"/>
    <w:rsid w:val="00EA5E39"/>
    <w:rsid w:val="00EA5E94"/>
    <w:rsid w:val="00EA601F"/>
    <w:rsid w:val="00EA626E"/>
    <w:rsid w:val="00EA69D7"/>
    <w:rsid w:val="00EA69DB"/>
    <w:rsid w:val="00EA6AFE"/>
    <w:rsid w:val="00EA6E07"/>
    <w:rsid w:val="00EA6E16"/>
    <w:rsid w:val="00EA709C"/>
    <w:rsid w:val="00EA7D0F"/>
    <w:rsid w:val="00EA7E02"/>
    <w:rsid w:val="00EB0F38"/>
    <w:rsid w:val="00EB1671"/>
    <w:rsid w:val="00EB19F9"/>
    <w:rsid w:val="00EB1E70"/>
    <w:rsid w:val="00EB1FBA"/>
    <w:rsid w:val="00EB241D"/>
    <w:rsid w:val="00EB2D87"/>
    <w:rsid w:val="00EB3773"/>
    <w:rsid w:val="00EB399B"/>
    <w:rsid w:val="00EB3F39"/>
    <w:rsid w:val="00EB3F50"/>
    <w:rsid w:val="00EB414A"/>
    <w:rsid w:val="00EB4523"/>
    <w:rsid w:val="00EB4700"/>
    <w:rsid w:val="00EB4A7A"/>
    <w:rsid w:val="00EB53AC"/>
    <w:rsid w:val="00EB584A"/>
    <w:rsid w:val="00EB5DE7"/>
    <w:rsid w:val="00EB5EEA"/>
    <w:rsid w:val="00EB6399"/>
    <w:rsid w:val="00EB6B73"/>
    <w:rsid w:val="00EB6F8E"/>
    <w:rsid w:val="00EB6FAC"/>
    <w:rsid w:val="00EB7013"/>
    <w:rsid w:val="00EB7180"/>
    <w:rsid w:val="00EB74CA"/>
    <w:rsid w:val="00EB763C"/>
    <w:rsid w:val="00EB7947"/>
    <w:rsid w:val="00EB79E5"/>
    <w:rsid w:val="00EC0140"/>
    <w:rsid w:val="00EC0729"/>
    <w:rsid w:val="00EC0810"/>
    <w:rsid w:val="00EC1221"/>
    <w:rsid w:val="00EC12CA"/>
    <w:rsid w:val="00EC14BA"/>
    <w:rsid w:val="00EC187D"/>
    <w:rsid w:val="00EC1A3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DD"/>
    <w:rsid w:val="00ED3B6C"/>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01C"/>
    <w:rsid w:val="00EE2438"/>
    <w:rsid w:val="00EE2485"/>
    <w:rsid w:val="00EE2EA7"/>
    <w:rsid w:val="00EE3225"/>
    <w:rsid w:val="00EE33B5"/>
    <w:rsid w:val="00EE3679"/>
    <w:rsid w:val="00EE3723"/>
    <w:rsid w:val="00EE39D6"/>
    <w:rsid w:val="00EE3B94"/>
    <w:rsid w:val="00EE404E"/>
    <w:rsid w:val="00EE413F"/>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154D"/>
    <w:rsid w:val="00EF191E"/>
    <w:rsid w:val="00EF1DDD"/>
    <w:rsid w:val="00EF1F06"/>
    <w:rsid w:val="00EF1FAA"/>
    <w:rsid w:val="00EF208C"/>
    <w:rsid w:val="00EF21C3"/>
    <w:rsid w:val="00EF2341"/>
    <w:rsid w:val="00EF2505"/>
    <w:rsid w:val="00EF28FE"/>
    <w:rsid w:val="00EF297D"/>
    <w:rsid w:val="00EF2AC2"/>
    <w:rsid w:val="00EF2C7C"/>
    <w:rsid w:val="00EF3A07"/>
    <w:rsid w:val="00EF3AF0"/>
    <w:rsid w:val="00EF3EEE"/>
    <w:rsid w:val="00EF4108"/>
    <w:rsid w:val="00EF42D2"/>
    <w:rsid w:val="00EF43A6"/>
    <w:rsid w:val="00EF44AC"/>
    <w:rsid w:val="00EF4BD6"/>
    <w:rsid w:val="00EF51F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4563"/>
    <w:rsid w:val="00F04725"/>
    <w:rsid w:val="00F04920"/>
    <w:rsid w:val="00F055E9"/>
    <w:rsid w:val="00F05F75"/>
    <w:rsid w:val="00F0656D"/>
    <w:rsid w:val="00F0670C"/>
    <w:rsid w:val="00F06F99"/>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6AE"/>
    <w:rsid w:val="00F16A80"/>
    <w:rsid w:val="00F17017"/>
    <w:rsid w:val="00F1732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AD9"/>
    <w:rsid w:val="00F33D3E"/>
    <w:rsid w:val="00F34603"/>
    <w:rsid w:val="00F3493B"/>
    <w:rsid w:val="00F34A81"/>
    <w:rsid w:val="00F34EE9"/>
    <w:rsid w:val="00F357EE"/>
    <w:rsid w:val="00F35E67"/>
    <w:rsid w:val="00F360E9"/>
    <w:rsid w:val="00F36608"/>
    <w:rsid w:val="00F366C5"/>
    <w:rsid w:val="00F366F1"/>
    <w:rsid w:val="00F36D4A"/>
    <w:rsid w:val="00F36F53"/>
    <w:rsid w:val="00F37A15"/>
    <w:rsid w:val="00F4020C"/>
    <w:rsid w:val="00F402B8"/>
    <w:rsid w:val="00F40331"/>
    <w:rsid w:val="00F40886"/>
    <w:rsid w:val="00F41DEF"/>
    <w:rsid w:val="00F42DAB"/>
    <w:rsid w:val="00F42DFF"/>
    <w:rsid w:val="00F42EE1"/>
    <w:rsid w:val="00F42FBD"/>
    <w:rsid w:val="00F43270"/>
    <w:rsid w:val="00F43B68"/>
    <w:rsid w:val="00F43CE9"/>
    <w:rsid w:val="00F44067"/>
    <w:rsid w:val="00F444F9"/>
    <w:rsid w:val="00F446A8"/>
    <w:rsid w:val="00F44756"/>
    <w:rsid w:val="00F44A3D"/>
    <w:rsid w:val="00F45057"/>
    <w:rsid w:val="00F45117"/>
    <w:rsid w:val="00F457FA"/>
    <w:rsid w:val="00F464CC"/>
    <w:rsid w:val="00F47F85"/>
    <w:rsid w:val="00F50316"/>
    <w:rsid w:val="00F50C25"/>
    <w:rsid w:val="00F50D4A"/>
    <w:rsid w:val="00F50D97"/>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9F3"/>
    <w:rsid w:val="00F55CF6"/>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E24"/>
    <w:rsid w:val="00F6202E"/>
    <w:rsid w:val="00F625CD"/>
    <w:rsid w:val="00F6264A"/>
    <w:rsid w:val="00F62738"/>
    <w:rsid w:val="00F62B97"/>
    <w:rsid w:val="00F62C49"/>
    <w:rsid w:val="00F62FB4"/>
    <w:rsid w:val="00F6320F"/>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4ED"/>
    <w:rsid w:val="00F71920"/>
    <w:rsid w:val="00F719CA"/>
    <w:rsid w:val="00F71BD1"/>
    <w:rsid w:val="00F71CA8"/>
    <w:rsid w:val="00F72683"/>
    <w:rsid w:val="00F73352"/>
    <w:rsid w:val="00F73B3E"/>
    <w:rsid w:val="00F73E36"/>
    <w:rsid w:val="00F7418C"/>
    <w:rsid w:val="00F744C7"/>
    <w:rsid w:val="00F74C5B"/>
    <w:rsid w:val="00F74EB5"/>
    <w:rsid w:val="00F751AB"/>
    <w:rsid w:val="00F75A76"/>
    <w:rsid w:val="00F761E0"/>
    <w:rsid w:val="00F768B6"/>
    <w:rsid w:val="00F76A90"/>
    <w:rsid w:val="00F76C9A"/>
    <w:rsid w:val="00F76EB3"/>
    <w:rsid w:val="00F77622"/>
    <w:rsid w:val="00F77BEF"/>
    <w:rsid w:val="00F77DB8"/>
    <w:rsid w:val="00F80605"/>
    <w:rsid w:val="00F81111"/>
    <w:rsid w:val="00F81692"/>
    <w:rsid w:val="00F81874"/>
    <w:rsid w:val="00F81885"/>
    <w:rsid w:val="00F8242A"/>
    <w:rsid w:val="00F826E6"/>
    <w:rsid w:val="00F82D09"/>
    <w:rsid w:val="00F8305A"/>
    <w:rsid w:val="00F8310F"/>
    <w:rsid w:val="00F83247"/>
    <w:rsid w:val="00F83743"/>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94"/>
    <w:rsid w:val="00FA1D35"/>
    <w:rsid w:val="00FA1E4D"/>
    <w:rsid w:val="00FA2648"/>
    <w:rsid w:val="00FA302E"/>
    <w:rsid w:val="00FA32C8"/>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351"/>
    <w:rsid w:val="00FB477A"/>
    <w:rsid w:val="00FB4A07"/>
    <w:rsid w:val="00FB4D6F"/>
    <w:rsid w:val="00FB5018"/>
    <w:rsid w:val="00FB52FA"/>
    <w:rsid w:val="00FB5C3C"/>
    <w:rsid w:val="00FB5D5E"/>
    <w:rsid w:val="00FB5EB4"/>
    <w:rsid w:val="00FB5FEE"/>
    <w:rsid w:val="00FB6659"/>
    <w:rsid w:val="00FB76B2"/>
    <w:rsid w:val="00FC00AF"/>
    <w:rsid w:val="00FC0687"/>
    <w:rsid w:val="00FC0696"/>
    <w:rsid w:val="00FC06AB"/>
    <w:rsid w:val="00FC086C"/>
    <w:rsid w:val="00FC0E2E"/>
    <w:rsid w:val="00FC105B"/>
    <w:rsid w:val="00FC10B8"/>
    <w:rsid w:val="00FC11D9"/>
    <w:rsid w:val="00FC142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1BD"/>
    <w:rsid w:val="00FC52CE"/>
    <w:rsid w:val="00FC5F4E"/>
    <w:rsid w:val="00FC5FF6"/>
    <w:rsid w:val="00FC6D61"/>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7E2"/>
    <w:rsid w:val="00FD53F6"/>
    <w:rsid w:val="00FD56D1"/>
    <w:rsid w:val="00FD570F"/>
    <w:rsid w:val="00FD586D"/>
    <w:rsid w:val="00FD5A19"/>
    <w:rsid w:val="00FD5F86"/>
    <w:rsid w:val="00FD6224"/>
    <w:rsid w:val="00FD6325"/>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AFA"/>
    <w:rsid w:val="00FE43CE"/>
    <w:rsid w:val="00FE47A4"/>
    <w:rsid w:val="00FE4831"/>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1E8"/>
    <w:rsid w:val="00FF16F2"/>
    <w:rsid w:val="00FF201A"/>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 w:val="0189A590"/>
    <w:rsid w:val="01E17585"/>
    <w:rsid w:val="0210396F"/>
    <w:rsid w:val="03AC09D0"/>
    <w:rsid w:val="0B99F844"/>
    <w:rsid w:val="0CA4AFEA"/>
    <w:rsid w:val="0D2C15B2"/>
    <w:rsid w:val="0EC7E613"/>
    <w:rsid w:val="11401677"/>
    <w:rsid w:val="14B7AF55"/>
    <w:rsid w:val="1527B22D"/>
    <w:rsid w:val="15372797"/>
    <w:rsid w:val="16B9CF9B"/>
    <w:rsid w:val="170B47AB"/>
    <w:rsid w:val="1839AA80"/>
    <w:rsid w:val="1BFC2E9A"/>
    <w:rsid w:val="22A2CB52"/>
    <w:rsid w:val="25119B1E"/>
    <w:rsid w:val="2950114F"/>
    <w:rsid w:val="2D585D46"/>
    <w:rsid w:val="3ABF32F5"/>
    <w:rsid w:val="3B525AD9"/>
    <w:rsid w:val="3D3A6BF8"/>
    <w:rsid w:val="3F71312E"/>
    <w:rsid w:val="41F7129E"/>
    <w:rsid w:val="430B51F2"/>
    <w:rsid w:val="4BAA694F"/>
    <w:rsid w:val="4E2D8838"/>
    <w:rsid w:val="55382338"/>
    <w:rsid w:val="57A00E3F"/>
    <w:rsid w:val="5B572743"/>
    <w:rsid w:val="60744375"/>
    <w:rsid w:val="64B9086A"/>
    <w:rsid w:val="65AE047D"/>
    <w:rsid w:val="662288A4"/>
    <w:rsid w:val="6686F944"/>
    <w:rsid w:val="6A2A9B50"/>
    <w:rsid w:val="6A5EEDBA"/>
    <w:rsid w:val="6B1B031E"/>
    <w:rsid w:val="71D901CB"/>
    <w:rsid w:val="71E47A17"/>
    <w:rsid w:val="729E18FE"/>
    <w:rsid w:val="739113CA"/>
    <w:rsid w:val="7571E058"/>
    <w:rsid w:val="763872F8"/>
    <w:rsid w:val="770DB0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FCF9031C-01FD-45A6-883D-9DABEE4F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8735323">
      <w:bodyDiv w:val="1"/>
      <w:marLeft w:val="0"/>
      <w:marRight w:val="0"/>
      <w:marTop w:val="0"/>
      <w:marBottom w:val="0"/>
      <w:divBdr>
        <w:top w:val="none" w:sz="0" w:space="0" w:color="auto"/>
        <w:left w:val="none" w:sz="0" w:space="0" w:color="auto"/>
        <w:bottom w:val="none" w:sz="0" w:space="0" w:color="auto"/>
        <w:right w:val="none" w:sz="0" w:space="0" w:color="auto"/>
      </w:divBdr>
      <w:divsChild>
        <w:div w:id="1500851295">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09532431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5AIRPNAIUNRU-1977188174-1138</_dlc_DocId>
    <_dlc_DocIdUrl xmlns="71c5aaf6-e6ce-465b-b873-5148d2a4c105">
      <Url>https://nokia.sharepoint.com/sites/c5g/projects/mIoT/_layouts/15/DocIdRedir.aspx?ID=5AIRPNAIUNRU-1977188174-1138</Url>
      <Description>5AIRPNAIUNRU-1977188174-1138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77775-3DC0-408B-8656-04F667E9E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5.xml><?xml version="1.0" encoding="utf-8"?>
<ds:datastoreItem xmlns:ds="http://schemas.openxmlformats.org/officeDocument/2006/customXml" ds:itemID="{75BC39CE-D1FC-4B25-BF98-681AF587BE10}">
  <ds:schemaRefs>
    <ds:schemaRef ds:uri="http://purl.org/dc/dcmitype/"/>
    <ds:schemaRef ds:uri="http://schemas.microsoft.com/office/2006/metadata/properties"/>
    <ds:schemaRef ds:uri="http://schemas.microsoft.com/office/2006/documentManagement/types"/>
    <ds:schemaRef ds:uri="eba96c7d-946c-4676-82fc-426bab2a7139"/>
    <ds:schemaRef ds:uri="3b34c8f0-1ef5-4d1e-bb66-517ce7fe7356"/>
    <ds:schemaRef ds:uri="http://schemas.microsoft.com/office/infopath/2007/PartnerControls"/>
    <ds:schemaRef ds:uri="http://purl.org/dc/terms/"/>
    <ds:schemaRef ds:uri="http://www.w3.org/XML/1998/namespace"/>
    <ds:schemaRef ds:uri="http://schemas.openxmlformats.org/package/2006/metadata/core-properties"/>
    <ds:schemaRef ds:uri="71c5aaf6-e6ce-465b-b873-5148d2a4c105"/>
    <ds:schemaRef ds:uri="http://purl.org/dc/elements/1.1/"/>
  </ds:schemaRefs>
</ds:datastoreItem>
</file>

<file path=customXml/itemProps6.xml><?xml version="1.0" encoding="utf-8"?>
<ds:datastoreItem xmlns:ds="http://schemas.openxmlformats.org/officeDocument/2006/customXml" ds:itemID="{E4EE9A10-495E-4262-8257-DC45C5DD3B5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19</Pages>
  <Words>7595</Words>
  <Characters>43298</Characters>
  <Application>Microsoft Office Word</Application>
  <DocSecurity>0</DocSecurity>
  <Lines>360</Lines>
  <Paragraphs>101</Paragraphs>
  <ScaleCrop>false</ScaleCrop>
  <Company>Nokia Siemens Networks</Company>
  <LinksUpToDate>false</LinksUpToDate>
  <CharactersWithSpaces>50792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Ratasuk, Rapeepat (Nokia - US/Naperville)</cp:lastModifiedBy>
  <cp:revision>2</cp:revision>
  <cp:lastPrinted>2019-04-30T00:45:00Z</cp:lastPrinted>
  <dcterms:created xsi:type="dcterms:W3CDTF">2022-08-12T16:26:00Z</dcterms:created>
  <dcterms:modified xsi:type="dcterms:W3CDTF">2022-08-12T16:26:00Z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5afe911e-2abc-44ab-883e-3d726fcdbf3c</vt:lpwstr>
  </property>
</Properties>
</file>