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w:t>
      </w:r>
      <w:r>
        <w:rPr>
          <w:rFonts w:hint="eastAsia" w:eastAsia="宋体"/>
          <w:b/>
          <w:sz w:val="22"/>
          <w:szCs w:val="22"/>
          <w:lang w:val="en-US" w:eastAsia="zh-CN"/>
        </w:rPr>
        <w:t>10</w:t>
      </w:r>
      <w:r>
        <w:rPr>
          <w:rFonts w:eastAsia="宋体"/>
          <w:b/>
          <w:sz w:val="22"/>
          <w:szCs w:val="22"/>
          <w:lang w:eastAsia="zh-CN"/>
        </w:rPr>
        <w:tab/>
      </w:r>
      <w:r>
        <w:rPr>
          <w:rFonts w:eastAsia="宋体"/>
          <w:b/>
          <w:sz w:val="22"/>
          <w:szCs w:val="22"/>
          <w:lang w:eastAsia="zh-CN"/>
        </w:rPr>
        <w:tab/>
      </w:r>
      <w:r>
        <w:rPr>
          <w:rFonts w:hint="eastAsia" w:eastAsia="宋体"/>
          <w:b/>
          <w:sz w:val="22"/>
          <w:szCs w:val="22"/>
          <w:highlight w:val="none"/>
          <w:lang w:eastAsia="zh-CN"/>
        </w:rPr>
        <w:t>R1-2206312</w:t>
      </w:r>
    </w:p>
    <w:p>
      <w:pPr>
        <w:tabs>
          <w:tab w:val="center" w:pos="4536"/>
          <w:tab w:val="right" w:pos="9072"/>
        </w:tabs>
        <w:rPr>
          <w:rFonts w:hint="default" w:eastAsia="宋体"/>
          <w:b/>
          <w:bCs/>
          <w:sz w:val="22"/>
          <w:szCs w:val="22"/>
          <w:lang w:val="en-US" w:eastAsia="zh-CN"/>
        </w:rPr>
      </w:pPr>
      <w:r>
        <w:rPr>
          <w:rFonts w:hint="eastAsia" w:eastAsia="宋体"/>
          <w:b/>
          <w:bCs/>
          <w:sz w:val="22"/>
          <w:szCs w:val="22"/>
          <w:lang w:val="en-US" w:eastAsia="zh-CN"/>
        </w:rPr>
        <w:t>August 22</w:t>
      </w:r>
      <w:r>
        <w:rPr>
          <w:rFonts w:hint="eastAsia" w:eastAsia="宋体"/>
          <w:b/>
          <w:bCs/>
          <w:sz w:val="22"/>
          <w:szCs w:val="22"/>
          <w:vertAlign w:val="superscript"/>
          <w:lang w:val="en-US" w:eastAsia="zh-CN"/>
        </w:rPr>
        <w:t>nd</w:t>
      </w:r>
      <w:r>
        <w:rPr>
          <w:rFonts w:hint="eastAsia" w:eastAsia="宋体"/>
          <w:b/>
          <w:bCs/>
          <w:sz w:val="22"/>
          <w:szCs w:val="22"/>
          <w:lang w:val="en-US" w:eastAsia="zh-CN"/>
        </w:rPr>
        <w:t xml:space="preserve"> - </w:t>
      </w:r>
      <w:r>
        <w:rPr>
          <w:rFonts w:eastAsia="MS Mincho"/>
          <w:b/>
          <w:bCs/>
          <w:sz w:val="22"/>
          <w:szCs w:val="22"/>
          <w:lang w:eastAsia="ja-JP"/>
        </w:rPr>
        <w:t>2</w:t>
      </w:r>
      <w:r>
        <w:rPr>
          <w:rFonts w:hint="eastAsia" w:eastAsia="宋体"/>
          <w:b/>
          <w:bCs/>
          <w:sz w:val="22"/>
          <w:szCs w:val="22"/>
          <w:lang w:val="en-US" w:eastAsia="zh-CN"/>
        </w:rPr>
        <w:t>6</w:t>
      </w:r>
      <w:r>
        <w:rPr>
          <w:rFonts w:eastAsia="MS Mincho"/>
          <w:b/>
          <w:bCs/>
          <w:sz w:val="22"/>
          <w:szCs w:val="22"/>
          <w:vertAlign w:val="superscript"/>
          <w:lang w:eastAsia="ja-JP"/>
        </w:rPr>
        <w:t>th</w:t>
      </w:r>
      <w:r>
        <w:rPr>
          <w:rFonts w:eastAsia="MS Mincho"/>
          <w:b/>
          <w:bCs/>
          <w:sz w:val="22"/>
          <w:szCs w:val="22"/>
          <w:lang w:eastAsia="ja-JP"/>
        </w:rPr>
        <w:t>, 2022</w:t>
      </w:r>
      <w:r>
        <w:rPr>
          <w:rFonts w:hint="eastAsia" w:eastAsia="宋体"/>
          <w:b/>
          <w:bCs/>
          <w:sz w:val="22"/>
          <w:szCs w:val="22"/>
          <w:lang w:val="en-US" w:eastAsia="zh-CN"/>
        </w:rPr>
        <w:t>, Toulouse, France</w:t>
      </w:r>
    </w:p>
    <w:p>
      <w:pPr>
        <w:pStyle w:val="17"/>
        <w:rPr>
          <w:rFonts w:ascii="Times New Roman" w:hAnsi="Times New Roman" w:eastAsia="宋体"/>
          <w:sz w:val="22"/>
          <w:szCs w:val="22"/>
          <w:lang w:eastAsia="zh-CN"/>
        </w:rPr>
      </w:pPr>
      <w:bookmarkStart w:id="2" w:name="_GoBack"/>
      <w:bookmarkEnd w:id="2"/>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disabling of HARQ feedback for IoT NTN</w:t>
      </w:r>
    </w:p>
    <w:p>
      <w:pPr>
        <w:pStyle w:val="17"/>
        <w:tabs>
          <w:tab w:val="left" w:pos="1800"/>
        </w:tabs>
        <w:rPr>
          <w:rFonts w:hint="default" w:ascii="Times New Roman" w:hAnsi="Times New Roman" w:eastAsia="宋体"/>
          <w:sz w:val="22"/>
          <w:szCs w:val="22"/>
          <w:lang w:val="en-US"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9.12.</w:t>
      </w:r>
      <w:r>
        <w:rPr>
          <w:rFonts w:hint="eastAsia" w:ascii="Times New Roman" w:hAnsi="Times New Roman" w:eastAsia="宋体"/>
          <w:sz w:val="22"/>
          <w:szCs w:val="22"/>
          <w:lang w:val="en-US" w:eastAsia="zh-CN"/>
        </w:rPr>
        <w:t>3</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rPr>
          <w:rFonts w:eastAsia="等线"/>
          <w:szCs w:val="20"/>
          <w:lang w:eastAsia="zh-CN"/>
        </w:rPr>
      </w:pPr>
      <w:r>
        <w:rPr>
          <w:rFonts w:hint="eastAsia" w:eastAsia="等线"/>
          <w:szCs w:val="20"/>
          <w:lang w:eastAsia="zh-CN"/>
        </w:rPr>
        <w:t>I</w:t>
      </w:r>
      <w:r>
        <w:rPr>
          <w:rFonts w:eastAsia="等线"/>
          <w:szCs w:val="20"/>
          <w:lang w:eastAsia="zh-CN"/>
        </w:rPr>
        <w:t xml:space="preserve">n RAN#95-e meeting, the disabling of HARQ feedback mechanism is considered for IoT-NTN performance enhancements in Rel-18 as follows: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overflowPunct w:val="0"/>
              <w:autoSpaceDE w:val="0"/>
              <w:autoSpaceDN w:val="0"/>
              <w:adjustRightInd w:val="0"/>
              <w:spacing w:after="180"/>
              <w:textAlignment w:val="baseline"/>
              <w:rPr>
                <w:rFonts w:eastAsia="等线"/>
                <w:szCs w:val="20"/>
                <w:lang w:val="en-GB" w:eastAsia="zh-TW"/>
              </w:rPr>
            </w:pPr>
            <w:r>
              <w:rPr>
                <w:rFonts w:eastAsia="等线"/>
                <w:szCs w:val="20"/>
                <w:lang w:val="en-GB" w:eastAsia="zh-TW"/>
              </w:rPr>
              <w:t>4.1.1    IoT-NTN Performance Enhancements in Rel-18 to address remaining issues from Rel-17</w:t>
            </w:r>
          </w:p>
          <w:p>
            <w:pPr>
              <w:overflowPunct w:val="0"/>
              <w:autoSpaceDE w:val="0"/>
              <w:autoSpaceDN w:val="0"/>
              <w:adjustRightInd w:val="0"/>
              <w:spacing w:after="180"/>
              <w:textAlignment w:val="baseline"/>
              <w:rPr>
                <w:rFonts w:eastAsia="等线"/>
                <w:szCs w:val="20"/>
                <w:lang w:val="en-GB" w:eastAsia="zh-TW"/>
              </w:rPr>
            </w:pPr>
            <w:r>
              <w:rPr>
                <w:rFonts w:eastAsia="等线"/>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ind w:left="568" w:hanging="284"/>
              <w:textAlignment w:val="baseline"/>
              <w:rPr>
                <w:rFonts w:eastAsia="等线"/>
                <w:szCs w:val="20"/>
                <w:lang w:val="en-GB" w:eastAsia="zh-TW"/>
              </w:rPr>
            </w:pPr>
            <w:r>
              <w:rPr>
                <w:rFonts w:eastAsia="等线"/>
                <w:szCs w:val="20"/>
                <w:lang w:val="en-GB" w:eastAsia="zh-TW"/>
              </w:rPr>
              <w:t>-</w:t>
            </w:r>
            <w:r>
              <w:rPr>
                <w:rFonts w:eastAsia="等线"/>
                <w:szCs w:val="20"/>
                <w:lang w:val="en-GB" w:eastAsia="zh-TW"/>
              </w:rPr>
              <w:tab/>
            </w:r>
            <w:r>
              <w:rPr>
                <w:rFonts w:eastAsia="等线"/>
                <w:szCs w:val="20"/>
                <w:highlight w:val="yellow"/>
                <w:lang w:val="en-GB" w:eastAsia="zh-TW"/>
              </w:rPr>
              <w:t>Disabling of HARQ feedback to mitigate impact of HARQ stalling on UE data rates [RAN1,RAN2]</w:t>
            </w:r>
          </w:p>
          <w:p>
            <w:pPr>
              <w:overflowPunct w:val="0"/>
              <w:autoSpaceDE w:val="0"/>
              <w:autoSpaceDN w:val="0"/>
              <w:adjustRightInd w:val="0"/>
              <w:spacing w:after="180"/>
              <w:ind w:left="568" w:hanging="284"/>
              <w:textAlignment w:val="baseline"/>
              <w:rPr>
                <w:rFonts w:eastAsia="等线"/>
                <w:szCs w:val="20"/>
                <w:lang w:val="en-GB" w:eastAsia="zh-TW"/>
              </w:rPr>
            </w:pPr>
            <w:r>
              <w:rPr>
                <w:rFonts w:eastAsia="等线"/>
                <w:szCs w:val="20"/>
                <w:lang w:val="en-GB" w:eastAsia="zh-TW"/>
              </w:rPr>
              <w:t>-</w:t>
            </w:r>
            <w:r>
              <w:rPr>
                <w:rFonts w:eastAsia="等线"/>
                <w:szCs w:val="20"/>
                <w:lang w:val="en-GB" w:eastAsia="zh-TW"/>
              </w:rPr>
              <w:tab/>
            </w:r>
            <w:r>
              <w:rPr>
                <w:rFonts w:eastAsia="等线"/>
                <w:szCs w:val="20"/>
                <w:lang w:val="en-GB" w:eastAsia="zh-TW"/>
              </w:rPr>
              <w:t xml:space="preserve">Study and specify, if needed, improved GNSS operations for a new position fix for UE pre-compensation during long connection times and for reduced power consumption. </w:t>
            </w:r>
            <w:r>
              <w:rPr>
                <w:rFonts w:eastAsia="等线"/>
                <w:szCs w:val="20"/>
                <w:lang w:val="en-GB" w:eastAsia="zh-CN"/>
              </w:rPr>
              <w:t>Simultaneous GNSS and NTN NB-IoT/eMTC operation is not assumed</w:t>
            </w:r>
            <w:r>
              <w:rPr>
                <w:rFonts w:eastAsia="等线"/>
                <w:sz w:val="22"/>
                <w:szCs w:val="22"/>
                <w:lang w:val="en-GB" w:eastAsia="zh-CN"/>
              </w:rPr>
              <w:t>.</w:t>
            </w:r>
            <w:r>
              <w:rPr>
                <w:rFonts w:eastAsia="等线"/>
                <w:szCs w:val="20"/>
                <w:lang w:val="en-GB" w:eastAsia="zh-TW"/>
              </w:rPr>
              <w:t xml:space="preserve"> [RAN1]</w:t>
            </w:r>
          </w:p>
          <w:p>
            <w:pPr>
              <w:numPr>
                <w:ilvl w:val="0"/>
                <w:numId w:val="7"/>
              </w:numPr>
              <w:overflowPunct w:val="0"/>
              <w:autoSpaceDE w:val="0"/>
              <w:autoSpaceDN w:val="0"/>
              <w:adjustRightInd w:val="0"/>
              <w:spacing w:after="120"/>
              <w:ind w:left="1077" w:hanging="357"/>
              <w:textAlignment w:val="baseline"/>
              <w:rPr>
                <w:rFonts w:eastAsia="等线"/>
                <w:szCs w:val="20"/>
                <w:lang w:val="en-GB" w:eastAsia="zh-TW"/>
              </w:rPr>
            </w:pPr>
            <w:r>
              <w:rPr>
                <w:rFonts w:eastAsia="等线"/>
                <w:i/>
                <w:szCs w:val="20"/>
                <w:lang w:val="en-GB" w:eastAsia="zh-TW"/>
              </w:rPr>
              <w:t>NOTE: The need for RAN4 Core requirements for this objective will be identified after the conclusion on the need for improvements.</w:t>
            </w:r>
          </w:p>
        </w:tc>
      </w:tr>
    </w:tbl>
    <w:p>
      <w:pPr>
        <w:pStyle w:val="3"/>
        <w:spacing w:after="0"/>
        <w:rPr>
          <w:rFonts w:eastAsia="等线"/>
          <w:szCs w:val="20"/>
          <w:lang w:eastAsia="zh-CN"/>
        </w:rPr>
      </w:pPr>
    </w:p>
    <w:p>
      <w:pPr>
        <w:pStyle w:val="3"/>
        <w:rPr>
          <w:rFonts w:eastAsia="等线"/>
          <w:szCs w:val="20"/>
          <w:lang w:eastAsia="zh-CN"/>
        </w:rPr>
      </w:pPr>
      <w:r>
        <w:rPr>
          <w:rFonts w:hint="eastAsia" w:eastAsia="等线"/>
          <w:szCs w:val="20"/>
          <w:lang w:eastAsia="zh-CN"/>
        </w:rPr>
        <w:t>I</w:t>
      </w:r>
      <w:r>
        <w:rPr>
          <w:rFonts w:eastAsia="等线"/>
          <w:szCs w:val="20"/>
          <w:lang w:eastAsia="zh-CN"/>
        </w:rPr>
        <w:t>n this contribution, we provide our views on introducing disabling of HARQ feedback in IoT NTN.</w:t>
      </w: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val="en-US" w:eastAsia="zh-CN"/>
        </w:rPr>
        <w:t xml:space="preserve">Discussions </w:t>
      </w:r>
    </w:p>
    <w:p>
      <w:pPr>
        <w:pStyle w:val="4"/>
        <w:bidi w:val="0"/>
        <w:ind w:left="982" w:leftChars="0"/>
      </w:pPr>
      <w:r>
        <w:rPr>
          <w:rFonts w:hint="eastAsia" w:eastAsia="宋体"/>
          <w:lang w:val="en-US" w:eastAsia="zh-CN"/>
        </w:rPr>
        <w:t>Scenarios and deployment</w:t>
      </w:r>
    </w:p>
    <w:p>
      <w:pPr>
        <w:jc w:val="both"/>
        <w:rPr>
          <w:rFonts w:hint="eastAsia"/>
          <w:sz w:val="20"/>
          <w:szCs w:val="20"/>
          <w:lang w:val="en-US" w:eastAsia="zh-CN"/>
        </w:rPr>
      </w:pPr>
      <w:r>
        <w:rPr>
          <w:rFonts w:eastAsiaTheme="minorEastAsia"/>
          <w:lang w:eastAsia="zh-CN"/>
        </w:rPr>
        <w:t xml:space="preserve">In </w:t>
      </w:r>
      <w:r>
        <w:rPr>
          <w:rFonts w:hint="eastAsia" w:eastAsiaTheme="minorEastAsia"/>
          <w:lang w:val="en-US" w:eastAsia="zh-CN"/>
        </w:rPr>
        <w:t xml:space="preserve">RAN1#109-e meeting, there have been extensive discussions among companies about the scenario and deployments for which HARQ disabling is to be considered. Some companies propose that only GEO should be considered for HARQ disabling enhancement. </w:t>
      </w:r>
      <w:r>
        <w:rPr>
          <w:rFonts w:hint="eastAsia"/>
          <w:sz w:val="20"/>
          <w:szCs w:val="20"/>
          <w:lang w:val="en-US" w:eastAsia="zh-CN"/>
        </w:rPr>
        <w:t xml:space="preserve">Although the proponents argued that for GEO scenario, due to the long RTT, the HARQ disabling enhancement is more justified in this scenario. While for LEO scenario, the necessity of the enhancement should be further clarified. From our viewpoint, in the first, the WID description does not set this enhancement in relation with any deployment scenario, which means that the enhancement is agnostic to the scenario. Secondly, as we are working on this issue in RAN1 group, from the specification, it is clear that the RAN1 spec does not differentiate any deployment scenario. Thirdly, setting a deployment restriction for HARQ disabling will break the flexibility of system. If the LEO scenario is deemed to be issue-free for the target throughput, the network can configure a legacy operation for the UE. With the above three reasons, we think further discussing the deployment scenario for HARQ disabling enhancement is not necessary and it will prevent the WI from progressing. </w:t>
      </w:r>
    </w:p>
    <w:p>
      <w:pPr>
        <w:spacing w:after="120" w:line="252" w:lineRule="auto"/>
        <w:jc w:val="both"/>
        <w:rPr>
          <w:b/>
          <w:bCs/>
        </w:rPr>
      </w:pPr>
    </w:p>
    <w:p>
      <w:pPr>
        <w:spacing w:after="120" w:line="252" w:lineRule="auto"/>
        <w:jc w:val="both"/>
        <w:rPr>
          <w:rFonts w:hint="default" w:eastAsia="宋体"/>
          <w:b/>
          <w:bCs/>
          <w:lang w:val="en-US" w:eastAsia="zh-CN"/>
        </w:rPr>
      </w:pPr>
      <w:r>
        <w:rPr>
          <w:rFonts w:hint="eastAsia" w:eastAsia="宋体"/>
          <w:b/>
          <w:bCs/>
          <w:lang w:val="en-US" w:eastAsia="zh-CN"/>
        </w:rPr>
        <w:t>Observation</w:t>
      </w:r>
      <w:r>
        <w:rPr>
          <w:b/>
          <w:bCs/>
        </w:rPr>
        <w:t xml:space="preserve"> 1: </w:t>
      </w:r>
      <w:r>
        <w:rPr>
          <w:rFonts w:hint="eastAsia" w:eastAsia="宋体"/>
          <w:b/>
          <w:bCs/>
          <w:lang w:val="en-US" w:eastAsia="zh-CN"/>
        </w:rPr>
        <w:t>WID does not set any deployment condition for HARQ disabling enhancement</w:t>
      </w:r>
    </w:p>
    <w:p>
      <w:pPr>
        <w:spacing w:after="120" w:line="252" w:lineRule="auto"/>
        <w:rPr>
          <w:rFonts w:hint="eastAsia" w:eastAsia="宋体"/>
          <w:b/>
          <w:bCs/>
          <w:lang w:val="en-US" w:eastAsia="zh-CN"/>
        </w:rPr>
      </w:pPr>
      <w:r>
        <w:rPr>
          <w:rFonts w:hint="eastAsia" w:eastAsia="宋体"/>
          <w:b/>
          <w:bCs/>
          <w:lang w:val="en-US" w:eastAsia="zh-CN"/>
        </w:rPr>
        <w:t>Observation</w:t>
      </w:r>
      <w:r>
        <w:rPr>
          <w:b/>
          <w:bCs/>
        </w:rPr>
        <w:t xml:space="preserve"> 2: </w:t>
      </w:r>
      <w:r>
        <w:rPr>
          <w:rFonts w:hint="eastAsia" w:eastAsia="宋体"/>
          <w:b/>
          <w:bCs/>
          <w:lang w:val="en-US" w:eastAsia="zh-CN"/>
        </w:rPr>
        <w:t>RAN1 spec does not differentiate from different deployment scenarios</w:t>
      </w:r>
    </w:p>
    <w:p>
      <w:pPr>
        <w:spacing w:after="120" w:line="252" w:lineRule="auto"/>
        <w:rPr>
          <w:rFonts w:hint="eastAsia" w:eastAsia="宋体"/>
          <w:b/>
          <w:bCs/>
          <w:lang w:val="en-US" w:eastAsia="zh-CN"/>
        </w:rPr>
      </w:pPr>
      <w:r>
        <w:rPr>
          <w:rFonts w:hint="eastAsia" w:eastAsia="宋体"/>
          <w:b/>
          <w:bCs/>
          <w:lang w:val="en-US" w:eastAsia="zh-CN"/>
        </w:rPr>
        <w:t>Observation 3: introducing deployment limits for HARQ disabling will cause network flexibility reduction</w:t>
      </w:r>
    </w:p>
    <w:p>
      <w:pPr>
        <w:spacing w:after="120" w:line="252" w:lineRule="auto"/>
        <w:rPr>
          <w:rFonts w:hint="default" w:eastAsia="宋体"/>
          <w:b/>
          <w:bCs/>
          <w:lang w:val="en-US" w:eastAsia="zh-CN"/>
        </w:rPr>
      </w:pPr>
      <w:r>
        <w:rPr>
          <w:rFonts w:hint="eastAsia" w:eastAsia="宋体"/>
          <w:b/>
          <w:bCs/>
          <w:lang w:val="en-US" w:eastAsia="zh-CN"/>
        </w:rPr>
        <w:t>Proposal 1: RAN1 should avoid further discussions on supporting HARQ disabling enhancement dependent of deployment scenario.</w:t>
      </w:r>
    </w:p>
    <w:p>
      <w:pPr>
        <w:pStyle w:val="3"/>
      </w:pPr>
    </w:p>
    <w:p>
      <w:pPr>
        <w:pStyle w:val="4"/>
        <w:bidi w:val="0"/>
        <w:ind w:left="982" w:leftChars="0"/>
      </w:pPr>
      <w:r>
        <w:t>Disabling of HARQ feedback</w:t>
      </w:r>
    </w:p>
    <w:p>
      <w:pPr>
        <w:pStyle w:val="3"/>
        <w:rPr>
          <w:rFonts w:eastAsiaTheme="minorEastAsia"/>
          <w:lang w:eastAsia="zh-CN"/>
        </w:rPr>
      </w:pPr>
      <w:r>
        <w:rPr>
          <w:rFonts w:eastAsiaTheme="minorEastAsia"/>
          <w:lang w:eastAsia="zh-CN"/>
        </w:rPr>
        <w:t>In NTN, the propagation delays are much longer than TN, ranging from tens of milliseconds to hundreds of milliseconds depending on the satellite scenario. The HARQ RTT is much longer in NTN, so throughput degradation will happen due to HARQ stalling. With disabling HARQ feedback mechanism, the HARQ process does not need to wait for the feedback before a new data transmission, so the UE data rate can be enhanced in the large propagation delay scenario with limited spec impact and UE complexity.</w:t>
      </w:r>
    </w:p>
    <w:p>
      <w:pPr>
        <w:pStyle w:val="3"/>
        <w:rPr>
          <w:szCs w:val="20"/>
        </w:rPr>
      </w:pPr>
      <w:r>
        <w:rPr>
          <w:rFonts w:eastAsiaTheme="minorEastAsia"/>
          <w:lang w:eastAsia="zh-CN"/>
        </w:rPr>
        <w:t xml:space="preserve">In IoT NTN, the UE can be configured with one HARQ process or two (or more) HARQ processes. For the UE with one HARQ process, if the disabling of HARQ feedback is introduced, some mechanisms depending on the HARQ feedback in current spec can not work, e.g., delivering MAC CE command. In this case, the corresponding enhancement should be further discussed, e.g., disabling HARQ feedback can be configured </w:t>
      </w:r>
      <w:r>
        <w:rPr>
          <w:rFonts w:hint="eastAsia"/>
          <w:szCs w:val="20"/>
        </w:rPr>
        <w:t>semi-</w:t>
      </w:r>
      <w:r>
        <w:rPr>
          <w:szCs w:val="20"/>
        </w:rPr>
        <w:t xml:space="preserve">statically or dynamically. In our opinion, </w:t>
      </w:r>
      <w:bookmarkStart w:id="0" w:name="_Hlk102076440"/>
      <w:r>
        <w:rPr>
          <w:szCs w:val="20"/>
        </w:rPr>
        <w:t xml:space="preserve">RAN1 should firstly discuss whether to introduce </w:t>
      </w:r>
      <w:r>
        <w:rPr>
          <w:rFonts w:eastAsiaTheme="minorEastAsia"/>
          <w:lang w:eastAsia="zh-CN"/>
        </w:rPr>
        <w:t>disabling HARQ feedback for the UE configured with one HARQ process</w:t>
      </w:r>
      <w:r>
        <w:rPr>
          <w:szCs w:val="20"/>
        </w:rPr>
        <w:t>.</w:t>
      </w:r>
      <w:bookmarkEnd w:id="0"/>
      <w:r>
        <w:rPr>
          <w:szCs w:val="20"/>
        </w:rPr>
        <w:t xml:space="preserve"> For the UE with two (or more) HARQ process, disabling HARQ feedback can be configurable per HARQ process </w:t>
      </w:r>
      <w:r>
        <w:rPr>
          <w:rFonts w:hint="eastAsia"/>
          <w:szCs w:val="20"/>
        </w:rPr>
        <w:t>semi-</w:t>
      </w:r>
      <w:r>
        <w:rPr>
          <w:szCs w:val="20"/>
        </w:rPr>
        <w:t>statically or dynamically to ensure the UE to always find an available HARQ process for data transmission.</w:t>
      </w:r>
    </w:p>
    <w:p>
      <w:pPr>
        <w:spacing w:after="120" w:line="252" w:lineRule="auto"/>
        <w:jc w:val="both"/>
        <w:rPr>
          <w:b/>
          <w:bCs/>
        </w:rPr>
      </w:pPr>
      <w:bookmarkStart w:id="1" w:name="_Hlk102077658"/>
      <w:r>
        <w:rPr>
          <w:b/>
          <w:bCs/>
        </w:rPr>
        <w:t xml:space="preserve">Proposal </w:t>
      </w:r>
      <w:r>
        <w:rPr>
          <w:rFonts w:hint="eastAsia" w:eastAsia="宋体"/>
          <w:b/>
          <w:bCs/>
          <w:lang w:val="en-US" w:eastAsia="zh-CN"/>
        </w:rPr>
        <w:t>2</w:t>
      </w:r>
      <w:r>
        <w:rPr>
          <w:b/>
          <w:bCs/>
        </w:rPr>
        <w:t>: RAN1 should firstly discuss whether to introduce disabling HARQ feedback for the UE configured with one HARQ process.</w:t>
      </w:r>
    </w:p>
    <w:p>
      <w:pPr>
        <w:spacing w:after="120" w:line="252" w:lineRule="auto"/>
        <w:rPr>
          <w:b/>
          <w:bCs/>
        </w:rPr>
      </w:pPr>
      <w:r>
        <w:rPr>
          <w:b/>
          <w:bCs/>
        </w:rPr>
        <w:t xml:space="preserve">Proposal </w:t>
      </w:r>
      <w:r>
        <w:rPr>
          <w:rFonts w:hint="eastAsia" w:eastAsia="宋体"/>
          <w:b/>
          <w:bCs/>
          <w:lang w:val="en-US" w:eastAsia="zh-CN"/>
        </w:rPr>
        <w:t>3</w:t>
      </w:r>
      <w:r>
        <w:rPr>
          <w:b/>
          <w:bCs/>
        </w:rPr>
        <w:t>: For the UE with two (or more) HARQ process, disabling HARQ feedback can be configurable per HARQ process.</w:t>
      </w:r>
    </w:p>
    <w:bookmarkEnd w:id="1"/>
    <w:p>
      <w:pPr>
        <w:rPr>
          <w:rFonts w:hint="eastAsia" w:eastAsia="等线"/>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 xml:space="preserve">In this contribution, we provide our views on introducing disabling of HARQ feedback for the UE </w:t>
      </w:r>
      <w:r>
        <w:rPr>
          <w:rFonts w:eastAsiaTheme="minorEastAsia"/>
          <w:lang w:eastAsia="zh-CN"/>
        </w:rPr>
        <w:t xml:space="preserve">configured with one HARQ process or two (or more) HARQ processes </w:t>
      </w:r>
      <w:r>
        <w:rPr>
          <w:szCs w:val="20"/>
        </w:rPr>
        <w:t>in IoT NTN. The following proposals are made:</w:t>
      </w:r>
    </w:p>
    <w:p>
      <w:pPr>
        <w:spacing w:after="120" w:line="252" w:lineRule="auto"/>
        <w:jc w:val="both"/>
        <w:rPr>
          <w:rFonts w:hint="default" w:eastAsia="宋体"/>
          <w:b/>
          <w:bCs/>
          <w:lang w:val="en-US" w:eastAsia="zh-CN"/>
        </w:rPr>
      </w:pPr>
      <w:r>
        <w:rPr>
          <w:rFonts w:hint="eastAsia" w:eastAsia="宋体"/>
          <w:b/>
          <w:bCs/>
          <w:lang w:val="en-US" w:eastAsia="zh-CN"/>
        </w:rPr>
        <w:t>Observation</w:t>
      </w:r>
      <w:r>
        <w:rPr>
          <w:b/>
          <w:bCs/>
        </w:rPr>
        <w:t xml:space="preserve"> 1: </w:t>
      </w:r>
      <w:r>
        <w:rPr>
          <w:rFonts w:hint="eastAsia" w:eastAsia="宋体"/>
          <w:b/>
          <w:bCs/>
          <w:lang w:val="en-US" w:eastAsia="zh-CN"/>
        </w:rPr>
        <w:t>WID does not set any deployment condition for HARQ disabling enhancement</w:t>
      </w:r>
    </w:p>
    <w:p>
      <w:pPr>
        <w:spacing w:after="120" w:line="252" w:lineRule="auto"/>
        <w:rPr>
          <w:rFonts w:hint="eastAsia" w:eastAsia="宋体"/>
          <w:b/>
          <w:bCs/>
          <w:lang w:val="en-US" w:eastAsia="zh-CN"/>
        </w:rPr>
      </w:pPr>
      <w:r>
        <w:rPr>
          <w:rFonts w:hint="eastAsia" w:eastAsia="宋体"/>
          <w:b/>
          <w:bCs/>
          <w:lang w:val="en-US" w:eastAsia="zh-CN"/>
        </w:rPr>
        <w:t>Observation</w:t>
      </w:r>
      <w:r>
        <w:rPr>
          <w:b/>
          <w:bCs/>
        </w:rPr>
        <w:t xml:space="preserve"> 2: </w:t>
      </w:r>
      <w:r>
        <w:rPr>
          <w:rFonts w:hint="eastAsia" w:eastAsia="宋体"/>
          <w:b/>
          <w:bCs/>
          <w:lang w:val="en-US" w:eastAsia="zh-CN"/>
        </w:rPr>
        <w:t>RAN1 spec does not differentiate from different deployment scenarios</w:t>
      </w:r>
    </w:p>
    <w:p>
      <w:pPr>
        <w:spacing w:after="120" w:line="252" w:lineRule="auto"/>
        <w:rPr>
          <w:rFonts w:hint="eastAsia" w:eastAsia="宋体"/>
          <w:b/>
          <w:bCs/>
          <w:lang w:val="en-US" w:eastAsia="zh-CN"/>
        </w:rPr>
      </w:pPr>
      <w:r>
        <w:rPr>
          <w:rFonts w:hint="eastAsia" w:eastAsia="宋体"/>
          <w:b/>
          <w:bCs/>
          <w:lang w:val="en-US" w:eastAsia="zh-CN"/>
        </w:rPr>
        <w:t>Observation 3: introducing deployment limits for HARQ disabling will cause network flexibility reduction</w:t>
      </w:r>
    </w:p>
    <w:p>
      <w:pPr>
        <w:spacing w:after="120" w:line="252" w:lineRule="auto"/>
        <w:rPr>
          <w:szCs w:val="20"/>
        </w:rPr>
      </w:pPr>
      <w:r>
        <w:rPr>
          <w:rFonts w:hint="eastAsia" w:eastAsia="宋体"/>
          <w:b/>
          <w:bCs/>
          <w:lang w:val="en-US" w:eastAsia="zh-CN"/>
        </w:rPr>
        <w:t>Proposal 1: RAN1 should avoid further discussions on supporting HARQ disabling enhancement dependent of deployment scenario.</w:t>
      </w:r>
    </w:p>
    <w:p>
      <w:pPr>
        <w:spacing w:after="120" w:line="252" w:lineRule="auto"/>
        <w:jc w:val="both"/>
        <w:rPr>
          <w:b/>
          <w:bCs/>
        </w:rPr>
      </w:pPr>
      <w:r>
        <w:rPr>
          <w:b/>
          <w:bCs/>
        </w:rPr>
        <w:t xml:space="preserve">Proposal </w:t>
      </w:r>
      <w:r>
        <w:rPr>
          <w:rFonts w:hint="eastAsia" w:eastAsia="宋体"/>
          <w:b/>
          <w:bCs/>
          <w:lang w:val="en-US" w:eastAsia="zh-CN"/>
        </w:rPr>
        <w:t>2</w:t>
      </w:r>
      <w:r>
        <w:rPr>
          <w:b/>
          <w:bCs/>
        </w:rPr>
        <w:t>: RAN1 should firstly discuss whether to introduce disabling HARQ feedback for the UE configured with one HARQ process.</w:t>
      </w:r>
    </w:p>
    <w:p>
      <w:pPr>
        <w:spacing w:after="120" w:line="252" w:lineRule="auto"/>
        <w:rPr>
          <w:b/>
          <w:bCs/>
        </w:rPr>
      </w:pPr>
      <w:r>
        <w:rPr>
          <w:b/>
          <w:bCs/>
        </w:rPr>
        <w:t xml:space="preserve">Proposal </w:t>
      </w:r>
      <w:r>
        <w:rPr>
          <w:rFonts w:hint="eastAsia" w:eastAsia="宋体"/>
          <w:b/>
          <w:bCs/>
          <w:lang w:val="en-US" w:eastAsia="zh-CN"/>
        </w:rPr>
        <w:t>3</w:t>
      </w:r>
      <w:r>
        <w:rPr>
          <w:b/>
          <w:bCs/>
        </w:rPr>
        <w:t>: For the UE with two (or more) HARQ process, disabling HARQ feedback can be configurable per HARQ process.</w:t>
      </w:r>
    </w:p>
    <w:p>
      <w:pPr>
        <w:pStyle w:val="3"/>
        <w:rPr>
          <w:rFonts w:hint="default" w:eastAsia="宋体"/>
          <w:szCs w:val="20"/>
          <w:lang w:val="en-US"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等线"/>
          <w:szCs w:val="20"/>
          <w:lang w:eastAsia="zh-CN"/>
        </w:rPr>
      </w:pPr>
      <w:r>
        <w:rPr>
          <w:rFonts w:eastAsia="等线"/>
          <w:szCs w:val="20"/>
          <w:lang w:eastAsia="zh-CN"/>
        </w:rPr>
        <w:t>[1]</w:t>
      </w:r>
      <w:r>
        <w:rPr>
          <w:rFonts w:eastAsia="宋体"/>
          <w:szCs w:val="20"/>
          <w:lang w:eastAsia="zh-CN"/>
        </w:rPr>
        <w:t xml:space="preserve">        RP-220979, “WID on IoT NTN enhancements”, MediaTek Inc, RAN#95-e, March 2022</w:t>
      </w:r>
    </w:p>
    <w:p>
      <w:pPr>
        <w:pStyle w:val="3"/>
        <w:adjustRightInd w:val="0"/>
        <w:ind w:left="600" w:hanging="600" w:hangingChars="300"/>
        <w:rPr>
          <w:rFonts w:eastAsia="宋体"/>
          <w:szCs w:val="20"/>
          <w:lang w:eastAsia="zh-CN"/>
        </w:rPr>
      </w:pPr>
      <w:r>
        <w:rPr>
          <w:rFonts w:eastAsia="宋体"/>
          <w:szCs w:val="20"/>
          <w:lang w:eastAsia="zh-CN"/>
        </w:rPr>
        <w:t>[2]    3GPP TR 36.763: Study on Narrow-Band Internet of Things (NB-IoT) / enhanced Machine Type Communication (eMTC) support for Non-Terrestrial Networks (NTN)</w:t>
      </w:r>
    </w:p>
    <w:tbl>
      <w:tblPr>
        <w:tblStyle w:val="10"/>
        <w:tblW w:w="0" w:type="auto"/>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9960" w:type="dxa"/>
          </w:tcPr>
          <w:p>
            <w:pPr>
              <w:pStyle w:val="3"/>
              <w:rPr>
                <w:rFonts w:eastAsia="宋体"/>
                <w:szCs w:val="20"/>
                <w:lang w:eastAsia="zh-CN"/>
              </w:rPr>
            </w:pPr>
          </w:p>
        </w:tc>
      </w:tr>
    </w:tbl>
    <w:p>
      <w:pPr>
        <w:pStyle w:val="3"/>
        <w:rPr>
          <w:rFonts w:hint="eastAsia" w:eastAsia="宋体"/>
          <w:szCs w:val="20"/>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D3D"/>
    <w:rsid w:val="000064C2"/>
    <w:rsid w:val="00006655"/>
    <w:rsid w:val="00011B2D"/>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65B1"/>
    <w:rsid w:val="00086808"/>
    <w:rsid w:val="00086DA8"/>
    <w:rsid w:val="00086F4C"/>
    <w:rsid w:val="000871A0"/>
    <w:rsid w:val="00087DDE"/>
    <w:rsid w:val="0009037F"/>
    <w:rsid w:val="00090F1F"/>
    <w:rsid w:val="00091D81"/>
    <w:rsid w:val="0009473C"/>
    <w:rsid w:val="000A11A8"/>
    <w:rsid w:val="000A2BEF"/>
    <w:rsid w:val="000A46AA"/>
    <w:rsid w:val="000B0466"/>
    <w:rsid w:val="000B0890"/>
    <w:rsid w:val="000B0DCC"/>
    <w:rsid w:val="000B18AE"/>
    <w:rsid w:val="000B32DE"/>
    <w:rsid w:val="000C0FB6"/>
    <w:rsid w:val="000C1603"/>
    <w:rsid w:val="000C283F"/>
    <w:rsid w:val="000C4326"/>
    <w:rsid w:val="000C584C"/>
    <w:rsid w:val="000D1226"/>
    <w:rsid w:val="000D217D"/>
    <w:rsid w:val="000D4E21"/>
    <w:rsid w:val="000E0C43"/>
    <w:rsid w:val="000E1F91"/>
    <w:rsid w:val="000E5850"/>
    <w:rsid w:val="000E67A2"/>
    <w:rsid w:val="000F056C"/>
    <w:rsid w:val="000F287A"/>
    <w:rsid w:val="000F45DC"/>
    <w:rsid w:val="000F4CFC"/>
    <w:rsid w:val="000F4D84"/>
    <w:rsid w:val="000F7254"/>
    <w:rsid w:val="00101CFD"/>
    <w:rsid w:val="0010289E"/>
    <w:rsid w:val="00103195"/>
    <w:rsid w:val="00106637"/>
    <w:rsid w:val="001108D7"/>
    <w:rsid w:val="0011261A"/>
    <w:rsid w:val="001141D4"/>
    <w:rsid w:val="00114BFB"/>
    <w:rsid w:val="00114D33"/>
    <w:rsid w:val="00115575"/>
    <w:rsid w:val="00117F57"/>
    <w:rsid w:val="00120A54"/>
    <w:rsid w:val="00122329"/>
    <w:rsid w:val="0012404F"/>
    <w:rsid w:val="001267D4"/>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21C8"/>
    <w:rsid w:val="001A24B8"/>
    <w:rsid w:val="001A524D"/>
    <w:rsid w:val="001A56FC"/>
    <w:rsid w:val="001A65C8"/>
    <w:rsid w:val="001A7956"/>
    <w:rsid w:val="001B12BE"/>
    <w:rsid w:val="001B234C"/>
    <w:rsid w:val="001B48C7"/>
    <w:rsid w:val="001B4EA1"/>
    <w:rsid w:val="001B56BB"/>
    <w:rsid w:val="001B6AA1"/>
    <w:rsid w:val="001C1868"/>
    <w:rsid w:val="001C1D3D"/>
    <w:rsid w:val="001C3942"/>
    <w:rsid w:val="001C42B6"/>
    <w:rsid w:val="001C44FD"/>
    <w:rsid w:val="001C4F58"/>
    <w:rsid w:val="001C5D99"/>
    <w:rsid w:val="001C6DB5"/>
    <w:rsid w:val="001C7659"/>
    <w:rsid w:val="001D324A"/>
    <w:rsid w:val="001D5302"/>
    <w:rsid w:val="001D7AE2"/>
    <w:rsid w:val="001D7C73"/>
    <w:rsid w:val="001D7CBD"/>
    <w:rsid w:val="001E207B"/>
    <w:rsid w:val="001E5A56"/>
    <w:rsid w:val="001F22E9"/>
    <w:rsid w:val="001F3F1A"/>
    <w:rsid w:val="001F4A09"/>
    <w:rsid w:val="0020073A"/>
    <w:rsid w:val="00202388"/>
    <w:rsid w:val="00203A86"/>
    <w:rsid w:val="00203DF5"/>
    <w:rsid w:val="00205B20"/>
    <w:rsid w:val="00210A7F"/>
    <w:rsid w:val="002117A5"/>
    <w:rsid w:val="00220A76"/>
    <w:rsid w:val="00221316"/>
    <w:rsid w:val="00223CEA"/>
    <w:rsid w:val="002248B2"/>
    <w:rsid w:val="00225B6B"/>
    <w:rsid w:val="002309B4"/>
    <w:rsid w:val="0023111D"/>
    <w:rsid w:val="00231AFD"/>
    <w:rsid w:val="00233A7D"/>
    <w:rsid w:val="00241E92"/>
    <w:rsid w:val="00242BD7"/>
    <w:rsid w:val="00242E70"/>
    <w:rsid w:val="0024370E"/>
    <w:rsid w:val="00243A6E"/>
    <w:rsid w:val="002452A0"/>
    <w:rsid w:val="00245C4C"/>
    <w:rsid w:val="00246534"/>
    <w:rsid w:val="00250E92"/>
    <w:rsid w:val="00255916"/>
    <w:rsid w:val="00260F6A"/>
    <w:rsid w:val="00261082"/>
    <w:rsid w:val="00262F15"/>
    <w:rsid w:val="00263CA2"/>
    <w:rsid w:val="00264720"/>
    <w:rsid w:val="00264DEA"/>
    <w:rsid w:val="002715B9"/>
    <w:rsid w:val="00274C2E"/>
    <w:rsid w:val="0027662C"/>
    <w:rsid w:val="002779DC"/>
    <w:rsid w:val="00283CD3"/>
    <w:rsid w:val="002862CE"/>
    <w:rsid w:val="002876E3"/>
    <w:rsid w:val="00287C7F"/>
    <w:rsid w:val="00294608"/>
    <w:rsid w:val="00295720"/>
    <w:rsid w:val="00297252"/>
    <w:rsid w:val="002A2429"/>
    <w:rsid w:val="002A51CB"/>
    <w:rsid w:val="002A55C7"/>
    <w:rsid w:val="002A56A5"/>
    <w:rsid w:val="002A5BD2"/>
    <w:rsid w:val="002A7E34"/>
    <w:rsid w:val="002B1571"/>
    <w:rsid w:val="002B1B9C"/>
    <w:rsid w:val="002B29E9"/>
    <w:rsid w:val="002B3CB5"/>
    <w:rsid w:val="002B3D3A"/>
    <w:rsid w:val="002B4D4A"/>
    <w:rsid w:val="002B6DAF"/>
    <w:rsid w:val="002B7B25"/>
    <w:rsid w:val="002C13A3"/>
    <w:rsid w:val="002C1AB2"/>
    <w:rsid w:val="002C218A"/>
    <w:rsid w:val="002C5348"/>
    <w:rsid w:val="002C61B3"/>
    <w:rsid w:val="002D1DCB"/>
    <w:rsid w:val="002D24DD"/>
    <w:rsid w:val="002D29D6"/>
    <w:rsid w:val="002D465B"/>
    <w:rsid w:val="002D6CA5"/>
    <w:rsid w:val="002D74E5"/>
    <w:rsid w:val="002E025F"/>
    <w:rsid w:val="002E2933"/>
    <w:rsid w:val="002E305B"/>
    <w:rsid w:val="002E65B1"/>
    <w:rsid w:val="002E7953"/>
    <w:rsid w:val="002F13B6"/>
    <w:rsid w:val="002F1886"/>
    <w:rsid w:val="002F1B04"/>
    <w:rsid w:val="002F54CF"/>
    <w:rsid w:val="002F5D0D"/>
    <w:rsid w:val="002F6323"/>
    <w:rsid w:val="003002D6"/>
    <w:rsid w:val="00302F28"/>
    <w:rsid w:val="00303516"/>
    <w:rsid w:val="00303688"/>
    <w:rsid w:val="00304BD5"/>
    <w:rsid w:val="003058DF"/>
    <w:rsid w:val="00306025"/>
    <w:rsid w:val="00311070"/>
    <w:rsid w:val="003112E5"/>
    <w:rsid w:val="003139F4"/>
    <w:rsid w:val="003156F3"/>
    <w:rsid w:val="00315A9B"/>
    <w:rsid w:val="003218A0"/>
    <w:rsid w:val="00324767"/>
    <w:rsid w:val="003250F6"/>
    <w:rsid w:val="003257FE"/>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399C"/>
    <w:rsid w:val="00365CB3"/>
    <w:rsid w:val="00366185"/>
    <w:rsid w:val="0036720E"/>
    <w:rsid w:val="00367925"/>
    <w:rsid w:val="0037248B"/>
    <w:rsid w:val="00376A77"/>
    <w:rsid w:val="00380A33"/>
    <w:rsid w:val="00380CA5"/>
    <w:rsid w:val="00380F64"/>
    <w:rsid w:val="0038120A"/>
    <w:rsid w:val="00381456"/>
    <w:rsid w:val="00385293"/>
    <w:rsid w:val="0038551F"/>
    <w:rsid w:val="0038600A"/>
    <w:rsid w:val="00392CD9"/>
    <w:rsid w:val="003931D5"/>
    <w:rsid w:val="00393FC0"/>
    <w:rsid w:val="0039627D"/>
    <w:rsid w:val="0039689B"/>
    <w:rsid w:val="00397814"/>
    <w:rsid w:val="003A11FC"/>
    <w:rsid w:val="003A165D"/>
    <w:rsid w:val="003A22D0"/>
    <w:rsid w:val="003B0262"/>
    <w:rsid w:val="003B067A"/>
    <w:rsid w:val="003B09F2"/>
    <w:rsid w:val="003B6473"/>
    <w:rsid w:val="003B7B1F"/>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57C7"/>
    <w:rsid w:val="00436396"/>
    <w:rsid w:val="00436697"/>
    <w:rsid w:val="00437037"/>
    <w:rsid w:val="00437B5C"/>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E5B"/>
    <w:rsid w:val="00485F40"/>
    <w:rsid w:val="004904FB"/>
    <w:rsid w:val="00495D0E"/>
    <w:rsid w:val="004968ED"/>
    <w:rsid w:val="004A397F"/>
    <w:rsid w:val="004A6EB2"/>
    <w:rsid w:val="004A75B8"/>
    <w:rsid w:val="004A7614"/>
    <w:rsid w:val="004A7B80"/>
    <w:rsid w:val="004A7F61"/>
    <w:rsid w:val="004B6650"/>
    <w:rsid w:val="004C1AC4"/>
    <w:rsid w:val="004C344E"/>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502652"/>
    <w:rsid w:val="00502A38"/>
    <w:rsid w:val="00504D7F"/>
    <w:rsid w:val="005063FE"/>
    <w:rsid w:val="00510B02"/>
    <w:rsid w:val="00512040"/>
    <w:rsid w:val="00514230"/>
    <w:rsid w:val="00516681"/>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7E8"/>
    <w:rsid w:val="005643E8"/>
    <w:rsid w:val="00565EF3"/>
    <w:rsid w:val="00566ABE"/>
    <w:rsid w:val="00567A4F"/>
    <w:rsid w:val="00572E79"/>
    <w:rsid w:val="005816C4"/>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53D8"/>
    <w:rsid w:val="005C5CA3"/>
    <w:rsid w:val="005C7591"/>
    <w:rsid w:val="005C7CD6"/>
    <w:rsid w:val="005E3740"/>
    <w:rsid w:val="005E4FE3"/>
    <w:rsid w:val="005E6F56"/>
    <w:rsid w:val="005E7565"/>
    <w:rsid w:val="005F02F8"/>
    <w:rsid w:val="005F06CC"/>
    <w:rsid w:val="005F2085"/>
    <w:rsid w:val="005F2661"/>
    <w:rsid w:val="005F3DB1"/>
    <w:rsid w:val="005F496C"/>
    <w:rsid w:val="005F66F9"/>
    <w:rsid w:val="005F7CD0"/>
    <w:rsid w:val="0060226F"/>
    <w:rsid w:val="00607F29"/>
    <w:rsid w:val="0061200A"/>
    <w:rsid w:val="006123A5"/>
    <w:rsid w:val="006130AA"/>
    <w:rsid w:val="00613BBD"/>
    <w:rsid w:val="00614C12"/>
    <w:rsid w:val="0061588E"/>
    <w:rsid w:val="00616C30"/>
    <w:rsid w:val="00624EB0"/>
    <w:rsid w:val="00627664"/>
    <w:rsid w:val="00631861"/>
    <w:rsid w:val="00632EC1"/>
    <w:rsid w:val="00634C2C"/>
    <w:rsid w:val="00635A09"/>
    <w:rsid w:val="00641CFB"/>
    <w:rsid w:val="00643A94"/>
    <w:rsid w:val="00643B68"/>
    <w:rsid w:val="0064532E"/>
    <w:rsid w:val="006461FB"/>
    <w:rsid w:val="006465AD"/>
    <w:rsid w:val="006465F4"/>
    <w:rsid w:val="006471C3"/>
    <w:rsid w:val="0065196A"/>
    <w:rsid w:val="006520A4"/>
    <w:rsid w:val="006521A2"/>
    <w:rsid w:val="00652AF0"/>
    <w:rsid w:val="00653767"/>
    <w:rsid w:val="00654255"/>
    <w:rsid w:val="00654AEA"/>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5D1A"/>
    <w:rsid w:val="006A01B8"/>
    <w:rsid w:val="006A188C"/>
    <w:rsid w:val="006A6725"/>
    <w:rsid w:val="006A68E9"/>
    <w:rsid w:val="006A7DE7"/>
    <w:rsid w:val="006B41BF"/>
    <w:rsid w:val="006C2398"/>
    <w:rsid w:val="006D0D9B"/>
    <w:rsid w:val="006D6C9A"/>
    <w:rsid w:val="006D735C"/>
    <w:rsid w:val="006E0A9E"/>
    <w:rsid w:val="006E1953"/>
    <w:rsid w:val="006E3896"/>
    <w:rsid w:val="006E5B15"/>
    <w:rsid w:val="006F2664"/>
    <w:rsid w:val="006F295E"/>
    <w:rsid w:val="006F3B71"/>
    <w:rsid w:val="006F6F3D"/>
    <w:rsid w:val="006F730A"/>
    <w:rsid w:val="00702CF2"/>
    <w:rsid w:val="00702E64"/>
    <w:rsid w:val="00706688"/>
    <w:rsid w:val="00706B71"/>
    <w:rsid w:val="00707188"/>
    <w:rsid w:val="00712CD2"/>
    <w:rsid w:val="00713469"/>
    <w:rsid w:val="007139F0"/>
    <w:rsid w:val="00713BD7"/>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37A16"/>
    <w:rsid w:val="007425B4"/>
    <w:rsid w:val="007447BE"/>
    <w:rsid w:val="00747476"/>
    <w:rsid w:val="00747837"/>
    <w:rsid w:val="007500D8"/>
    <w:rsid w:val="00750610"/>
    <w:rsid w:val="00750B65"/>
    <w:rsid w:val="007511E3"/>
    <w:rsid w:val="007521C2"/>
    <w:rsid w:val="0075429C"/>
    <w:rsid w:val="007604C9"/>
    <w:rsid w:val="00760F15"/>
    <w:rsid w:val="00763CDC"/>
    <w:rsid w:val="007641E2"/>
    <w:rsid w:val="007652F7"/>
    <w:rsid w:val="00767B22"/>
    <w:rsid w:val="007708F0"/>
    <w:rsid w:val="0077149B"/>
    <w:rsid w:val="00772532"/>
    <w:rsid w:val="00774C6B"/>
    <w:rsid w:val="00781A7B"/>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1D4"/>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21284"/>
    <w:rsid w:val="00821B3B"/>
    <w:rsid w:val="00821E13"/>
    <w:rsid w:val="008238A5"/>
    <w:rsid w:val="00825E25"/>
    <w:rsid w:val="008265F2"/>
    <w:rsid w:val="0083082B"/>
    <w:rsid w:val="00833165"/>
    <w:rsid w:val="008339CA"/>
    <w:rsid w:val="008343A4"/>
    <w:rsid w:val="00835325"/>
    <w:rsid w:val="00836BA0"/>
    <w:rsid w:val="00836E5B"/>
    <w:rsid w:val="00837108"/>
    <w:rsid w:val="00840C37"/>
    <w:rsid w:val="00842A9F"/>
    <w:rsid w:val="008442F2"/>
    <w:rsid w:val="008443CA"/>
    <w:rsid w:val="00845082"/>
    <w:rsid w:val="00847120"/>
    <w:rsid w:val="00847EAF"/>
    <w:rsid w:val="00851B75"/>
    <w:rsid w:val="0085524E"/>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450"/>
    <w:rsid w:val="008A79CA"/>
    <w:rsid w:val="008B1718"/>
    <w:rsid w:val="008B1793"/>
    <w:rsid w:val="008B1E59"/>
    <w:rsid w:val="008B5057"/>
    <w:rsid w:val="008B713A"/>
    <w:rsid w:val="008B769D"/>
    <w:rsid w:val="008C174A"/>
    <w:rsid w:val="008C49A2"/>
    <w:rsid w:val="008C6190"/>
    <w:rsid w:val="008C61C0"/>
    <w:rsid w:val="008C75A1"/>
    <w:rsid w:val="008C7823"/>
    <w:rsid w:val="008D03AB"/>
    <w:rsid w:val="008D0CE1"/>
    <w:rsid w:val="008D1705"/>
    <w:rsid w:val="008D194E"/>
    <w:rsid w:val="008D1B66"/>
    <w:rsid w:val="008D2526"/>
    <w:rsid w:val="008D25BB"/>
    <w:rsid w:val="008D453B"/>
    <w:rsid w:val="008E0C0B"/>
    <w:rsid w:val="008E305B"/>
    <w:rsid w:val="008E4D54"/>
    <w:rsid w:val="008E6310"/>
    <w:rsid w:val="008E7A1F"/>
    <w:rsid w:val="008E7DEC"/>
    <w:rsid w:val="008F0CB1"/>
    <w:rsid w:val="008F1E8C"/>
    <w:rsid w:val="008F3A6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EC8"/>
    <w:rsid w:val="00914EF4"/>
    <w:rsid w:val="00915878"/>
    <w:rsid w:val="0092114D"/>
    <w:rsid w:val="00925C76"/>
    <w:rsid w:val="00926A5A"/>
    <w:rsid w:val="00927BE1"/>
    <w:rsid w:val="00930915"/>
    <w:rsid w:val="00932993"/>
    <w:rsid w:val="00935AD2"/>
    <w:rsid w:val="00936544"/>
    <w:rsid w:val="00944850"/>
    <w:rsid w:val="00946C56"/>
    <w:rsid w:val="00947487"/>
    <w:rsid w:val="009536E6"/>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C4478"/>
    <w:rsid w:val="009D3F48"/>
    <w:rsid w:val="009D66E3"/>
    <w:rsid w:val="009E12E9"/>
    <w:rsid w:val="009E26B1"/>
    <w:rsid w:val="009E6ADD"/>
    <w:rsid w:val="009F0D58"/>
    <w:rsid w:val="009F193E"/>
    <w:rsid w:val="009F1DC2"/>
    <w:rsid w:val="009F1FE7"/>
    <w:rsid w:val="009F3661"/>
    <w:rsid w:val="009F389C"/>
    <w:rsid w:val="009F3C54"/>
    <w:rsid w:val="009F3CA1"/>
    <w:rsid w:val="009F46CD"/>
    <w:rsid w:val="009F4B10"/>
    <w:rsid w:val="009F54C2"/>
    <w:rsid w:val="009F55E5"/>
    <w:rsid w:val="009F69AB"/>
    <w:rsid w:val="009F6EBD"/>
    <w:rsid w:val="009F7269"/>
    <w:rsid w:val="009F7B94"/>
    <w:rsid w:val="00A0059E"/>
    <w:rsid w:val="00A024EB"/>
    <w:rsid w:val="00A03A1E"/>
    <w:rsid w:val="00A06AF0"/>
    <w:rsid w:val="00A06E6B"/>
    <w:rsid w:val="00A11D3C"/>
    <w:rsid w:val="00A12C6D"/>
    <w:rsid w:val="00A152C0"/>
    <w:rsid w:val="00A15349"/>
    <w:rsid w:val="00A17BAF"/>
    <w:rsid w:val="00A17FB0"/>
    <w:rsid w:val="00A21C46"/>
    <w:rsid w:val="00A22798"/>
    <w:rsid w:val="00A22FD8"/>
    <w:rsid w:val="00A23445"/>
    <w:rsid w:val="00A239F5"/>
    <w:rsid w:val="00A23BA3"/>
    <w:rsid w:val="00A24E0B"/>
    <w:rsid w:val="00A26739"/>
    <w:rsid w:val="00A26B28"/>
    <w:rsid w:val="00A30E24"/>
    <w:rsid w:val="00A3283B"/>
    <w:rsid w:val="00A33298"/>
    <w:rsid w:val="00A34CC1"/>
    <w:rsid w:val="00A34E68"/>
    <w:rsid w:val="00A353D0"/>
    <w:rsid w:val="00A35B11"/>
    <w:rsid w:val="00A3601E"/>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729C"/>
    <w:rsid w:val="00AC7906"/>
    <w:rsid w:val="00AD1D9A"/>
    <w:rsid w:val="00AD3174"/>
    <w:rsid w:val="00AD4C1D"/>
    <w:rsid w:val="00AD5FC1"/>
    <w:rsid w:val="00AD7BE2"/>
    <w:rsid w:val="00AD7E4B"/>
    <w:rsid w:val="00AE3877"/>
    <w:rsid w:val="00AE6D0A"/>
    <w:rsid w:val="00AE6E6A"/>
    <w:rsid w:val="00AE7A5D"/>
    <w:rsid w:val="00AF09E0"/>
    <w:rsid w:val="00AF0F5C"/>
    <w:rsid w:val="00AF25A3"/>
    <w:rsid w:val="00AF26BE"/>
    <w:rsid w:val="00AF273D"/>
    <w:rsid w:val="00AF4D73"/>
    <w:rsid w:val="00AF4FBF"/>
    <w:rsid w:val="00B00F80"/>
    <w:rsid w:val="00B04C0C"/>
    <w:rsid w:val="00B07708"/>
    <w:rsid w:val="00B11069"/>
    <w:rsid w:val="00B11402"/>
    <w:rsid w:val="00B126DD"/>
    <w:rsid w:val="00B14D4C"/>
    <w:rsid w:val="00B1677D"/>
    <w:rsid w:val="00B16F93"/>
    <w:rsid w:val="00B21D49"/>
    <w:rsid w:val="00B21EF7"/>
    <w:rsid w:val="00B22F71"/>
    <w:rsid w:val="00B251E4"/>
    <w:rsid w:val="00B256A1"/>
    <w:rsid w:val="00B25B24"/>
    <w:rsid w:val="00B2695D"/>
    <w:rsid w:val="00B303CD"/>
    <w:rsid w:val="00B3239F"/>
    <w:rsid w:val="00B32F95"/>
    <w:rsid w:val="00B36345"/>
    <w:rsid w:val="00B368A5"/>
    <w:rsid w:val="00B369B5"/>
    <w:rsid w:val="00B40BA9"/>
    <w:rsid w:val="00B41A98"/>
    <w:rsid w:val="00B41BEB"/>
    <w:rsid w:val="00B45FA4"/>
    <w:rsid w:val="00B50789"/>
    <w:rsid w:val="00B517F0"/>
    <w:rsid w:val="00B526F4"/>
    <w:rsid w:val="00B5404E"/>
    <w:rsid w:val="00B5481B"/>
    <w:rsid w:val="00B57883"/>
    <w:rsid w:val="00B60EDD"/>
    <w:rsid w:val="00B61E2D"/>
    <w:rsid w:val="00B62888"/>
    <w:rsid w:val="00B62C3E"/>
    <w:rsid w:val="00B6336C"/>
    <w:rsid w:val="00B66923"/>
    <w:rsid w:val="00B71B8E"/>
    <w:rsid w:val="00B72517"/>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69F7"/>
    <w:rsid w:val="00B9720A"/>
    <w:rsid w:val="00BA2905"/>
    <w:rsid w:val="00BA29A0"/>
    <w:rsid w:val="00BA44A3"/>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E3B"/>
    <w:rsid w:val="00BE018E"/>
    <w:rsid w:val="00BE0F8C"/>
    <w:rsid w:val="00BE24EF"/>
    <w:rsid w:val="00BE39CE"/>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2ADB"/>
    <w:rsid w:val="00C33321"/>
    <w:rsid w:val="00C34671"/>
    <w:rsid w:val="00C378BD"/>
    <w:rsid w:val="00C4547A"/>
    <w:rsid w:val="00C466D8"/>
    <w:rsid w:val="00C477DC"/>
    <w:rsid w:val="00C50ADC"/>
    <w:rsid w:val="00C5163E"/>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67D72"/>
    <w:rsid w:val="00C727D0"/>
    <w:rsid w:val="00C7345F"/>
    <w:rsid w:val="00C745A2"/>
    <w:rsid w:val="00C75BAC"/>
    <w:rsid w:val="00C77479"/>
    <w:rsid w:val="00C826CF"/>
    <w:rsid w:val="00C845CF"/>
    <w:rsid w:val="00C85B2D"/>
    <w:rsid w:val="00C901B6"/>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93C"/>
    <w:rsid w:val="00CE1D88"/>
    <w:rsid w:val="00CE5F56"/>
    <w:rsid w:val="00CE6C5D"/>
    <w:rsid w:val="00CF0E5E"/>
    <w:rsid w:val="00CF27F8"/>
    <w:rsid w:val="00CF3E60"/>
    <w:rsid w:val="00CF4A9E"/>
    <w:rsid w:val="00CF536B"/>
    <w:rsid w:val="00CF5FC3"/>
    <w:rsid w:val="00D00E2F"/>
    <w:rsid w:val="00D06E34"/>
    <w:rsid w:val="00D112AC"/>
    <w:rsid w:val="00D13606"/>
    <w:rsid w:val="00D13907"/>
    <w:rsid w:val="00D1740D"/>
    <w:rsid w:val="00D179DB"/>
    <w:rsid w:val="00D2070E"/>
    <w:rsid w:val="00D22A11"/>
    <w:rsid w:val="00D24A65"/>
    <w:rsid w:val="00D25AE7"/>
    <w:rsid w:val="00D26A3C"/>
    <w:rsid w:val="00D26DAF"/>
    <w:rsid w:val="00D30D93"/>
    <w:rsid w:val="00D34001"/>
    <w:rsid w:val="00D3485F"/>
    <w:rsid w:val="00D36DE8"/>
    <w:rsid w:val="00D42780"/>
    <w:rsid w:val="00D4320A"/>
    <w:rsid w:val="00D4374A"/>
    <w:rsid w:val="00D50421"/>
    <w:rsid w:val="00D5159C"/>
    <w:rsid w:val="00D55941"/>
    <w:rsid w:val="00D56ACB"/>
    <w:rsid w:val="00D574AE"/>
    <w:rsid w:val="00D576E3"/>
    <w:rsid w:val="00D61780"/>
    <w:rsid w:val="00D619E3"/>
    <w:rsid w:val="00D61C78"/>
    <w:rsid w:val="00D62A6A"/>
    <w:rsid w:val="00D62FA1"/>
    <w:rsid w:val="00D64315"/>
    <w:rsid w:val="00D64813"/>
    <w:rsid w:val="00D67BE5"/>
    <w:rsid w:val="00D67F8C"/>
    <w:rsid w:val="00D7037C"/>
    <w:rsid w:val="00D705C2"/>
    <w:rsid w:val="00D71440"/>
    <w:rsid w:val="00D72A05"/>
    <w:rsid w:val="00D73303"/>
    <w:rsid w:val="00D7592B"/>
    <w:rsid w:val="00D80170"/>
    <w:rsid w:val="00D804F2"/>
    <w:rsid w:val="00D80827"/>
    <w:rsid w:val="00D8595F"/>
    <w:rsid w:val="00D85CE4"/>
    <w:rsid w:val="00D870BF"/>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5FB8"/>
    <w:rsid w:val="00DC5FCE"/>
    <w:rsid w:val="00DC7924"/>
    <w:rsid w:val="00DD11C2"/>
    <w:rsid w:val="00DD311E"/>
    <w:rsid w:val="00DD356B"/>
    <w:rsid w:val="00DD52B7"/>
    <w:rsid w:val="00DD5709"/>
    <w:rsid w:val="00DD670C"/>
    <w:rsid w:val="00DE187A"/>
    <w:rsid w:val="00DE18DB"/>
    <w:rsid w:val="00DE3293"/>
    <w:rsid w:val="00DE337E"/>
    <w:rsid w:val="00DE5357"/>
    <w:rsid w:val="00DE53BD"/>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239F5"/>
    <w:rsid w:val="00E266C4"/>
    <w:rsid w:val="00E271D4"/>
    <w:rsid w:val="00E309E3"/>
    <w:rsid w:val="00E317DF"/>
    <w:rsid w:val="00E328AA"/>
    <w:rsid w:val="00E34E58"/>
    <w:rsid w:val="00E35D63"/>
    <w:rsid w:val="00E35E24"/>
    <w:rsid w:val="00E3711C"/>
    <w:rsid w:val="00E37334"/>
    <w:rsid w:val="00E37F10"/>
    <w:rsid w:val="00E50A98"/>
    <w:rsid w:val="00E51B93"/>
    <w:rsid w:val="00E5488D"/>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3589"/>
    <w:rsid w:val="00EB47E6"/>
    <w:rsid w:val="00EB5B43"/>
    <w:rsid w:val="00EC6E8A"/>
    <w:rsid w:val="00EC6EB9"/>
    <w:rsid w:val="00EC7775"/>
    <w:rsid w:val="00ED2D78"/>
    <w:rsid w:val="00ED3B80"/>
    <w:rsid w:val="00ED4499"/>
    <w:rsid w:val="00ED6FCA"/>
    <w:rsid w:val="00ED76A0"/>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AB6"/>
    <w:rsid w:val="00F23523"/>
    <w:rsid w:val="00F24B61"/>
    <w:rsid w:val="00F24E54"/>
    <w:rsid w:val="00F27C39"/>
    <w:rsid w:val="00F3007D"/>
    <w:rsid w:val="00F30109"/>
    <w:rsid w:val="00F30AD2"/>
    <w:rsid w:val="00F32FF6"/>
    <w:rsid w:val="00F34D84"/>
    <w:rsid w:val="00F369CF"/>
    <w:rsid w:val="00F42758"/>
    <w:rsid w:val="00F42C02"/>
    <w:rsid w:val="00F45619"/>
    <w:rsid w:val="00F46A7C"/>
    <w:rsid w:val="00F475D1"/>
    <w:rsid w:val="00F5214B"/>
    <w:rsid w:val="00F62D53"/>
    <w:rsid w:val="00F639E3"/>
    <w:rsid w:val="00F6594E"/>
    <w:rsid w:val="00F70440"/>
    <w:rsid w:val="00F72388"/>
    <w:rsid w:val="00F742ED"/>
    <w:rsid w:val="00F7467E"/>
    <w:rsid w:val="00F74BCE"/>
    <w:rsid w:val="00F775B3"/>
    <w:rsid w:val="00F802AD"/>
    <w:rsid w:val="00F80F2B"/>
    <w:rsid w:val="00F84249"/>
    <w:rsid w:val="00F8436E"/>
    <w:rsid w:val="00F87491"/>
    <w:rsid w:val="00F87DBD"/>
    <w:rsid w:val="00F90389"/>
    <w:rsid w:val="00F91630"/>
    <w:rsid w:val="00F93C83"/>
    <w:rsid w:val="00F95AAB"/>
    <w:rsid w:val="00FA0ECC"/>
    <w:rsid w:val="00FA427C"/>
    <w:rsid w:val="00FA4349"/>
    <w:rsid w:val="00FA482B"/>
    <w:rsid w:val="00FB1BBD"/>
    <w:rsid w:val="00FB2994"/>
    <w:rsid w:val="00FB2BA4"/>
    <w:rsid w:val="00FB49D2"/>
    <w:rsid w:val="00FB517D"/>
    <w:rsid w:val="00FB5A5F"/>
    <w:rsid w:val="00FB6232"/>
    <w:rsid w:val="00FB6571"/>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1601"/>
    <w:rsid w:val="00FE32AF"/>
    <w:rsid w:val="00FE6290"/>
    <w:rsid w:val="00FE6CF6"/>
    <w:rsid w:val="00FE74AC"/>
    <w:rsid w:val="00FE78EF"/>
    <w:rsid w:val="00FF2C42"/>
    <w:rsid w:val="00FF5124"/>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semiHidden/>
    <w:unhideWhenUsed/>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Grid Table 5 Dark Accent 6"/>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Grid Table 4 Accent 6"/>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265FA-1C99-4CFF-A66A-D01E5309A3C2}">
  <ds:schemaRefs/>
</ds:datastoreItem>
</file>

<file path=customXml/itemProps2.xml><?xml version="1.0" encoding="utf-8"?>
<ds:datastoreItem xmlns:ds="http://schemas.openxmlformats.org/officeDocument/2006/customXml" ds:itemID="{8A3B0E29-8686-4648-AF0D-979DFADD87FB}">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516</Words>
  <Characters>2943</Characters>
  <Lines>24</Lines>
  <Paragraphs>6</Paragraphs>
  <TotalTime>0</TotalTime>
  <ScaleCrop>false</ScaleCrop>
  <LinksUpToDate>false</LinksUpToDate>
  <CharactersWithSpaces>3453</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FR000018</cp:lastModifiedBy>
  <dcterms:modified xsi:type="dcterms:W3CDTF">2022-08-12T12:40:52Z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