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11DA7" w14:textId="77777777" w:rsidR="00FF425C" w:rsidRPr="0060654D" w:rsidRDefault="00F3458E" w:rsidP="0060654D">
      <w:pPr>
        <w:autoSpaceDE/>
        <w:autoSpaceDN/>
        <w:adjustRightInd/>
        <w:snapToGrid/>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172EFEBE" wp14:editId="00EF798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2F5937">
        <w:rPr>
          <w:b/>
          <w:kern w:val="2"/>
          <w:lang w:eastAsia="zh-CN"/>
        </w:rPr>
        <w:t>N WG1 Meeting # 110-</w:t>
      </w:r>
      <w:r w:rsidR="003B21B4">
        <w:rPr>
          <w:b/>
          <w:kern w:val="2"/>
          <w:lang w:eastAsia="zh-CN"/>
        </w:rPr>
        <w:t>e</w:t>
      </w:r>
      <w:r w:rsidR="003B21B4">
        <w:rPr>
          <w:b/>
          <w:kern w:val="2"/>
          <w:lang w:eastAsia="zh-CN"/>
        </w:rPr>
        <w:tab/>
      </w:r>
      <w:r w:rsidR="0060654D">
        <w:rPr>
          <w:b/>
          <w:kern w:val="2"/>
          <w:lang w:eastAsia="zh-CN"/>
        </w:rPr>
        <w:t xml:space="preserve">                                                                              </w:t>
      </w:r>
      <w:r w:rsidR="0060654D" w:rsidRPr="0060654D">
        <w:rPr>
          <w:b/>
          <w:kern w:val="2"/>
          <w:lang w:eastAsia="zh-CN"/>
        </w:rPr>
        <w:t>R1-2205834</w:t>
      </w:r>
    </w:p>
    <w:p w14:paraId="70FB8DEB" w14:textId="77777777" w:rsidR="00FF425C" w:rsidRDefault="002F5937">
      <w:pPr>
        <w:jc w:val="left"/>
        <w:rPr>
          <w:b/>
          <w:kern w:val="2"/>
          <w:lang w:eastAsia="zh-CN"/>
        </w:rPr>
      </w:pPr>
      <w:r>
        <w:rPr>
          <w:b/>
          <w:kern w:val="2"/>
          <w:lang w:eastAsia="zh-CN"/>
        </w:rPr>
        <w:t xml:space="preserve">Toulouse, August </w:t>
      </w:r>
      <w:r w:rsidR="008146EA">
        <w:rPr>
          <w:b/>
          <w:kern w:val="2"/>
          <w:lang w:eastAsia="zh-CN"/>
        </w:rPr>
        <w:t>2</w:t>
      </w:r>
      <w:r w:rsidR="00120982">
        <w:rPr>
          <w:b/>
          <w:kern w:val="2"/>
          <w:lang w:eastAsia="zh-CN"/>
        </w:rPr>
        <w:t>2</w:t>
      </w:r>
      <w:r w:rsidR="00120982" w:rsidRPr="00120982">
        <w:rPr>
          <w:b/>
          <w:kern w:val="2"/>
          <w:vertAlign w:val="superscript"/>
          <w:lang w:eastAsia="zh-CN"/>
        </w:rPr>
        <w:t>nd</w:t>
      </w:r>
      <w:r>
        <w:rPr>
          <w:b/>
          <w:kern w:val="2"/>
          <w:lang w:eastAsia="zh-CN"/>
        </w:rPr>
        <w:t xml:space="preserve"> – August</w:t>
      </w:r>
      <w:r w:rsidR="00F3458E">
        <w:rPr>
          <w:b/>
          <w:kern w:val="2"/>
          <w:lang w:eastAsia="zh-CN"/>
        </w:rPr>
        <w:t xml:space="preserve"> 2</w:t>
      </w:r>
      <w:r>
        <w:rPr>
          <w:b/>
          <w:kern w:val="2"/>
          <w:lang w:eastAsia="zh-CN"/>
        </w:rPr>
        <w:t>6</w:t>
      </w:r>
      <w:r w:rsidRPr="002F5937">
        <w:rPr>
          <w:b/>
          <w:kern w:val="2"/>
          <w:vertAlign w:val="superscript"/>
          <w:lang w:eastAsia="zh-CN"/>
        </w:rPr>
        <w:t>th</w:t>
      </w:r>
      <w:r w:rsidR="00F3458E">
        <w:rPr>
          <w:b/>
          <w:kern w:val="2"/>
          <w:lang w:eastAsia="zh-CN"/>
        </w:rPr>
        <w:t>, 2022</w:t>
      </w:r>
    </w:p>
    <w:p w14:paraId="7D80730B" w14:textId="77777777" w:rsidR="00FF425C" w:rsidRDefault="00FF425C">
      <w:pPr>
        <w:pBdr>
          <w:top w:val="single" w:sz="4" w:space="1" w:color="auto"/>
        </w:pBdr>
        <w:spacing w:after="0"/>
        <w:jc w:val="left"/>
        <w:rPr>
          <w:b/>
          <w:kern w:val="2"/>
          <w:sz w:val="16"/>
          <w:szCs w:val="16"/>
          <w:lang w:eastAsia="zh-CN"/>
        </w:rPr>
      </w:pPr>
    </w:p>
    <w:p w14:paraId="43CA64CE" w14:textId="77777777" w:rsidR="00FF425C" w:rsidRDefault="003B21B4">
      <w:pPr>
        <w:spacing w:after="60"/>
        <w:ind w:left="1555" w:hanging="1555"/>
        <w:jc w:val="left"/>
        <w:rPr>
          <w:b/>
          <w:kern w:val="2"/>
          <w:lang w:eastAsia="zh-CN"/>
        </w:rPr>
      </w:pPr>
      <w:r>
        <w:rPr>
          <w:b/>
          <w:kern w:val="2"/>
          <w:lang w:eastAsia="zh-CN"/>
        </w:rPr>
        <w:t>Agenda Item:</w:t>
      </w:r>
      <w:r>
        <w:rPr>
          <w:b/>
          <w:kern w:val="2"/>
          <w:lang w:eastAsia="zh-CN"/>
        </w:rPr>
        <w:tab/>
        <w:t>9.3.2</w:t>
      </w:r>
    </w:p>
    <w:p w14:paraId="468A1DC2" w14:textId="77777777"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14:paraId="3BA47D09" w14:textId="77777777" w:rsidR="00FF425C" w:rsidRDefault="00CB5978">
      <w:pPr>
        <w:spacing w:after="60"/>
        <w:ind w:left="1555" w:hanging="1555"/>
        <w:jc w:val="left"/>
        <w:rPr>
          <w:b/>
          <w:kern w:val="2"/>
          <w:lang w:eastAsia="zh-CN"/>
        </w:rPr>
      </w:pPr>
      <w:r>
        <w:rPr>
          <w:b/>
          <w:kern w:val="2"/>
          <w:lang w:eastAsia="zh-CN"/>
        </w:rPr>
        <w:t>Title:</w:t>
      </w:r>
      <w:r>
        <w:rPr>
          <w:b/>
          <w:kern w:val="2"/>
          <w:lang w:eastAsia="zh-CN"/>
        </w:rPr>
        <w:tab/>
        <w:t>Discussion on subband non-overlapping full duplex</w:t>
      </w:r>
    </w:p>
    <w:p w14:paraId="305D88C7" w14:textId="77777777"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0F551137" w14:textId="77777777" w:rsidR="00FF425C" w:rsidRDefault="00FF425C">
      <w:pPr>
        <w:pBdr>
          <w:bottom w:val="single" w:sz="4" w:space="1" w:color="auto"/>
        </w:pBdr>
        <w:spacing w:after="0"/>
        <w:jc w:val="left"/>
        <w:rPr>
          <w:b/>
          <w:kern w:val="2"/>
          <w:sz w:val="16"/>
          <w:szCs w:val="16"/>
          <w:lang w:eastAsia="zh-CN"/>
        </w:rPr>
      </w:pPr>
    </w:p>
    <w:p w14:paraId="4D821311" w14:textId="77777777" w:rsidR="00FF425C" w:rsidRDefault="00F3458E">
      <w:pPr>
        <w:pStyle w:val="Heading1"/>
      </w:pPr>
      <w:bookmarkStart w:id="0" w:name="_Ref129681862"/>
      <w:bookmarkStart w:id="1" w:name="_Ref124589705"/>
      <w:r>
        <w:t>Introduction</w:t>
      </w:r>
      <w:bookmarkEnd w:id="0"/>
      <w:bookmarkEnd w:id="1"/>
    </w:p>
    <w:p w14:paraId="122253D6" w14:textId="77777777" w:rsidR="00FF425C" w:rsidRDefault="003B21B4">
      <w:pPr>
        <w:spacing w:afterLines="50"/>
        <w:rPr>
          <w:lang w:eastAsia="zh-CN"/>
        </w:rPr>
      </w:pPr>
      <w:r>
        <w:rPr>
          <w:lang w:eastAsia="zh-CN"/>
        </w:rPr>
        <w:t xml:space="preserve">In 3GPP TSG RAN1 # 109-e meeting, </w:t>
      </w:r>
      <w:r w:rsidR="00CB5978">
        <w:rPr>
          <w:lang w:eastAsia="zh-CN"/>
        </w:rPr>
        <w:t xml:space="preserve">regarding the SBFD operation </w:t>
      </w:r>
      <w:r>
        <w:rPr>
          <w:lang w:eastAsia="zh-CN"/>
        </w:rPr>
        <w:t xml:space="preserve">the following agreements were reached to consensus [1]. </w:t>
      </w:r>
    </w:p>
    <w:tbl>
      <w:tblPr>
        <w:tblStyle w:val="TableGrid"/>
        <w:tblW w:w="0" w:type="auto"/>
        <w:tblInd w:w="108" w:type="dxa"/>
        <w:tblLook w:val="04A0" w:firstRow="1" w:lastRow="0" w:firstColumn="1" w:lastColumn="0" w:noHBand="0" w:noVBand="1"/>
      </w:tblPr>
      <w:tblGrid>
        <w:gridCol w:w="9199"/>
      </w:tblGrid>
      <w:tr w:rsidR="00FF425C" w14:paraId="3E54E05C" w14:textId="77777777">
        <w:trPr>
          <w:trHeight w:val="1142"/>
        </w:trPr>
        <w:tc>
          <w:tcPr>
            <w:tcW w:w="9356" w:type="dxa"/>
          </w:tcPr>
          <w:p w14:paraId="49F6F85B" w14:textId="77777777" w:rsidR="00CC7C88" w:rsidRPr="00734B44" w:rsidRDefault="00CC7C88" w:rsidP="00CC7C88">
            <w:pPr>
              <w:rPr>
                <w:highlight w:val="green"/>
                <w:lang w:eastAsia="ko-KR"/>
              </w:rPr>
            </w:pPr>
            <w:r w:rsidRPr="00734B44">
              <w:rPr>
                <w:highlight w:val="green"/>
                <w:lang w:eastAsia="ko-KR"/>
              </w:rPr>
              <w:t>Agreement</w:t>
            </w:r>
          </w:p>
          <w:p w14:paraId="22A29D11" w14:textId="77777777" w:rsidR="00CC7C88" w:rsidRDefault="00CC7C88" w:rsidP="00CC7C88">
            <w:pPr>
              <w:rPr>
                <w:lang w:eastAsia="ko-KR"/>
              </w:rPr>
            </w:pPr>
            <w:r>
              <w:rPr>
                <w:lang w:eastAsia="ko-KR"/>
              </w:rPr>
              <w:t>Study whether/how to inform the UE of the time and/or frequency location of subbands that gNB would use for SBFD operation.</w:t>
            </w:r>
          </w:p>
          <w:p w14:paraId="53705F21" w14:textId="77777777" w:rsidR="00CC7C88" w:rsidRPr="00734B44" w:rsidRDefault="00CC7C88" w:rsidP="00CC7C88">
            <w:pPr>
              <w:rPr>
                <w:highlight w:val="green"/>
                <w:lang w:eastAsia="ko-KR"/>
              </w:rPr>
            </w:pPr>
            <w:r w:rsidRPr="00734B44">
              <w:rPr>
                <w:highlight w:val="green"/>
                <w:lang w:eastAsia="ko-KR"/>
              </w:rPr>
              <w:t>Agreement</w:t>
            </w:r>
          </w:p>
          <w:p w14:paraId="18FE598B" w14:textId="77777777" w:rsidR="00CC7C88" w:rsidRDefault="00CC7C88" w:rsidP="00CC7C88">
            <w:pPr>
              <w:rPr>
                <w:lang w:eastAsia="ko-KR"/>
              </w:rPr>
            </w:pPr>
            <w:r>
              <w:rPr>
                <w:lang w:eastAsia="ko-KR"/>
              </w:rPr>
              <w:t>Study the impact/potential enhancements of resource allocation in symbols with subbands that gNB would use for SBFD operation.</w:t>
            </w:r>
          </w:p>
          <w:p w14:paraId="70BDFA31" w14:textId="77777777" w:rsidR="00CC7C88" w:rsidRPr="0028149D" w:rsidRDefault="00CC7C88" w:rsidP="00CC7C88">
            <w:pPr>
              <w:rPr>
                <w:highlight w:val="green"/>
                <w:lang w:eastAsia="ko-KR"/>
              </w:rPr>
            </w:pPr>
            <w:r w:rsidRPr="0028149D">
              <w:rPr>
                <w:highlight w:val="green"/>
                <w:lang w:eastAsia="ko-KR"/>
              </w:rPr>
              <w:t>Agreement</w:t>
            </w:r>
          </w:p>
          <w:p w14:paraId="43341BB1" w14:textId="77777777" w:rsidR="00CC7C88" w:rsidRPr="00CC7C88" w:rsidRDefault="00CC7C88" w:rsidP="00CC7C88">
            <w:pPr>
              <w:rPr>
                <w:rFonts w:eastAsia="Malgun Gothic"/>
                <w:lang w:eastAsia="zh-CN"/>
              </w:rPr>
            </w:pPr>
            <w:r w:rsidRPr="00720F94">
              <w:rPr>
                <w:rFonts w:eastAsia="Malgun Gothic"/>
                <w:lang w:eastAsia="zh-CN"/>
              </w:rPr>
              <w:t xml:space="preserve">At least study </w:t>
            </w:r>
            <w:r w:rsidRPr="00720F94">
              <w:rPr>
                <w:rFonts w:eastAsia="Malgun Gothic" w:hint="eastAsia"/>
                <w:lang w:eastAsia="zh-CN"/>
              </w:rPr>
              <w:t>SBFD</w:t>
            </w:r>
            <w:r w:rsidRPr="00720F94">
              <w:rPr>
                <w:rFonts w:eastAsia="Malgun Gothic"/>
                <w:lang w:eastAsia="zh-CN"/>
              </w:rPr>
              <w:t xml:space="preserve"> operation within a TDD carrier</w:t>
            </w:r>
            <w:r>
              <w:rPr>
                <w:rFonts w:eastAsia="Malgun Gothic"/>
                <w:lang w:eastAsia="zh-CN"/>
              </w:rPr>
              <w:t>.</w:t>
            </w:r>
          </w:p>
          <w:p w14:paraId="411732BD" w14:textId="77777777" w:rsidR="00CC7C88" w:rsidRPr="00266BD7" w:rsidRDefault="00CC7C88" w:rsidP="00CC7C88">
            <w:pPr>
              <w:rPr>
                <w:rFonts w:eastAsia="Malgun Gothic"/>
                <w:bCs/>
                <w:color w:val="000000"/>
                <w:u w:val="single"/>
                <w:lang w:eastAsia="zh-CN"/>
              </w:rPr>
            </w:pPr>
            <w:r w:rsidRPr="00266BD7">
              <w:rPr>
                <w:rFonts w:eastAsia="Malgun Gothic"/>
                <w:bCs/>
                <w:color w:val="000000"/>
                <w:u w:val="single"/>
                <w:lang w:eastAsia="zh-CN"/>
              </w:rPr>
              <w:t>Conclusion</w:t>
            </w:r>
          </w:p>
          <w:p w14:paraId="3202438B" w14:textId="77777777" w:rsidR="00CC7C88" w:rsidRPr="00CC7C88" w:rsidRDefault="00CC7C88" w:rsidP="00CC7C88">
            <w:pPr>
              <w:rPr>
                <w:rFonts w:eastAsia="Malgun Gothic"/>
                <w:lang w:eastAsia="zh-CN"/>
              </w:rPr>
            </w:pPr>
            <w:r w:rsidRPr="00AA6904">
              <w:rPr>
                <w:rFonts w:eastAsia="Malgun Gothic" w:hint="eastAsia"/>
                <w:lang w:eastAsia="zh-CN"/>
              </w:rPr>
              <w:t>For discussion purpose</w:t>
            </w:r>
            <w:r>
              <w:rPr>
                <w:rFonts w:eastAsia="Malgun Gothic"/>
                <w:lang w:eastAsia="zh-CN"/>
              </w:rPr>
              <w:t xml:space="preserve"> only</w:t>
            </w:r>
            <w:r w:rsidRPr="00AA6904">
              <w:rPr>
                <w:rFonts w:eastAsia="Malgun Gothic" w:hint="eastAsia"/>
                <w:lang w:eastAsia="zh-CN"/>
              </w:rPr>
              <w:t>, SBFD symbol is defined as symbol with subbands that gNB would use for SBFD operation</w:t>
            </w:r>
            <w:r w:rsidRPr="00AA6904">
              <w:rPr>
                <w:rFonts w:eastAsia="Malgun Gothic"/>
                <w:lang w:eastAsia="zh-CN"/>
              </w:rPr>
              <w:t xml:space="preserve">. </w:t>
            </w:r>
          </w:p>
          <w:p w14:paraId="1BE5FEE5" w14:textId="77777777" w:rsidR="00CC7C88" w:rsidRPr="00266BD7" w:rsidRDefault="00CC7C88" w:rsidP="00CC7C88">
            <w:pPr>
              <w:rPr>
                <w:rFonts w:eastAsia="Malgun Gothic"/>
                <w:bCs/>
                <w:color w:val="000000"/>
                <w:u w:val="single"/>
                <w:lang w:eastAsia="zh-CN"/>
              </w:rPr>
            </w:pPr>
            <w:r w:rsidRPr="00266BD7">
              <w:rPr>
                <w:rFonts w:eastAsia="Malgun Gothic"/>
                <w:bCs/>
                <w:color w:val="000000"/>
                <w:u w:val="single"/>
                <w:lang w:eastAsia="zh-CN"/>
              </w:rPr>
              <w:t>Conclusion</w:t>
            </w:r>
          </w:p>
          <w:p w14:paraId="61705109" w14:textId="77777777" w:rsidR="00CC7C88" w:rsidRPr="00CC7C88" w:rsidRDefault="00CC7C88" w:rsidP="00CC7C88">
            <w:pPr>
              <w:rPr>
                <w:rFonts w:eastAsia="微软雅黑"/>
                <w:color w:val="000000"/>
                <w:lang w:eastAsia="zh-CN"/>
              </w:rPr>
            </w:pPr>
            <w:r w:rsidRPr="00AA6904">
              <w:rPr>
                <w:rFonts w:eastAsia="Malgun Gothic" w:hint="eastAsia"/>
                <w:lang w:eastAsia="zh-CN"/>
              </w:rPr>
              <w:t>For discussion purpose,</w:t>
            </w:r>
            <w:r>
              <w:rPr>
                <w:rFonts w:eastAsia="Malgun Gothic"/>
                <w:lang w:eastAsia="zh-CN"/>
              </w:rPr>
              <w:t xml:space="preserve"> for </w:t>
            </w:r>
            <w:r w:rsidRPr="00720F94">
              <w:rPr>
                <w:rFonts w:eastAsia="Malgun Gothic" w:hint="eastAsia"/>
                <w:lang w:eastAsia="zh-CN"/>
              </w:rPr>
              <w:t>SBFD</w:t>
            </w:r>
            <w:r w:rsidRPr="00720F94">
              <w:rPr>
                <w:rFonts w:eastAsia="Malgun Gothic"/>
                <w:lang w:eastAsia="zh-CN"/>
              </w:rPr>
              <w:t xml:space="preserve"> operation within a TDD carrier</w:t>
            </w:r>
            <w:r>
              <w:rPr>
                <w:rFonts w:eastAsia="Malgun Gothic"/>
                <w:lang w:eastAsia="zh-CN"/>
              </w:rPr>
              <w:t>,</w:t>
            </w:r>
            <w:r w:rsidRPr="00AA6904">
              <w:rPr>
                <w:rFonts w:eastAsia="Malgun Gothic" w:hint="eastAsia"/>
                <w:lang w:eastAsia="zh-CN"/>
              </w:rPr>
              <w:t xml:space="preserve"> </w:t>
            </w:r>
            <w:r>
              <w:rPr>
                <w:rFonts w:eastAsia="Malgun Gothic"/>
              </w:rPr>
              <w:t>a</w:t>
            </w:r>
            <w:r w:rsidRPr="00D93EDE">
              <w:rPr>
                <w:rFonts w:eastAsia="Malgun Gothic"/>
              </w:rPr>
              <w:t xml:space="preserve"> </w:t>
            </w:r>
            <w:r>
              <w:rPr>
                <w:rFonts w:eastAsia="Malgun Gothic"/>
              </w:rPr>
              <w:t xml:space="preserve">SBFD </w:t>
            </w:r>
            <w:r w:rsidRPr="00D93EDE">
              <w:rPr>
                <w:rFonts w:eastAsia="Malgun Gothic"/>
              </w:rPr>
              <w:t xml:space="preserve">subband consists of </w:t>
            </w:r>
            <w:r>
              <w:rPr>
                <w:rFonts w:eastAsia="Malgun Gothic"/>
              </w:rPr>
              <w:t xml:space="preserve">1 RB or </w:t>
            </w:r>
            <w:r w:rsidRPr="00D93EDE">
              <w:rPr>
                <w:rFonts w:eastAsia="Malgun Gothic"/>
              </w:rPr>
              <w:t>a set of consecutive RBs for the same transmission direction.</w:t>
            </w:r>
          </w:p>
          <w:p w14:paraId="2CE1A8CD" w14:textId="77777777" w:rsidR="00CC7C88" w:rsidRPr="00BC090C" w:rsidRDefault="00CC7C88" w:rsidP="00CC7C88">
            <w:pPr>
              <w:rPr>
                <w:bCs/>
                <w:highlight w:val="green"/>
                <w:lang w:eastAsia="ko-KR"/>
              </w:rPr>
            </w:pPr>
            <w:r w:rsidRPr="00BC090C">
              <w:rPr>
                <w:bCs/>
                <w:highlight w:val="green"/>
                <w:lang w:eastAsia="ko-KR"/>
              </w:rPr>
              <w:t>Agreement</w:t>
            </w:r>
          </w:p>
          <w:p w14:paraId="681594D7" w14:textId="77777777" w:rsidR="00CC7C88" w:rsidRPr="008E1D15" w:rsidRDefault="00CC7C88" w:rsidP="00CC7C88">
            <w:pPr>
              <w:rPr>
                <w:rFonts w:eastAsia="Malgun Gothic"/>
                <w:lang w:eastAsia="zh-CN"/>
              </w:rPr>
            </w:pPr>
            <w:r w:rsidRPr="008E1D15">
              <w:rPr>
                <w:rFonts w:eastAsia="Malgun Gothic"/>
                <w:lang w:eastAsia="zh-CN"/>
              </w:rPr>
              <w:t>The time and frequency location of subbands</w:t>
            </w:r>
            <w:r w:rsidRPr="008E1D15">
              <w:rPr>
                <w:rFonts w:eastAsia="Malgun Gothic" w:hint="eastAsia"/>
                <w:lang w:eastAsia="zh-CN"/>
              </w:rPr>
              <w:t xml:space="preserve"> within a TDD carrier</w:t>
            </w:r>
            <w:r w:rsidRPr="008E1D15">
              <w:rPr>
                <w:rFonts w:eastAsia="Malgun Gothic"/>
                <w:lang w:eastAsia="zh-CN"/>
              </w:rPr>
              <w:t xml:space="preserve"> are not fixed in the specification.</w:t>
            </w:r>
          </w:p>
          <w:p w14:paraId="1EFBEA2D" w14:textId="77777777" w:rsidR="00CC7C88" w:rsidRPr="00307214" w:rsidRDefault="00CC7C88" w:rsidP="00CC7C88">
            <w:pPr>
              <w:pStyle w:val="ListParagraph"/>
              <w:numPr>
                <w:ilvl w:val="0"/>
                <w:numId w:val="5"/>
              </w:numPr>
              <w:overflowPunct w:val="0"/>
              <w:autoSpaceDE w:val="0"/>
              <w:autoSpaceDN w:val="0"/>
              <w:adjustRightInd w:val="0"/>
              <w:spacing w:after="180"/>
              <w:contextualSpacing/>
              <w:textAlignment w:val="baseline"/>
            </w:pPr>
            <w:r w:rsidRPr="00CC7C88">
              <w:rPr>
                <w:rFonts w:ascii="Times New Roman" w:eastAsia="Malgun Gothic" w:hAnsi="Times New Roman"/>
                <w:sz w:val="22"/>
                <w:szCs w:val="22"/>
                <w:lang w:eastAsia="zh-CN"/>
              </w:rPr>
              <w:t xml:space="preserve">Subject to any RAN4 guidance on minimum or maximum subband and </w:t>
            </w:r>
            <w:r w:rsidR="004A74B2" w:rsidRPr="00CC7C88">
              <w:rPr>
                <w:rFonts w:ascii="Times New Roman" w:eastAsia="Malgun Gothic" w:hAnsi="Times New Roman"/>
                <w:sz w:val="22"/>
                <w:szCs w:val="22"/>
                <w:lang w:eastAsia="zh-CN"/>
              </w:rPr>
              <w:t>guard band</w:t>
            </w:r>
            <w:r w:rsidRPr="00CC7C88">
              <w:rPr>
                <w:rFonts w:ascii="Times New Roman" w:eastAsia="Malgun Gothic" w:hAnsi="Times New Roman"/>
                <w:sz w:val="22"/>
                <w:szCs w:val="22"/>
                <w:lang w:eastAsia="zh-CN"/>
              </w:rPr>
              <w:t xml:space="preserve"> size and subband location within TDD carrier</w:t>
            </w:r>
            <w:r w:rsidRPr="00307214">
              <w:t xml:space="preserve">. </w:t>
            </w:r>
          </w:p>
          <w:p w14:paraId="415393AB" w14:textId="77777777" w:rsidR="00FF425C" w:rsidRPr="00CC7C88" w:rsidRDefault="00CC7C88" w:rsidP="00CC7C88">
            <w:pPr>
              <w:pStyle w:val="ListParagraph"/>
              <w:numPr>
                <w:ilvl w:val="0"/>
                <w:numId w:val="5"/>
              </w:numPr>
              <w:overflowPunct w:val="0"/>
              <w:autoSpaceDE w:val="0"/>
              <w:autoSpaceDN w:val="0"/>
              <w:adjustRightInd w:val="0"/>
              <w:spacing w:after="180"/>
              <w:contextualSpacing/>
              <w:textAlignment w:val="baseline"/>
            </w:pPr>
            <w:r w:rsidRPr="00CC7C88">
              <w:rPr>
                <w:rFonts w:ascii="Times New Roman" w:eastAsia="Malgun Gothic" w:hAnsi="Times New Roman"/>
                <w:sz w:val="22"/>
                <w:szCs w:val="22"/>
                <w:lang w:eastAsia="zh-CN"/>
              </w:rPr>
              <w:t>Note that whether the time and/or frequency location of subbands are informed to UE is separately discussed</w:t>
            </w:r>
            <w:r w:rsidRPr="00307214">
              <w:t>.</w:t>
            </w:r>
          </w:p>
        </w:tc>
      </w:tr>
    </w:tbl>
    <w:p w14:paraId="59301013" w14:textId="77777777" w:rsidR="00CC7C88" w:rsidRDefault="00CC7C88" w:rsidP="00CC7C88"/>
    <w:p w14:paraId="23E57CE6" w14:textId="77777777" w:rsidR="00FF425C" w:rsidRPr="00124A70" w:rsidRDefault="00F3458E">
      <w:pPr>
        <w:rPr>
          <w:lang w:eastAsia="ko-KR"/>
        </w:rPr>
      </w:pPr>
      <w:bookmarkStart w:id="2" w:name="_GoBack"/>
      <w:bookmarkEnd w:id="2"/>
      <w:r w:rsidRPr="00124A70">
        <w:t>In this contribution</w:t>
      </w:r>
      <w:r w:rsidR="003B21B4" w:rsidRPr="00124A70">
        <w:t xml:space="preserve">, we provide our </w:t>
      </w:r>
      <w:r w:rsidR="009F657C" w:rsidRPr="00124A70">
        <w:t>views</w:t>
      </w:r>
      <w:r w:rsidR="003B21B4" w:rsidRPr="00124A70">
        <w:t xml:space="preserve"> </w:t>
      </w:r>
      <w:r w:rsidR="00CC7C88" w:rsidRPr="00124A70">
        <w:t>on the</w:t>
      </w:r>
      <w:r w:rsidR="00CC7C88" w:rsidRPr="00124A70">
        <w:rPr>
          <w:lang w:eastAsia="ko-KR"/>
        </w:rPr>
        <w:t xml:space="preserve"> remaining issue</w:t>
      </w:r>
      <w:r w:rsidR="00870C98" w:rsidRPr="00124A70">
        <w:rPr>
          <w:lang w:eastAsia="ko-KR"/>
        </w:rPr>
        <w:t>s</w:t>
      </w:r>
      <w:r w:rsidR="00CC7C88" w:rsidRPr="00124A70">
        <w:rPr>
          <w:lang w:eastAsia="ko-KR"/>
        </w:rPr>
        <w:t xml:space="preserve"> of SBFD operation</w:t>
      </w:r>
      <w:r w:rsidR="00735504" w:rsidRPr="00124A70">
        <w:rPr>
          <w:lang w:eastAsia="ko-KR"/>
        </w:rPr>
        <w:t xml:space="preserve">, </w:t>
      </w:r>
      <w:r w:rsidR="00870C98" w:rsidRPr="00124A70">
        <w:rPr>
          <w:lang w:eastAsia="ko-KR"/>
        </w:rPr>
        <w:t>i.e</w:t>
      </w:r>
      <w:r w:rsidR="00CB5978" w:rsidRPr="00124A70">
        <w:rPr>
          <w:lang w:eastAsia="ko-KR"/>
        </w:rPr>
        <w:t xml:space="preserve">. </w:t>
      </w:r>
      <w:r w:rsidR="00735504" w:rsidRPr="00124A70">
        <w:rPr>
          <w:lang w:eastAsia="ko-KR"/>
        </w:rPr>
        <w:t>the basic features</w:t>
      </w:r>
      <w:r w:rsidR="00870C98" w:rsidRPr="00124A70">
        <w:rPr>
          <w:lang w:eastAsia="ko-KR"/>
        </w:rPr>
        <w:t xml:space="preserve"> and requirement</w:t>
      </w:r>
      <w:r w:rsidR="00735504" w:rsidRPr="00124A70">
        <w:rPr>
          <w:lang w:eastAsia="ko-KR"/>
        </w:rPr>
        <w:t xml:space="preserve"> </w:t>
      </w:r>
      <w:r w:rsidR="00870C98" w:rsidRPr="00124A70">
        <w:rPr>
          <w:lang w:eastAsia="ko-KR"/>
        </w:rPr>
        <w:t xml:space="preserve">of </w:t>
      </w:r>
      <w:r w:rsidR="00735504" w:rsidRPr="00124A70">
        <w:rPr>
          <w:lang w:eastAsia="ko-KR"/>
        </w:rPr>
        <w:t xml:space="preserve">SBFD </w:t>
      </w:r>
      <w:r w:rsidR="009F657C" w:rsidRPr="00124A70">
        <w:rPr>
          <w:lang w:eastAsia="ko-KR"/>
        </w:rPr>
        <w:t>operation,</w:t>
      </w:r>
      <w:r w:rsidR="00735504" w:rsidRPr="00124A70">
        <w:rPr>
          <w:lang w:eastAsia="ko-KR"/>
        </w:rPr>
        <w:t xml:space="preserve"> the configuration and indication of sub-bands to the UE that gNB would use for SBFD operation, and</w:t>
      </w:r>
      <w:r w:rsidR="00870C98" w:rsidRPr="00124A70">
        <w:rPr>
          <w:lang w:eastAsia="ko-KR"/>
        </w:rPr>
        <w:t xml:space="preserve"> the</w:t>
      </w:r>
      <w:r w:rsidR="00735504" w:rsidRPr="00124A70">
        <w:rPr>
          <w:lang w:eastAsia="ko-KR"/>
        </w:rPr>
        <w:t xml:space="preserve"> interference management in SBFD operation. </w:t>
      </w:r>
      <w:r w:rsidR="00CC7C88" w:rsidRPr="00124A70">
        <w:rPr>
          <w:lang w:eastAsia="ko-KR"/>
        </w:rPr>
        <w:t xml:space="preserve"> </w:t>
      </w:r>
    </w:p>
    <w:p w14:paraId="35F54EC9" w14:textId="77777777" w:rsidR="00FF425C" w:rsidRDefault="00525E29">
      <w:pPr>
        <w:pStyle w:val="Heading1"/>
        <w:rPr>
          <w:lang w:eastAsia="zh-CN"/>
        </w:rPr>
      </w:pPr>
      <w:r>
        <w:rPr>
          <w:lang w:eastAsia="zh-CN"/>
        </w:rPr>
        <w:t xml:space="preserve">Features </w:t>
      </w:r>
      <w:r w:rsidR="00265624">
        <w:rPr>
          <w:lang w:eastAsia="zh-CN"/>
        </w:rPr>
        <w:t xml:space="preserve">and Requirements </w:t>
      </w:r>
      <w:r>
        <w:rPr>
          <w:lang w:eastAsia="zh-CN"/>
        </w:rPr>
        <w:t xml:space="preserve">of </w:t>
      </w:r>
      <w:r w:rsidR="009F657C">
        <w:rPr>
          <w:lang w:eastAsia="zh-CN"/>
        </w:rPr>
        <w:t xml:space="preserve">SBFD </w:t>
      </w:r>
      <w:r w:rsidR="002D60ED">
        <w:rPr>
          <w:lang w:eastAsia="zh-CN"/>
        </w:rPr>
        <w:t xml:space="preserve">operation </w:t>
      </w:r>
    </w:p>
    <w:p w14:paraId="1EDC3696" w14:textId="2E55BE42" w:rsidR="009F657C" w:rsidRPr="009F657C" w:rsidRDefault="004173F2" w:rsidP="009F657C">
      <w:pPr>
        <w:rPr>
          <w:lang w:eastAsia="zh-CN"/>
        </w:rPr>
      </w:pPr>
      <w:r>
        <w:t xml:space="preserve">According to </w:t>
      </w:r>
      <w:r w:rsidR="009F657C">
        <w:t xml:space="preserve">3GPP RAN1 #109-e meeting, </w:t>
      </w:r>
      <w:r w:rsidR="00E526B7">
        <w:t xml:space="preserve">it was an agreed that </w:t>
      </w:r>
      <w:r w:rsidR="009F657C">
        <w:t>a</w:t>
      </w:r>
      <w:r w:rsidR="009F657C" w:rsidRPr="008C2FCD">
        <w:t xml:space="preserve"> sub-band </w:t>
      </w:r>
      <w:r w:rsidR="00E526B7">
        <w:t>can</w:t>
      </w:r>
      <w:r w:rsidR="00E526B7" w:rsidRPr="008C2FCD">
        <w:t xml:space="preserve"> </w:t>
      </w:r>
      <w:r w:rsidR="00E526B7">
        <w:t xml:space="preserve">be </w:t>
      </w:r>
      <w:r w:rsidR="009F657C" w:rsidRPr="008C2FCD">
        <w:t>a set of consecutive</w:t>
      </w:r>
      <w:r w:rsidR="009F657C">
        <w:t xml:space="preserve"> RBs</w:t>
      </w:r>
      <w:r w:rsidR="009F657C" w:rsidRPr="008C2FCD">
        <w:t xml:space="preserve"> for the same transmission direction i.e. UL or DL direction in a resource </w:t>
      </w:r>
      <w:r w:rsidR="009F657C">
        <w:t>grid of a conventional TDD band. However, the detail features and requirements of sub-bands</w:t>
      </w:r>
      <w:r w:rsidR="00CB5978">
        <w:t xml:space="preserve"> i.e. </w:t>
      </w:r>
      <w:r>
        <w:t xml:space="preserve">the </w:t>
      </w:r>
      <w:r w:rsidR="00CB5978">
        <w:t xml:space="preserve">granularity, </w:t>
      </w:r>
      <w:r>
        <w:t xml:space="preserve">the </w:t>
      </w:r>
      <w:r w:rsidR="00CB5978">
        <w:t>bandwidth</w:t>
      </w:r>
      <w:r>
        <w:t>,</w:t>
      </w:r>
      <w:r w:rsidR="00CB5978">
        <w:t xml:space="preserve"> and</w:t>
      </w:r>
      <w:r>
        <w:t xml:space="preserve"> the</w:t>
      </w:r>
      <w:r w:rsidR="00CB5978">
        <w:t xml:space="preserve"> number</w:t>
      </w:r>
      <w:r w:rsidR="00870C98">
        <w:t>s</w:t>
      </w:r>
      <w:r w:rsidR="00CB5978">
        <w:t xml:space="preserve"> of sub-bands within a TDD band</w:t>
      </w:r>
      <w:r>
        <w:t>,</w:t>
      </w:r>
      <w:r w:rsidR="009F657C">
        <w:t xml:space="preserve"> </w:t>
      </w:r>
      <w:r w:rsidR="00FD0FD3">
        <w:t>have not</w:t>
      </w:r>
      <w:r w:rsidR="009F657C">
        <w:t xml:space="preserve"> decided yet. </w:t>
      </w:r>
      <w:r w:rsidR="00CB5978">
        <w:t xml:space="preserve">Below we </w:t>
      </w:r>
      <w:r w:rsidR="009F657C">
        <w:t xml:space="preserve">provide our views on the basic requirements and features of sub-bands. </w:t>
      </w:r>
    </w:p>
    <w:p w14:paraId="0126C980" w14:textId="77777777" w:rsidR="00265624" w:rsidRDefault="00265624" w:rsidP="00864483">
      <w:pPr>
        <w:pStyle w:val="Heading2"/>
      </w:pPr>
      <w:r>
        <w:lastRenderedPageBreak/>
        <w:t xml:space="preserve">Granularity of sub-bands </w:t>
      </w:r>
    </w:p>
    <w:p w14:paraId="480CDF08" w14:textId="7BF7454C" w:rsidR="00735504" w:rsidRDefault="00735504" w:rsidP="00735504">
      <w:r>
        <w:t xml:space="preserve">Granularity is a key feature </w:t>
      </w:r>
      <w:r w:rsidR="003B7D39">
        <w:t xml:space="preserve">of a </w:t>
      </w:r>
      <w:r>
        <w:t>sub-</w:t>
      </w:r>
      <w:r w:rsidR="009F657C">
        <w:t>band, which</w:t>
      </w:r>
      <w:r>
        <w:t xml:space="preserve"> can further clarify the frequency resources assigned to a sub-band. </w:t>
      </w:r>
      <w:r w:rsidR="009F657C">
        <w:t xml:space="preserve">In </w:t>
      </w:r>
      <w:r w:rsidR="00E4318A">
        <w:t xml:space="preserve">3GPP RAN1#109-e </w:t>
      </w:r>
      <w:r w:rsidR="009F657C">
        <w:t>meeting, several companies provide diverse view</w:t>
      </w:r>
      <w:r w:rsidR="00FD0FD3">
        <w:t>s</w:t>
      </w:r>
      <w:r w:rsidR="009F657C">
        <w:t xml:space="preserve"> </w:t>
      </w:r>
      <w:r w:rsidR="00E526B7">
        <w:t xml:space="preserve">on the definition of </w:t>
      </w:r>
      <w:r w:rsidR="004173F2">
        <w:t xml:space="preserve"> </w:t>
      </w:r>
      <w:r w:rsidR="009F657C">
        <w:t xml:space="preserve">the granularity of </w:t>
      </w:r>
      <w:r w:rsidR="004173F2">
        <w:t>a</w:t>
      </w:r>
      <w:r w:rsidR="00E4318A">
        <w:t xml:space="preserve"> </w:t>
      </w:r>
      <w:r w:rsidR="004173F2">
        <w:t>sub-band</w:t>
      </w:r>
      <w:r w:rsidR="009F657C">
        <w:t>, e.g. RB</w:t>
      </w:r>
      <w:r w:rsidR="00470D12">
        <w:t xml:space="preserve"> based granularity</w:t>
      </w:r>
      <w:r w:rsidR="009F657C">
        <w:t>, RE</w:t>
      </w:r>
      <w:r w:rsidR="00470D12">
        <w:t xml:space="preserve"> based granularity</w:t>
      </w:r>
      <w:r w:rsidR="009F657C">
        <w:t xml:space="preserve">, </w:t>
      </w:r>
      <w:r w:rsidR="00470D12">
        <w:t xml:space="preserve">or </w:t>
      </w:r>
      <w:r w:rsidR="009F657C">
        <w:t>BWP</w:t>
      </w:r>
      <w:r w:rsidR="00470D12">
        <w:t xml:space="preserve"> based </w:t>
      </w:r>
      <w:r w:rsidR="0014357D">
        <w:t>granularity</w:t>
      </w:r>
      <w:r w:rsidR="009F657C">
        <w:t xml:space="preserve">. In our view, the most feasible option to </w:t>
      </w:r>
      <w:r w:rsidR="004173F2">
        <w:t xml:space="preserve">consider for </w:t>
      </w:r>
      <w:r w:rsidR="00E526B7">
        <w:t>a</w:t>
      </w:r>
      <w:r w:rsidR="00E526B7" w:rsidRPr="008C2FCD">
        <w:t xml:space="preserve"> </w:t>
      </w:r>
      <w:r w:rsidRPr="008C2FCD">
        <w:t>granularity of a sub-band</w:t>
      </w:r>
      <w:r w:rsidR="00E526B7">
        <w:t xml:space="preserve"> is resource block (an </w:t>
      </w:r>
      <w:r w:rsidR="00E526B7" w:rsidRPr="008C2FCD">
        <w:t>RB</w:t>
      </w:r>
      <w:r w:rsidR="00E526B7">
        <w:t>)</w:t>
      </w:r>
      <w:r>
        <w:t xml:space="preserve">. </w:t>
      </w:r>
      <w:r w:rsidR="003B7D39">
        <w:t>Since the number</w:t>
      </w:r>
      <w:r w:rsidR="00470D12">
        <w:t xml:space="preserve"> of</w:t>
      </w:r>
      <w:r w:rsidR="003B7D39">
        <w:t xml:space="preserve"> RB is </w:t>
      </w:r>
      <w:r w:rsidR="00FD0FD3">
        <w:t xml:space="preserve">a configurable parameter according to the SCS of different numerology. Thus, RB based granularity </w:t>
      </w:r>
      <w:r w:rsidR="003B7D39">
        <w:t xml:space="preserve">may allow </w:t>
      </w:r>
      <w:r w:rsidR="00470D12">
        <w:t xml:space="preserve">gNB to adjust </w:t>
      </w:r>
      <w:r>
        <w:t>the bandwidth of a sub-band</w:t>
      </w:r>
      <w:r w:rsidR="00470D12">
        <w:t xml:space="preserve"> according to </w:t>
      </w:r>
      <w:r w:rsidR="002D60ED">
        <w:t>the</w:t>
      </w:r>
      <w:r w:rsidR="00470D12">
        <w:t xml:space="preserve"> DL </w:t>
      </w:r>
      <w:r w:rsidR="002D60ED">
        <w:t xml:space="preserve">or UL </w:t>
      </w:r>
      <w:r w:rsidR="00470D12">
        <w:t>traffic requirements</w:t>
      </w:r>
      <w:r>
        <w:t xml:space="preserve">.  </w:t>
      </w:r>
    </w:p>
    <w:p w14:paraId="30D52434" w14:textId="77777777" w:rsidR="00CB29F4" w:rsidRPr="00CB29F4" w:rsidRDefault="00CB29F4" w:rsidP="00735504">
      <w:pPr>
        <w:rPr>
          <w:b/>
        </w:rPr>
      </w:pPr>
      <w:r w:rsidRPr="00CB29F4">
        <w:rPr>
          <w:b/>
        </w:rPr>
        <w:t xml:space="preserve">Proposal 1: </w:t>
      </w:r>
      <w:r w:rsidR="003B7D39">
        <w:rPr>
          <w:b/>
        </w:rPr>
        <w:t xml:space="preserve">Support </w:t>
      </w:r>
      <w:r w:rsidRPr="00CB29F4">
        <w:rPr>
          <w:b/>
        </w:rPr>
        <w:t>RB</w:t>
      </w:r>
      <w:r w:rsidR="003B7D39">
        <w:rPr>
          <w:b/>
        </w:rPr>
        <w:t xml:space="preserve"> based </w:t>
      </w:r>
      <w:r w:rsidRPr="00CB29F4">
        <w:rPr>
          <w:b/>
        </w:rPr>
        <w:t>granularity</w:t>
      </w:r>
      <w:r w:rsidR="003B7D39">
        <w:rPr>
          <w:b/>
        </w:rPr>
        <w:t xml:space="preserve"> for </w:t>
      </w:r>
      <w:r w:rsidR="004173F2">
        <w:rPr>
          <w:b/>
        </w:rPr>
        <w:t>a sub-band</w:t>
      </w:r>
      <w:r w:rsidRPr="00CB29F4">
        <w:rPr>
          <w:b/>
        </w:rPr>
        <w:t xml:space="preserve">. </w:t>
      </w:r>
    </w:p>
    <w:p w14:paraId="7BDAAC37" w14:textId="77777777" w:rsidR="00265624" w:rsidRDefault="00265624" w:rsidP="00864483">
      <w:pPr>
        <w:pStyle w:val="Heading2"/>
      </w:pPr>
      <w:r>
        <w:t>Bandwidth</w:t>
      </w:r>
      <w:r w:rsidR="0014357D">
        <w:t xml:space="preserve"> and number</w:t>
      </w:r>
      <w:r w:rsidR="00DC40EC">
        <w:t>s</w:t>
      </w:r>
      <w:r>
        <w:t xml:space="preserve"> of sub-bands </w:t>
      </w:r>
    </w:p>
    <w:p w14:paraId="0F0DA535" w14:textId="4C9FBDB2" w:rsidR="00735504" w:rsidRDefault="00735504" w:rsidP="00CB29F4">
      <w:r w:rsidRPr="0076679C">
        <w:t xml:space="preserve">The </w:t>
      </w:r>
      <w:r>
        <w:t xml:space="preserve">bandwidth of a sub-band </w:t>
      </w:r>
      <w:r w:rsidR="004173F2">
        <w:t>may depend</w:t>
      </w:r>
      <w:r w:rsidR="00870C98">
        <w:t>s</w:t>
      </w:r>
      <w:r>
        <w:t xml:space="preserve"> on several physical resources </w:t>
      </w:r>
      <w:r w:rsidRPr="00D81E78">
        <w:t>of NR specification,</w:t>
      </w:r>
      <w:r>
        <w:t xml:space="preserve"> such as the channel bandwidth of a TDD band for each sub carrier spacing (SCS) in which</w:t>
      </w:r>
      <w:r w:rsidR="00D01DDD">
        <w:t xml:space="preserve"> the sub-bands are located</w:t>
      </w:r>
      <w:r>
        <w:t>,</w:t>
      </w:r>
      <w:r w:rsidR="00D01DDD">
        <w:t xml:space="preserve"> the</w:t>
      </w:r>
      <w:r>
        <w:t xml:space="preserve"> number of sub-bands in a TDD band, </w:t>
      </w:r>
      <w:r w:rsidR="00D01DDD">
        <w:t xml:space="preserve">the </w:t>
      </w:r>
      <w:r>
        <w:t xml:space="preserve">bandwidth of Guard bands </w:t>
      </w:r>
      <w:r w:rsidR="00DC40EC">
        <w:t xml:space="preserve">between the </w:t>
      </w:r>
      <w:r>
        <w:t>sub-band</w:t>
      </w:r>
      <w:r w:rsidR="00DC40EC">
        <w:t>s</w:t>
      </w:r>
      <w:r>
        <w:t xml:space="preserve">, and the number of guard bands. </w:t>
      </w:r>
      <w:r w:rsidR="00845542">
        <w:t xml:space="preserve">Taking </w:t>
      </w:r>
      <w:r w:rsidR="00870C98">
        <w:t xml:space="preserve">all the aforementioned parameters </w:t>
      </w:r>
      <w:r w:rsidR="00845542">
        <w:t xml:space="preserve">into account, </w:t>
      </w:r>
      <w:r w:rsidR="003B7D39">
        <w:t>it may</w:t>
      </w:r>
      <w:r w:rsidR="00F9482A">
        <w:t xml:space="preserve"> be more feasible</w:t>
      </w:r>
      <w:r w:rsidR="003B7D39">
        <w:t xml:space="preserve"> to consider </w:t>
      </w:r>
      <w:r w:rsidR="00845542">
        <w:t xml:space="preserve">a </w:t>
      </w:r>
      <w:r>
        <w:t>configurable bandwidth</w:t>
      </w:r>
      <w:r w:rsidR="00E4318A">
        <w:t xml:space="preserve"> for</w:t>
      </w:r>
      <w:r w:rsidR="00F9482A">
        <w:t xml:space="preserve"> a sub-band</w:t>
      </w:r>
      <w:r w:rsidR="004158D1">
        <w:t xml:space="preserve"> which can be calculated according to</w:t>
      </w:r>
      <w:r w:rsidR="00870C98">
        <w:t xml:space="preserve"> the following equation</w:t>
      </w:r>
      <w:r w:rsidR="0077543A">
        <w:t xml:space="preserve">. </w:t>
      </w:r>
    </w:p>
    <w:p w14:paraId="19879309" w14:textId="77777777" w:rsidR="00845542" w:rsidRPr="004368DC" w:rsidRDefault="00845542" w:rsidP="004158D1">
      <w:pPr>
        <w:jc w:val="center"/>
      </w:pPr>
      <m:oMath>
        <m:r>
          <w:rPr>
            <w:rFonts w:ascii="Cambria Math" w:hAnsi="Cambria Math"/>
          </w:rPr>
          <m:t>SubBand</m:t>
        </m:r>
        <m:d>
          <m:dPr>
            <m:ctrlPr>
              <w:rPr>
                <w:rFonts w:ascii="Cambria Math" w:hAnsi="Cambria Math"/>
                <w:i/>
              </w:rPr>
            </m:ctrlPr>
          </m:dPr>
          <m:e>
            <m:r>
              <w:rPr>
                <w:rFonts w:ascii="Cambria Math" w:hAnsi="Cambria Math"/>
              </w:rPr>
              <m:t>BW</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r>
                      <w:rPr>
                        <w:rFonts w:ascii="Cambria Math" w:hAnsi="Cambria Math"/>
                      </w:rPr>
                      <m:t xml:space="preserve"> TDD Channel BW –(k× GB(subband))</m:t>
                    </m:r>
                  </m:e>
                </m:d>
              </m:num>
              <m:den>
                <m:r>
                  <w:rPr>
                    <w:rFonts w:ascii="Cambria Math" w:hAnsi="Cambria Math"/>
                  </w:rPr>
                  <m:t>n</m:t>
                </m:r>
              </m:den>
            </m:f>
          </m:e>
        </m:d>
      </m:oMath>
      <w:r w:rsidR="004158D1">
        <w:t xml:space="preserve">            </w:t>
      </w:r>
    </w:p>
    <w:p w14:paraId="01207D44" w14:textId="77777777" w:rsidR="00845542" w:rsidRPr="004368DC" w:rsidRDefault="00845542" w:rsidP="00845542">
      <w:r w:rsidRPr="004368DC">
        <w:t xml:space="preserve">Where </w:t>
      </w:r>
    </w:p>
    <w:p w14:paraId="567247A2" w14:textId="77777777" w:rsidR="00845542" w:rsidRDefault="00845542" w:rsidP="00845542">
      <m:oMath>
        <m:r>
          <w:rPr>
            <w:rFonts w:ascii="Cambria Math" w:hAnsi="Cambria Math"/>
          </w:rPr>
          <m:t>TDD</m:t>
        </m:r>
        <m:r>
          <m:rPr>
            <m:sty m:val="p"/>
          </m:rPr>
          <w:rPr>
            <w:rFonts w:ascii="Cambria Math" w:hAnsi="Cambria Math"/>
          </w:rPr>
          <m:t xml:space="preserve"> </m:t>
        </m:r>
        <m:r>
          <w:rPr>
            <w:rFonts w:ascii="Cambria Math" w:hAnsi="Cambria Math"/>
          </w:rPr>
          <m:t>Channel</m:t>
        </m:r>
        <m:r>
          <m:rPr>
            <m:sty m:val="p"/>
          </m:rPr>
          <w:rPr>
            <w:rFonts w:ascii="Cambria Math" w:hAnsi="Cambria Math"/>
          </w:rPr>
          <m:t xml:space="preserve"> </m:t>
        </m:r>
        <m:r>
          <w:rPr>
            <w:rFonts w:ascii="Cambria Math" w:hAnsi="Cambria Math"/>
          </w:rPr>
          <m:t>BW</m:t>
        </m:r>
      </m:oMath>
      <w:r w:rsidRPr="004368DC">
        <w:t xml:space="preserve"> is the NR TDD band channels Bandwidth in which sub-bands are configured, as define in [TS 38.104 clause 5.3.5 Table [5.3.5-1]] for each SCS in FR1 and FR2</w:t>
      </w:r>
    </w:p>
    <w:p w14:paraId="7932F8F3" w14:textId="77777777" w:rsidR="00845542" w:rsidRDefault="00845542" w:rsidP="00845542">
      <m:oMath>
        <m:r>
          <w:rPr>
            <w:rFonts w:ascii="Cambria Math" w:hAnsi="Cambria Math"/>
          </w:rPr>
          <m:t>K</m:t>
        </m:r>
      </m:oMath>
      <w:r>
        <w:t xml:space="preserve"> is the numbers of Guard bands </w:t>
      </w:r>
    </w:p>
    <w:p w14:paraId="33858B8C" w14:textId="77777777" w:rsidR="00845542" w:rsidRDefault="00845542" w:rsidP="00845542">
      <m:oMath>
        <m:r>
          <w:rPr>
            <w:rFonts w:ascii="Cambria Math" w:hAnsi="Cambria Math"/>
          </w:rPr>
          <m:t>GB</m:t>
        </m:r>
        <m:r>
          <m:rPr>
            <m:sty m:val="p"/>
          </m:rPr>
          <w:rPr>
            <w:rFonts w:ascii="Cambria Math" w:hAnsi="Cambria Math"/>
          </w:rPr>
          <m:t xml:space="preserve"> (</m:t>
        </m:r>
        <m:r>
          <w:rPr>
            <w:rFonts w:ascii="Cambria Math" w:hAnsi="Cambria Math"/>
          </w:rPr>
          <m:t>subband</m:t>
        </m:r>
        <m:r>
          <m:rPr>
            <m:sty m:val="p"/>
          </m:rPr>
          <w:rPr>
            <w:rFonts w:ascii="Cambria Math" w:hAnsi="Cambria Math"/>
          </w:rPr>
          <m:t>)</m:t>
        </m:r>
      </m:oMath>
      <w:r w:rsidR="00870C98">
        <w:t xml:space="preserve"> r</w:t>
      </w:r>
      <w:r>
        <w:t>epresent the bandwidth of Guard bands defined for sub-bands</w:t>
      </w:r>
    </w:p>
    <w:p w14:paraId="25474AB5" w14:textId="77777777" w:rsidR="00845542" w:rsidRDefault="00845542" w:rsidP="00CB29F4">
      <m:oMath>
        <m:r>
          <w:rPr>
            <w:rFonts w:ascii="Cambria Math" w:hAnsi="Cambria Math"/>
          </w:rPr>
          <m:t>n</m:t>
        </m:r>
      </m:oMath>
      <w:r w:rsidR="00870C98">
        <w:t xml:space="preserve"> i</w:t>
      </w:r>
      <w:r w:rsidRPr="003C4955">
        <w:t xml:space="preserve">s the total number of sub-bands in a conventional TDD bands </w:t>
      </w:r>
    </w:p>
    <w:p w14:paraId="3B09DB38" w14:textId="6F51A6FF" w:rsidR="00735504" w:rsidRDefault="0014357D" w:rsidP="00735504">
      <w:r w:rsidRPr="0014357D">
        <w:t xml:space="preserve">Regarding the number of sub-bands in a TDD </w:t>
      </w:r>
      <w:r w:rsidR="000A4292" w:rsidRPr="0014357D">
        <w:t>band,</w:t>
      </w:r>
      <w:r w:rsidRPr="0014357D">
        <w:t xml:space="preserve"> </w:t>
      </w:r>
      <w:r w:rsidR="00735504">
        <w:t>a configurable number</w:t>
      </w:r>
      <w:r w:rsidR="00F9482A">
        <w:t>s</w:t>
      </w:r>
      <w:r w:rsidR="00735504">
        <w:t xml:space="preserve"> of sub-band</w:t>
      </w:r>
      <w:r w:rsidR="00F9482A">
        <w:t>s</w:t>
      </w:r>
      <w:r>
        <w:t xml:space="preserve"> </w:t>
      </w:r>
      <w:r w:rsidR="00CB29F4">
        <w:t xml:space="preserve">with a defined </w:t>
      </w:r>
      <w:r w:rsidR="00735504">
        <w:t>minimum and maximum</w:t>
      </w:r>
      <w:r w:rsidR="00870C98">
        <w:t xml:space="preserve"> number’s</w:t>
      </w:r>
      <w:r w:rsidR="00735504">
        <w:t xml:space="preserve"> range in a TDD band</w:t>
      </w:r>
      <w:r w:rsidR="00870C98">
        <w:t xml:space="preserve"> can be consider</w:t>
      </w:r>
      <w:r w:rsidR="00735504">
        <w:t xml:space="preserve">. </w:t>
      </w:r>
      <w:r w:rsidR="00735504" w:rsidRPr="004368DC">
        <w:t xml:space="preserve">For minimum </w:t>
      </w:r>
      <w:r w:rsidR="00CB29F4">
        <w:t>number</w:t>
      </w:r>
      <w:r w:rsidR="00591688">
        <w:t xml:space="preserve"> of</w:t>
      </w:r>
      <w:r w:rsidR="00CB29F4">
        <w:t xml:space="preserve"> </w:t>
      </w:r>
      <w:r w:rsidR="00735504" w:rsidRPr="004368DC">
        <w:t xml:space="preserve">sub-bands </w:t>
      </w:r>
      <w:r w:rsidR="00F9482A">
        <w:t>with</w:t>
      </w:r>
      <w:r w:rsidR="00CB29F4">
        <w:t xml:space="preserve">in a TDD band, </w:t>
      </w:r>
      <w:r w:rsidR="00735504" w:rsidRPr="004368DC">
        <w:t xml:space="preserve">it is a matter of common understanding </w:t>
      </w:r>
      <w:r w:rsidRPr="004368DC">
        <w:t>that,</w:t>
      </w:r>
      <w:r w:rsidR="00735504" w:rsidRPr="004368DC">
        <w:t xml:space="preserve"> at-least 2 s</w:t>
      </w:r>
      <w:r w:rsidR="00870C98">
        <w:t>ub-bands are necessary to consider</w:t>
      </w:r>
      <w:r w:rsidR="00735504">
        <w:t xml:space="preserve">, </w:t>
      </w:r>
      <w:r w:rsidR="00124A70">
        <w:t>=</w:t>
      </w:r>
      <w:r w:rsidR="00124A70">
        <w:t xml:space="preserve"> </w:t>
      </w:r>
      <w:r w:rsidR="00735504">
        <w:t>one of the</w:t>
      </w:r>
      <w:r w:rsidR="00124A70">
        <w:t>se</w:t>
      </w:r>
      <w:r w:rsidR="00735504">
        <w:t xml:space="preserve"> sub-band in DL, UL or flexible slot</w:t>
      </w:r>
      <w:r w:rsidR="00591688">
        <w:t>s/symbols</w:t>
      </w:r>
      <w:r w:rsidR="00735504">
        <w:t xml:space="preserve"> can be </w:t>
      </w:r>
      <w:r w:rsidR="00591688">
        <w:t xml:space="preserve">used </w:t>
      </w:r>
      <w:r w:rsidR="00735504">
        <w:t>in opposite transmission direction. For maximum number of a sub-band</w:t>
      </w:r>
      <w:r w:rsidR="00591688">
        <w:t xml:space="preserve"> within a TDD band</w:t>
      </w:r>
      <w:r w:rsidR="00735504">
        <w:t xml:space="preserve">, </w:t>
      </w:r>
      <w:r w:rsidR="006B3A29">
        <w:t xml:space="preserve">a maximum limit </w:t>
      </w:r>
      <w:r w:rsidR="00870C98">
        <w:t xml:space="preserve">of sub-band’s number </w:t>
      </w:r>
      <w:r w:rsidR="006B3A29">
        <w:t>may require</w:t>
      </w:r>
      <w:r w:rsidR="00870C98">
        <w:t>s</w:t>
      </w:r>
      <w:r w:rsidR="006B3A29">
        <w:t xml:space="preserve"> further study. </w:t>
      </w:r>
      <w:r w:rsidR="00591688">
        <w:t xml:space="preserve"> </w:t>
      </w:r>
    </w:p>
    <w:p w14:paraId="042BC88B" w14:textId="77777777" w:rsidR="00495F26" w:rsidRDefault="00CB29F4" w:rsidP="00735504">
      <w:pPr>
        <w:rPr>
          <w:b/>
        </w:rPr>
      </w:pPr>
      <w:r w:rsidRPr="00CB29F4">
        <w:rPr>
          <w:b/>
        </w:rPr>
        <w:t>Proposal</w:t>
      </w:r>
      <w:r w:rsidR="00B31C2F">
        <w:rPr>
          <w:b/>
        </w:rPr>
        <w:t xml:space="preserve"> 2</w:t>
      </w:r>
      <w:r w:rsidRPr="00CB29F4">
        <w:rPr>
          <w:b/>
        </w:rPr>
        <w:t xml:space="preserve">: </w:t>
      </w:r>
      <w:r w:rsidR="00E35F53">
        <w:rPr>
          <w:b/>
        </w:rPr>
        <w:t>Consider</w:t>
      </w:r>
      <w:r w:rsidR="003B7D39">
        <w:rPr>
          <w:b/>
        </w:rPr>
        <w:t xml:space="preserve"> a </w:t>
      </w:r>
      <w:r w:rsidRPr="00CB29F4">
        <w:rPr>
          <w:b/>
        </w:rPr>
        <w:t xml:space="preserve">configurable bandwidth </w:t>
      </w:r>
      <w:r w:rsidR="00495F26">
        <w:rPr>
          <w:b/>
        </w:rPr>
        <w:t xml:space="preserve">of DL and UL sub-bands. </w:t>
      </w:r>
    </w:p>
    <w:p w14:paraId="1EB91DC4" w14:textId="77777777" w:rsidR="00735504" w:rsidRPr="00CB29F4" w:rsidRDefault="00495F26" w:rsidP="00735504">
      <w:pPr>
        <w:rPr>
          <w:b/>
        </w:rPr>
      </w:pPr>
      <w:r>
        <w:rPr>
          <w:b/>
        </w:rPr>
        <w:t xml:space="preserve">Proposal 3: </w:t>
      </w:r>
      <w:r w:rsidR="00E35F53">
        <w:rPr>
          <w:b/>
        </w:rPr>
        <w:t>Consider</w:t>
      </w:r>
      <w:r>
        <w:rPr>
          <w:b/>
        </w:rPr>
        <w:t xml:space="preserve"> a</w:t>
      </w:r>
      <w:r w:rsidR="00CB29F4" w:rsidRPr="00CB29F4">
        <w:rPr>
          <w:b/>
        </w:rPr>
        <w:t xml:space="preserve"> defin</w:t>
      </w:r>
      <w:r w:rsidR="003B7D39">
        <w:rPr>
          <w:b/>
        </w:rPr>
        <w:t>ed</w:t>
      </w:r>
      <w:r w:rsidR="00CB29F4" w:rsidRPr="00CB29F4">
        <w:rPr>
          <w:b/>
        </w:rPr>
        <w:t xml:space="preserve"> minimum and maximum range of number</w:t>
      </w:r>
      <w:r w:rsidR="003B7D39">
        <w:rPr>
          <w:b/>
        </w:rPr>
        <w:t>s</w:t>
      </w:r>
      <w:r w:rsidR="00CB29F4" w:rsidRPr="00CB29F4">
        <w:rPr>
          <w:b/>
        </w:rPr>
        <w:t xml:space="preserve"> of sub-bands within a TDD band. </w:t>
      </w:r>
    </w:p>
    <w:p w14:paraId="3EB7B48E" w14:textId="77777777" w:rsidR="00864483" w:rsidRDefault="00265624" w:rsidP="00864483">
      <w:pPr>
        <w:pStyle w:val="Heading2"/>
      </w:pPr>
      <w:r>
        <w:t>Allocation of time/frequency resources to DL/UL sub-bands</w:t>
      </w:r>
      <w:r w:rsidR="00864483">
        <w:t xml:space="preserve"> </w:t>
      </w:r>
    </w:p>
    <w:p w14:paraId="289688F3" w14:textId="2A8080DF" w:rsidR="00735504" w:rsidRDefault="000A4292" w:rsidP="00735504">
      <w:r>
        <w:t xml:space="preserve">Regarding </w:t>
      </w:r>
      <w:r w:rsidR="00870522">
        <w:t xml:space="preserve">the </w:t>
      </w:r>
      <w:r>
        <w:t>frequency resources allocations to the DL/UL sub-bands</w:t>
      </w:r>
      <w:r w:rsidR="001905BB">
        <w:t xml:space="preserve">, </w:t>
      </w:r>
      <w:r w:rsidR="00870522">
        <w:t xml:space="preserve">there are two possible options. </w:t>
      </w:r>
      <w:r w:rsidR="00C16001">
        <w:t>O</w:t>
      </w:r>
      <w:r w:rsidR="00870522">
        <w:t xml:space="preserve">ption 1, </w:t>
      </w:r>
      <w:r w:rsidR="00C16001">
        <w:t xml:space="preserve">is to assume that </w:t>
      </w:r>
      <w:r w:rsidR="00870522">
        <w:t>the</w:t>
      </w:r>
      <w:r>
        <w:t xml:space="preserve"> inner part of the carrier</w:t>
      </w:r>
      <w:r w:rsidR="00782CEF">
        <w:t>s</w:t>
      </w:r>
      <w:r w:rsidR="00AD418B">
        <w:t xml:space="preserve"> of a TDD</w:t>
      </w:r>
      <w:r>
        <w:t xml:space="preserve"> </w:t>
      </w:r>
      <w:r w:rsidR="00CF1EEA">
        <w:t xml:space="preserve">can be allocated </w:t>
      </w:r>
      <w:r>
        <w:t xml:space="preserve">for an opposite </w:t>
      </w:r>
      <w:r w:rsidR="00AD418B">
        <w:t>direction sub-band</w:t>
      </w:r>
      <w:r w:rsidR="00870522">
        <w:t xml:space="preserve">. </w:t>
      </w:r>
      <w:r>
        <w:t>For instance</w:t>
      </w:r>
      <w:r w:rsidR="00E7694C">
        <w:t>, the</w:t>
      </w:r>
      <w:r w:rsidR="00735504">
        <w:t xml:space="preserve"> frequency location of an </w:t>
      </w:r>
      <w:r w:rsidR="00735504" w:rsidRPr="004368DC">
        <w:t>UL sub-band in DL slots/</w:t>
      </w:r>
      <w:r w:rsidR="00735504">
        <w:t xml:space="preserve">symbols </w:t>
      </w:r>
      <w:r w:rsidR="00AD418B">
        <w:t xml:space="preserve">may </w:t>
      </w:r>
      <w:r w:rsidR="001905BB">
        <w:t xml:space="preserve">located </w:t>
      </w:r>
      <w:r w:rsidR="00735504">
        <w:t>in the inner part of carriers or the inner RBs between the two DL sub-bands</w:t>
      </w:r>
      <w:r w:rsidR="00870522">
        <w:t>,</w:t>
      </w:r>
      <w:r w:rsidR="00E7694C">
        <w:t xml:space="preserve"> </w:t>
      </w:r>
      <w:r w:rsidR="00782CEF">
        <w:t>as shown in Figure 1</w:t>
      </w:r>
      <w:r w:rsidR="00AD418B">
        <w:t xml:space="preserve">. Option 1, </w:t>
      </w:r>
      <w:r w:rsidR="00E7694C">
        <w:t xml:space="preserve">have the advantage </w:t>
      </w:r>
      <w:r w:rsidR="00735504">
        <w:t xml:space="preserve">to avoid the CLI from the adjacent </w:t>
      </w:r>
      <w:r w:rsidR="001905BB">
        <w:t>gNBs, which</w:t>
      </w:r>
      <w:r w:rsidR="00735504">
        <w:t xml:space="preserve"> are using the same TDD bands </w:t>
      </w:r>
      <w:r w:rsidR="009C4788">
        <w:t>in different direction</w:t>
      </w:r>
      <w:r w:rsidR="00AD418B">
        <w:t>.</w:t>
      </w:r>
      <w:r w:rsidR="00A419CF">
        <w:t xml:space="preserve"> However</w:t>
      </w:r>
      <w:r w:rsidR="00AD418B">
        <w:t>, option</w:t>
      </w:r>
      <w:r w:rsidR="009C4788">
        <w:t xml:space="preserve"> 1</w:t>
      </w:r>
      <w:r w:rsidR="00E7694C">
        <w:t xml:space="preserve"> require</w:t>
      </w:r>
      <w:r w:rsidR="00870522">
        <w:t>s</w:t>
      </w:r>
      <w:r w:rsidR="00E7694C">
        <w:t xml:space="preserve"> at</w:t>
      </w:r>
      <w:r w:rsidR="00735504">
        <w:t xml:space="preserve"> least three sub-bands and two guard bands in order to allocate the inner sub-band for UL direction</w:t>
      </w:r>
      <w:r w:rsidR="00AD418B">
        <w:t xml:space="preserve"> in DL slots</w:t>
      </w:r>
      <w:r w:rsidR="00735504">
        <w:t>.</w:t>
      </w:r>
      <w:r w:rsidR="00782CEF">
        <w:t xml:space="preserve"> Furthermore, </w:t>
      </w:r>
      <w:r w:rsidR="00870522">
        <w:t xml:space="preserve">option 1 </w:t>
      </w:r>
      <w:r w:rsidR="001905BB">
        <w:t xml:space="preserve">may also increase the gNB </w:t>
      </w:r>
      <w:r w:rsidR="00782CEF">
        <w:t>self-interference</w:t>
      </w:r>
      <w:r w:rsidR="001905BB">
        <w:t xml:space="preserve"> as explained in section 4.1.</w:t>
      </w:r>
    </w:p>
    <w:p w14:paraId="32109231" w14:textId="1EDCA4C9" w:rsidR="00870522" w:rsidRDefault="00C16001" w:rsidP="00870522">
      <w:r>
        <w:t>O</w:t>
      </w:r>
      <w:r w:rsidR="00870522">
        <w:t>ption 2,</w:t>
      </w:r>
      <w:r w:rsidRPr="00C16001">
        <w:t xml:space="preserve"> </w:t>
      </w:r>
      <w:r>
        <w:t>is to assume that</w:t>
      </w:r>
      <w:r w:rsidR="00870522">
        <w:t xml:space="preserve"> </w:t>
      </w:r>
      <w:r w:rsidR="00120982">
        <w:t>t</w:t>
      </w:r>
      <w:r w:rsidR="000A4292">
        <w:t>he frequency location of an UL sub-band</w:t>
      </w:r>
      <w:r w:rsidR="00870522">
        <w:t>s</w:t>
      </w:r>
      <w:r w:rsidR="000A4292">
        <w:t xml:space="preserve"> in DL slots/symbols</w:t>
      </w:r>
      <w:r w:rsidR="009C4788">
        <w:t xml:space="preserve"> </w:t>
      </w:r>
      <w:r w:rsidR="00A419CF">
        <w:t xml:space="preserve">are </w:t>
      </w:r>
      <w:r w:rsidR="00AD418B">
        <w:t xml:space="preserve">located </w:t>
      </w:r>
      <w:r w:rsidR="000A4292">
        <w:t>in the edge RBs or the outer carrier of a TDD band</w:t>
      </w:r>
      <w:r w:rsidR="00AA57A7">
        <w:t>, as shown in Figure 2a and 2b</w:t>
      </w:r>
      <w:r w:rsidR="000A4292">
        <w:t>.</w:t>
      </w:r>
      <w:r w:rsidR="00AA57A7">
        <w:t xml:space="preserve"> In </w:t>
      </w:r>
      <w:r w:rsidR="000A4292">
        <w:t>option 2</w:t>
      </w:r>
      <w:r w:rsidR="00AA57A7">
        <w:t>,</w:t>
      </w:r>
      <w:r w:rsidR="000A4292">
        <w:t xml:space="preserve"> it is also possible to consider only two sub-bands in a TDD band</w:t>
      </w:r>
      <w:r w:rsidR="00870522">
        <w:t xml:space="preserve"> as shown in Figure 3a and 3b</w:t>
      </w:r>
      <w:r w:rsidR="000A4292">
        <w:t xml:space="preserve">. </w:t>
      </w:r>
      <w:r w:rsidR="009C4788">
        <w:t xml:space="preserve">Option </w:t>
      </w:r>
      <w:r w:rsidR="00870522" w:rsidRPr="004368DC">
        <w:t xml:space="preserve">2 </w:t>
      </w:r>
      <w:r w:rsidR="009C4788">
        <w:t>have the advantage over option 1,</w:t>
      </w:r>
      <w:r w:rsidR="00AD418B">
        <w:t xml:space="preserve"> in terms of gNB </w:t>
      </w:r>
      <w:r w:rsidR="000E62E2">
        <w:t xml:space="preserve">flexibility </w:t>
      </w:r>
      <w:r w:rsidR="000E62E2" w:rsidRPr="004368DC">
        <w:t>to</w:t>
      </w:r>
      <w:r w:rsidR="000E62E2">
        <w:t xml:space="preserve"> </w:t>
      </w:r>
      <w:r w:rsidR="00870522" w:rsidRPr="004368DC">
        <w:t xml:space="preserve">define </w:t>
      </w:r>
      <w:r w:rsidR="000E62E2">
        <w:t xml:space="preserve">a flexible </w:t>
      </w:r>
      <w:r w:rsidR="00870522" w:rsidRPr="004368DC">
        <w:t>number</w:t>
      </w:r>
      <w:r w:rsidR="000E62E2">
        <w:t>s of sub-bands, e.g</w:t>
      </w:r>
      <w:r w:rsidR="00870522" w:rsidRPr="004368DC">
        <w:t>. either two</w:t>
      </w:r>
      <w:r w:rsidR="000E62E2">
        <w:t xml:space="preserve"> sub-bands</w:t>
      </w:r>
      <w:r w:rsidR="00870522" w:rsidRPr="004368DC">
        <w:t xml:space="preserve"> or three</w:t>
      </w:r>
      <w:r w:rsidR="000E62E2">
        <w:t xml:space="preserve"> sub-bands</w:t>
      </w:r>
      <w:r w:rsidR="00870522" w:rsidRPr="004368DC">
        <w:t xml:space="preserve">. In </w:t>
      </w:r>
      <w:r w:rsidR="00AA57A7" w:rsidRPr="004368DC">
        <w:t>addition,</w:t>
      </w:r>
      <w:r w:rsidR="00870522" w:rsidRPr="004368DC">
        <w:t xml:space="preserve"> in option 2, o</w:t>
      </w:r>
      <w:r w:rsidR="009C4788">
        <w:t>nly one guard band is required</w:t>
      </w:r>
      <w:r w:rsidR="00870522" w:rsidRPr="004368DC">
        <w:t xml:space="preserve"> to separate the </w:t>
      </w:r>
      <w:r w:rsidR="00870522" w:rsidRPr="004368DC">
        <w:lastRenderedPageBreak/>
        <w:t xml:space="preserve">UL </w:t>
      </w:r>
      <w:r w:rsidR="009C4788">
        <w:t>sub-band</w:t>
      </w:r>
      <w:r w:rsidR="00870522" w:rsidRPr="004368DC">
        <w:t xml:space="preserve"> from</w:t>
      </w:r>
      <w:r w:rsidR="009C4788">
        <w:t xml:space="preserve"> the</w:t>
      </w:r>
      <w:r w:rsidR="00870522" w:rsidRPr="004368DC">
        <w:t xml:space="preserve"> DL sub-bands, and thus it can efficiently utilize the frequency resources</w:t>
      </w:r>
      <w:r w:rsidR="00870522">
        <w:t xml:space="preserve">. </w:t>
      </w:r>
      <w:r w:rsidR="00AA57A7">
        <w:t>Furthermore</w:t>
      </w:r>
      <w:r w:rsidR="009C4788">
        <w:t>,</w:t>
      </w:r>
      <w:r w:rsidR="00AA57A7">
        <w:t xml:space="preserve"> option 2, may also reduce the gNB </w:t>
      </w:r>
      <w:r w:rsidR="00CF1EEA">
        <w:t>self-interference</w:t>
      </w:r>
      <w:r w:rsidR="00AA57A7">
        <w:t xml:space="preserve"> as explained in section 4.1. </w:t>
      </w:r>
    </w:p>
    <w:p w14:paraId="40C53951" w14:textId="77777777" w:rsidR="00735504" w:rsidRDefault="00735504" w:rsidP="00735504"/>
    <w:p w14:paraId="6934B842" w14:textId="77777777" w:rsidR="00735504" w:rsidRDefault="00CD6D73" w:rsidP="00735504">
      <w:pPr>
        <w:keepNext/>
        <w:jc w:val="center"/>
      </w:pPr>
      <w:r>
        <w:object w:dxaOrig="4780" w:dyaOrig="2940" w14:anchorId="7E169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1pt;height:122.5pt" o:ole="">
            <v:imagedata r:id="rId9" o:title=""/>
          </v:shape>
          <o:OLEObject Type="Embed" ProgID="Visio.Drawing.15" ShapeID="_x0000_i1025" DrawAspect="Content" ObjectID="_1721813439" r:id="rId10"/>
        </w:object>
      </w:r>
    </w:p>
    <w:p w14:paraId="268DA208" w14:textId="77777777" w:rsidR="00735504" w:rsidRDefault="00735504" w:rsidP="00CD6D73">
      <w:pPr>
        <w:pStyle w:val="Caption"/>
      </w:pPr>
      <w:r>
        <w:t xml:space="preserve">Figure </w:t>
      </w:r>
      <w:r w:rsidR="008C2D39">
        <w:fldChar w:fldCharType="begin"/>
      </w:r>
      <w:r w:rsidR="008C2D39">
        <w:instrText xml:space="preserve"> SEQ Figure \* ARABIC </w:instrText>
      </w:r>
      <w:r w:rsidR="008C2D39">
        <w:fldChar w:fldCharType="separate"/>
      </w:r>
      <w:r>
        <w:rPr>
          <w:noProof/>
        </w:rPr>
        <w:t>1</w:t>
      </w:r>
      <w:r w:rsidR="008C2D39">
        <w:rPr>
          <w:noProof/>
        </w:rPr>
        <w:fldChar w:fldCharType="end"/>
      </w:r>
      <w:r>
        <w:t xml:space="preserve"> UL sub-band in the inner RBs of the DL slots/symbols</w:t>
      </w:r>
    </w:p>
    <w:p w14:paraId="228DCF85" w14:textId="77777777" w:rsidR="00735504" w:rsidRDefault="00CD6D73" w:rsidP="000733B1">
      <w:pPr>
        <w:keepNext/>
        <w:jc w:val="left"/>
      </w:pPr>
      <w:r>
        <w:object w:dxaOrig="4990" w:dyaOrig="2880" w14:anchorId="44B8D519">
          <v:shape id="_x0000_i1026" type="#_x0000_t75" style="width:209.1pt;height:120.5pt" o:ole="">
            <v:imagedata r:id="rId11" o:title=""/>
          </v:shape>
          <o:OLEObject Type="Embed" ProgID="Visio.Drawing.15" ShapeID="_x0000_i1026" DrawAspect="Content" ObjectID="_1721813440" r:id="rId12"/>
        </w:object>
      </w:r>
      <w:r w:rsidRPr="00CD6D73">
        <w:rPr>
          <w:sz w:val="16"/>
          <w:szCs w:val="16"/>
        </w:rPr>
        <w:object w:dxaOrig="4930" w:dyaOrig="2850" w14:anchorId="01D3F6C7">
          <v:shape id="_x0000_i1027" type="#_x0000_t75" style="width:211.1pt;height:121.9pt" o:ole="">
            <v:imagedata r:id="rId13" o:title=""/>
          </v:shape>
          <o:OLEObject Type="Embed" ProgID="Visio.Drawing.15" ShapeID="_x0000_i1027" DrawAspect="Content" ObjectID="_1721813441" r:id="rId14"/>
        </w:object>
      </w:r>
    </w:p>
    <w:p w14:paraId="355EE727" w14:textId="77777777" w:rsidR="00735504" w:rsidRDefault="00735504" w:rsidP="00CD6D73">
      <w:pPr>
        <w:pStyle w:val="Caption"/>
        <w:jc w:val="left"/>
      </w:pPr>
      <w:r>
        <w:t xml:space="preserve">Figure </w:t>
      </w:r>
      <w:r w:rsidR="008C2D39">
        <w:fldChar w:fldCharType="begin"/>
      </w:r>
      <w:r w:rsidR="008C2D39">
        <w:instrText xml:space="preserve"> SEQ Figure \* ARABIC </w:instrText>
      </w:r>
      <w:r w:rsidR="008C2D39">
        <w:fldChar w:fldCharType="separate"/>
      </w:r>
      <w:r>
        <w:rPr>
          <w:noProof/>
        </w:rPr>
        <w:t>2</w:t>
      </w:r>
      <w:r w:rsidR="008C2D39">
        <w:rPr>
          <w:noProof/>
        </w:rPr>
        <w:fldChar w:fldCharType="end"/>
      </w:r>
      <w:r w:rsidR="002024C7">
        <w:t>a</w:t>
      </w:r>
      <w:r>
        <w:t xml:space="preserve"> UL sub-bands in the </w:t>
      </w:r>
      <w:r w:rsidR="00A419CF">
        <w:t xml:space="preserve">upper edge RBs     </w:t>
      </w:r>
      <w:r w:rsidR="003B5198">
        <w:t xml:space="preserve">            Figure </w:t>
      </w:r>
      <w:r w:rsidR="00FB40A1">
        <w:t>2b</w:t>
      </w:r>
      <w:r w:rsidR="003B5198">
        <w:t xml:space="preserve"> UL sub-b</w:t>
      </w:r>
      <w:r w:rsidR="00A419CF">
        <w:t>ands in the lower edge RBs</w:t>
      </w:r>
      <w:r w:rsidR="003B5198">
        <w:t xml:space="preserve">               </w:t>
      </w:r>
      <w:r w:rsidR="00A419CF">
        <w:t xml:space="preserve">                           </w:t>
      </w:r>
    </w:p>
    <w:p w14:paraId="14D681BC" w14:textId="77777777" w:rsidR="00735504" w:rsidRDefault="00CD6D73" w:rsidP="000733B1">
      <w:pPr>
        <w:keepNext/>
        <w:jc w:val="left"/>
      </w:pPr>
      <w:r>
        <w:object w:dxaOrig="4990" w:dyaOrig="2880" w14:anchorId="3BAEE9D7">
          <v:shape id="_x0000_i1028" type="#_x0000_t75" style="width:209.1pt;height:119.9pt" o:ole="">
            <v:imagedata r:id="rId15" o:title=""/>
          </v:shape>
          <o:OLEObject Type="Embed" ProgID="Visio.Drawing.15" ShapeID="_x0000_i1028" DrawAspect="Content" ObjectID="_1721813442" r:id="rId16"/>
        </w:object>
      </w:r>
      <w:r>
        <w:object w:dxaOrig="4990" w:dyaOrig="2930" w14:anchorId="404DA3C4">
          <v:shape id="_x0000_i1029" type="#_x0000_t75" style="width:210.55pt;height:123.65pt" o:ole="">
            <v:imagedata r:id="rId17" o:title=""/>
          </v:shape>
          <o:OLEObject Type="Embed" ProgID="Visio.Drawing.15" ShapeID="_x0000_i1029" DrawAspect="Content" ObjectID="_1721813443" r:id="rId18"/>
        </w:object>
      </w:r>
    </w:p>
    <w:p w14:paraId="043BD67A" w14:textId="77777777" w:rsidR="00735504" w:rsidRDefault="00735504" w:rsidP="000733B1">
      <w:pPr>
        <w:pStyle w:val="Caption"/>
        <w:jc w:val="both"/>
      </w:pPr>
      <w:r>
        <w:t xml:space="preserve">Figure </w:t>
      </w:r>
      <w:r w:rsidR="00FB40A1">
        <w:t>3a</w:t>
      </w:r>
      <w:r>
        <w:t xml:space="preserve"> Two sub-bands with </w:t>
      </w:r>
      <w:r w:rsidR="007A3232">
        <w:t xml:space="preserve">one UL sub-band          </w:t>
      </w:r>
      <w:r w:rsidR="000733B1">
        <w:t xml:space="preserve">Figure </w:t>
      </w:r>
      <w:r w:rsidR="00FB40A1">
        <w:t>3b</w:t>
      </w:r>
      <w:r w:rsidR="000733B1">
        <w:t xml:space="preserve"> </w:t>
      </w:r>
      <w:r w:rsidR="007A3232">
        <w:t xml:space="preserve">Two sub-bands with one UL </w:t>
      </w:r>
      <w:r w:rsidR="000733B1">
        <w:t>sub-</w:t>
      </w:r>
      <w:r w:rsidR="007A3232">
        <w:t>band</w:t>
      </w:r>
      <w:r w:rsidR="000733B1">
        <w:t xml:space="preserve">                                           </w:t>
      </w:r>
    </w:p>
    <w:p w14:paraId="069FBD3F" w14:textId="77777777" w:rsidR="00120982" w:rsidRDefault="00120982" w:rsidP="00120982">
      <w:pPr>
        <w:keepNext/>
        <w:jc w:val="center"/>
      </w:pPr>
    </w:p>
    <w:p w14:paraId="392BD2D5" w14:textId="77777777" w:rsidR="00AC3396" w:rsidRDefault="00120982" w:rsidP="00120982">
      <w:pPr>
        <w:keepNext/>
        <w:jc w:val="left"/>
        <w:rPr>
          <w:b/>
          <w:i/>
        </w:rPr>
      </w:pPr>
      <w:r w:rsidRPr="00120982">
        <w:rPr>
          <w:b/>
          <w:i/>
        </w:rPr>
        <w:t>Observation 1: Allocation of frequency resources</w:t>
      </w:r>
      <w:r w:rsidR="00AC3396">
        <w:rPr>
          <w:b/>
          <w:i/>
        </w:rPr>
        <w:t xml:space="preserve"> to a sub-band</w:t>
      </w:r>
      <w:r w:rsidRPr="00120982">
        <w:rPr>
          <w:b/>
          <w:i/>
        </w:rPr>
        <w:t xml:space="preserve"> in the inner RBs</w:t>
      </w:r>
      <w:r w:rsidR="00AC3396">
        <w:rPr>
          <w:b/>
          <w:i/>
        </w:rPr>
        <w:t xml:space="preserve"> or inner carrier of a TDD band</w:t>
      </w:r>
      <w:r w:rsidR="00E3373D">
        <w:rPr>
          <w:b/>
          <w:i/>
        </w:rPr>
        <w:t xml:space="preserve"> may</w:t>
      </w:r>
      <w:r w:rsidR="005D6E61">
        <w:rPr>
          <w:b/>
          <w:i/>
        </w:rPr>
        <w:t>;</w:t>
      </w:r>
    </w:p>
    <w:p w14:paraId="61441104" w14:textId="77777777" w:rsidR="00AC3396" w:rsidRPr="00AC3396" w:rsidRDefault="00AC3396" w:rsidP="00AC3396">
      <w:pPr>
        <w:pStyle w:val="ListParagraph"/>
        <w:keepNext/>
        <w:numPr>
          <w:ilvl w:val="0"/>
          <w:numId w:val="19"/>
        </w:numPr>
        <w:rPr>
          <w:rFonts w:ascii="Times New Roman" w:hAnsi="Times New Roman"/>
          <w:b/>
          <w:i/>
          <w:sz w:val="22"/>
          <w:szCs w:val="22"/>
        </w:rPr>
      </w:pPr>
      <w:r w:rsidRPr="00AC3396">
        <w:rPr>
          <w:rFonts w:ascii="Times New Roman" w:hAnsi="Times New Roman"/>
          <w:b/>
          <w:i/>
          <w:sz w:val="22"/>
          <w:szCs w:val="22"/>
        </w:rPr>
        <w:t>R</w:t>
      </w:r>
      <w:r w:rsidR="00AA57A7" w:rsidRPr="00AC3396">
        <w:rPr>
          <w:rFonts w:ascii="Times New Roman" w:hAnsi="Times New Roman"/>
          <w:b/>
          <w:i/>
          <w:sz w:val="22"/>
          <w:szCs w:val="22"/>
        </w:rPr>
        <w:t>educe</w:t>
      </w:r>
      <w:r w:rsidR="00E3373D">
        <w:rPr>
          <w:rFonts w:ascii="Times New Roman" w:hAnsi="Times New Roman"/>
          <w:b/>
          <w:i/>
          <w:sz w:val="22"/>
          <w:szCs w:val="22"/>
        </w:rPr>
        <w:t>s</w:t>
      </w:r>
      <w:r w:rsidR="00AA57A7" w:rsidRPr="00AC3396">
        <w:rPr>
          <w:rFonts w:ascii="Times New Roman" w:hAnsi="Times New Roman"/>
          <w:b/>
          <w:i/>
          <w:sz w:val="22"/>
          <w:szCs w:val="22"/>
        </w:rPr>
        <w:t xml:space="preserve"> the interference from the adjacent</w:t>
      </w:r>
      <w:r w:rsidR="005D6E61">
        <w:rPr>
          <w:rFonts w:ascii="Times New Roman" w:hAnsi="Times New Roman"/>
          <w:b/>
          <w:i/>
          <w:sz w:val="22"/>
          <w:szCs w:val="22"/>
        </w:rPr>
        <w:t xml:space="preserve"> gNB but it may increase the gNB self-interference </w:t>
      </w:r>
    </w:p>
    <w:p w14:paraId="0B4DA5EA" w14:textId="77777777" w:rsidR="00AC3396" w:rsidRPr="00AC3396" w:rsidRDefault="008F0C91" w:rsidP="00AC3396">
      <w:pPr>
        <w:pStyle w:val="ListParagraph"/>
        <w:keepNext/>
        <w:numPr>
          <w:ilvl w:val="0"/>
          <w:numId w:val="19"/>
        </w:numPr>
        <w:rPr>
          <w:rFonts w:ascii="Times New Roman" w:hAnsi="Times New Roman"/>
          <w:b/>
          <w:i/>
          <w:sz w:val="22"/>
          <w:szCs w:val="22"/>
        </w:rPr>
      </w:pPr>
      <w:r>
        <w:rPr>
          <w:rFonts w:ascii="Times New Roman" w:hAnsi="Times New Roman"/>
          <w:b/>
          <w:i/>
          <w:sz w:val="22"/>
          <w:szCs w:val="22"/>
        </w:rPr>
        <w:t>Requires</w:t>
      </w:r>
      <w:r w:rsidR="00AC3396" w:rsidRPr="00AC3396">
        <w:rPr>
          <w:rFonts w:ascii="Times New Roman" w:hAnsi="Times New Roman"/>
          <w:b/>
          <w:i/>
          <w:sz w:val="22"/>
          <w:szCs w:val="22"/>
        </w:rPr>
        <w:t xml:space="preserve"> at least three sub-bands within a TDD band</w:t>
      </w:r>
    </w:p>
    <w:p w14:paraId="3CE2C538" w14:textId="77777777" w:rsidR="00120982" w:rsidRDefault="008F0C91" w:rsidP="00AC3396">
      <w:pPr>
        <w:pStyle w:val="ListParagraph"/>
        <w:keepNext/>
        <w:numPr>
          <w:ilvl w:val="0"/>
          <w:numId w:val="19"/>
        </w:numPr>
        <w:rPr>
          <w:rFonts w:ascii="Times New Roman" w:hAnsi="Times New Roman"/>
          <w:b/>
          <w:i/>
          <w:sz w:val="22"/>
          <w:szCs w:val="22"/>
        </w:rPr>
      </w:pPr>
      <w:r>
        <w:rPr>
          <w:rFonts w:ascii="Times New Roman" w:hAnsi="Times New Roman"/>
          <w:b/>
          <w:i/>
          <w:sz w:val="22"/>
          <w:szCs w:val="22"/>
        </w:rPr>
        <w:t xml:space="preserve">Requires </w:t>
      </w:r>
      <w:r w:rsidR="00AC3396" w:rsidRPr="00AC3396">
        <w:rPr>
          <w:rFonts w:ascii="Times New Roman" w:hAnsi="Times New Roman"/>
          <w:b/>
          <w:i/>
          <w:sz w:val="22"/>
          <w:szCs w:val="22"/>
        </w:rPr>
        <w:t xml:space="preserve">two guard bands to separate the opposite direction sub-bands. </w:t>
      </w:r>
      <w:r w:rsidR="00120982" w:rsidRPr="00AC3396">
        <w:rPr>
          <w:rFonts w:ascii="Times New Roman" w:hAnsi="Times New Roman"/>
          <w:b/>
          <w:i/>
          <w:sz w:val="22"/>
          <w:szCs w:val="22"/>
        </w:rPr>
        <w:t xml:space="preserve"> </w:t>
      </w:r>
    </w:p>
    <w:p w14:paraId="62B4CC8F" w14:textId="77777777" w:rsidR="00AC3396" w:rsidRPr="00AC3396" w:rsidRDefault="00AC3396" w:rsidP="005D6E61">
      <w:pPr>
        <w:pStyle w:val="ListParagraph"/>
        <w:keepNext/>
        <w:ind w:left="720" w:firstLine="0"/>
        <w:rPr>
          <w:rFonts w:ascii="Times New Roman" w:hAnsi="Times New Roman"/>
          <w:b/>
          <w:i/>
          <w:sz w:val="22"/>
          <w:szCs w:val="22"/>
        </w:rPr>
      </w:pPr>
    </w:p>
    <w:p w14:paraId="4D187446" w14:textId="77777777" w:rsidR="00AC3396" w:rsidRDefault="009C4788" w:rsidP="009C4788">
      <w:pPr>
        <w:keepNext/>
        <w:jc w:val="left"/>
        <w:rPr>
          <w:b/>
          <w:i/>
        </w:rPr>
      </w:pPr>
      <w:r w:rsidRPr="00120982">
        <w:rPr>
          <w:b/>
          <w:i/>
        </w:rPr>
        <w:t xml:space="preserve">Observation </w:t>
      </w:r>
      <w:r>
        <w:rPr>
          <w:b/>
          <w:i/>
        </w:rPr>
        <w:t>2</w:t>
      </w:r>
      <w:r w:rsidRPr="00120982">
        <w:rPr>
          <w:b/>
          <w:i/>
        </w:rPr>
        <w:t xml:space="preserve">: Allocation of frequency resources </w:t>
      </w:r>
      <w:r w:rsidR="00AC3396">
        <w:rPr>
          <w:b/>
          <w:i/>
        </w:rPr>
        <w:t xml:space="preserve">to a sub-band </w:t>
      </w:r>
      <w:r w:rsidRPr="00120982">
        <w:rPr>
          <w:b/>
          <w:i/>
        </w:rPr>
        <w:t xml:space="preserve">in the </w:t>
      </w:r>
      <w:r>
        <w:rPr>
          <w:b/>
          <w:i/>
        </w:rPr>
        <w:t>outer</w:t>
      </w:r>
      <w:r w:rsidRPr="00120982">
        <w:rPr>
          <w:b/>
          <w:i/>
        </w:rPr>
        <w:t xml:space="preserve"> RBs or </w:t>
      </w:r>
      <w:r>
        <w:rPr>
          <w:b/>
          <w:i/>
        </w:rPr>
        <w:t xml:space="preserve">outer </w:t>
      </w:r>
      <w:r w:rsidRPr="00120982">
        <w:rPr>
          <w:b/>
          <w:i/>
        </w:rPr>
        <w:t xml:space="preserve">carrier of a TDD band </w:t>
      </w:r>
      <w:r w:rsidR="00E3373D">
        <w:rPr>
          <w:b/>
          <w:i/>
        </w:rPr>
        <w:t>may</w:t>
      </w:r>
      <w:r w:rsidR="008F0C91">
        <w:rPr>
          <w:b/>
          <w:i/>
        </w:rPr>
        <w:t>;</w:t>
      </w:r>
    </w:p>
    <w:p w14:paraId="3E31719A" w14:textId="77777777" w:rsidR="00AC3396" w:rsidRPr="005D6E61" w:rsidRDefault="00E3373D" w:rsidP="005D6E61">
      <w:pPr>
        <w:pStyle w:val="ListParagraph"/>
        <w:keepNext/>
        <w:numPr>
          <w:ilvl w:val="0"/>
          <w:numId w:val="19"/>
        </w:numPr>
        <w:rPr>
          <w:rFonts w:ascii="Times New Roman" w:hAnsi="Times New Roman"/>
          <w:b/>
          <w:i/>
          <w:sz w:val="22"/>
          <w:szCs w:val="22"/>
        </w:rPr>
      </w:pPr>
      <w:r>
        <w:rPr>
          <w:rFonts w:ascii="Times New Roman" w:hAnsi="Times New Roman"/>
          <w:b/>
          <w:i/>
          <w:sz w:val="22"/>
          <w:szCs w:val="22"/>
        </w:rPr>
        <w:t xml:space="preserve">Increase </w:t>
      </w:r>
      <w:r w:rsidR="00AC3396" w:rsidRPr="005D6E61">
        <w:rPr>
          <w:rFonts w:ascii="Times New Roman" w:hAnsi="Times New Roman"/>
          <w:b/>
          <w:i/>
          <w:sz w:val="22"/>
          <w:szCs w:val="22"/>
        </w:rPr>
        <w:t>the interference from the adjacent gNB</w:t>
      </w:r>
      <w:r w:rsidR="00D95805">
        <w:rPr>
          <w:rFonts w:ascii="Times New Roman" w:hAnsi="Times New Roman"/>
          <w:b/>
          <w:i/>
          <w:sz w:val="22"/>
          <w:szCs w:val="22"/>
        </w:rPr>
        <w:t xml:space="preserve"> but </w:t>
      </w:r>
      <w:r w:rsidR="005D6E61" w:rsidRPr="005D6E61">
        <w:rPr>
          <w:rFonts w:ascii="Times New Roman" w:hAnsi="Times New Roman"/>
          <w:b/>
          <w:i/>
          <w:sz w:val="22"/>
          <w:szCs w:val="22"/>
        </w:rPr>
        <w:t xml:space="preserve">reduces the gNB self-interference </w:t>
      </w:r>
    </w:p>
    <w:p w14:paraId="09E0086D" w14:textId="77777777" w:rsidR="00AC3396" w:rsidRPr="005D6E61" w:rsidRDefault="0072040B" w:rsidP="005D6E61">
      <w:pPr>
        <w:pStyle w:val="ListParagraph"/>
        <w:keepNext/>
        <w:numPr>
          <w:ilvl w:val="0"/>
          <w:numId w:val="19"/>
        </w:numPr>
        <w:rPr>
          <w:rFonts w:ascii="Times New Roman" w:hAnsi="Times New Roman"/>
          <w:b/>
          <w:i/>
          <w:sz w:val="22"/>
          <w:szCs w:val="22"/>
        </w:rPr>
      </w:pPr>
      <w:r>
        <w:rPr>
          <w:rFonts w:ascii="Times New Roman" w:hAnsi="Times New Roman"/>
          <w:b/>
          <w:i/>
          <w:sz w:val="22"/>
          <w:szCs w:val="22"/>
        </w:rPr>
        <w:t>Defines</w:t>
      </w:r>
      <w:r w:rsidR="00D95805">
        <w:rPr>
          <w:rFonts w:ascii="Times New Roman" w:hAnsi="Times New Roman"/>
          <w:b/>
          <w:i/>
          <w:sz w:val="22"/>
          <w:szCs w:val="22"/>
        </w:rPr>
        <w:t xml:space="preserve"> flexible number</w:t>
      </w:r>
      <w:r w:rsidR="008F0C91">
        <w:rPr>
          <w:rFonts w:ascii="Times New Roman" w:hAnsi="Times New Roman"/>
          <w:b/>
          <w:i/>
          <w:sz w:val="22"/>
          <w:szCs w:val="22"/>
        </w:rPr>
        <w:t>s</w:t>
      </w:r>
      <w:r w:rsidR="00D95805">
        <w:rPr>
          <w:rFonts w:ascii="Times New Roman" w:hAnsi="Times New Roman"/>
          <w:b/>
          <w:i/>
          <w:sz w:val="22"/>
          <w:szCs w:val="22"/>
        </w:rPr>
        <w:t xml:space="preserve"> of sub-band</w:t>
      </w:r>
      <w:r w:rsidR="008F0C91">
        <w:rPr>
          <w:rFonts w:ascii="Times New Roman" w:hAnsi="Times New Roman"/>
          <w:b/>
          <w:i/>
          <w:sz w:val="22"/>
          <w:szCs w:val="22"/>
        </w:rPr>
        <w:t>s</w:t>
      </w:r>
      <w:r w:rsidR="00D95805">
        <w:rPr>
          <w:rFonts w:ascii="Times New Roman" w:hAnsi="Times New Roman"/>
          <w:b/>
          <w:i/>
          <w:sz w:val="22"/>
          <w:szCs w:val="22"/>
        </w:rPr>
        <w:t xml:space="preserve"> e.g. either two sub-bands or three sub-bands </w:t>
      </w:r>
    </w:p>
    <w:p w14:paraId="72AFEB27" w14:textId="77777777" w:rsidR="00AC3396" w:rsidRDefault="0072040B" w:rsidP="005D6E61">
      <w:pPr>
        <w:pStyle w:val="ListParagraph"/>
        <w:keepNext/>
        <w:numPr>
          <w:ilvl w:val="0"/>
          <w:numId w:val="19"/>
        </w:numPr>
        <w:rPr>
          <w:rFonts w:ascii="Times New Roman" w:hAnsi="Times New Roman"/>
          <w:b/>
          <w:i/>
          <w:sz w:val="22"/>
          <w:szCs w:val="22"/>
        </w:rPr>
      </w:pPr>
      <w:r>
        <w:rPr>
          <w:rFonts w:ascii="Times New Roman" w:hAnsi="Times New Roman"/>
          <w:b/>
          <w:i/>
          <w:sz w:val="22"/>
          <w:szCs w:val="22"/>
        </w:rPr>
        <w:t>Requires</w:t>
      </w:r>
      <w:r w:rsidR="00AC3396" w:rsidRPr="005D6E61">
        <w:rPr>
          <w:rFonts w:ascii="Times New Roman" w:hAnsi="Times New Roman"/>
          <w:b/>
          <w:i/>
          <w:sz w:val="22"/>
          <w:szCs w:val="22"/>
        </w:rPr>
        <w:t xml:space="preserve"> only one guard band. </w:t>
      </w:r>
    </w:p>
    <w:p w14:paraId="61DD21CA" w14:textId="77777777" w:rsidR="00D95805" w:rsidRPr="00D95805" w:rsidRDefault="00D95805" w:rsidP="00D95805">
      <w:pPr>
        <w:keepNext/>
        <w:ind w:left="360"/>
        <w:rPr>
          <w:b/>
          <w:i/>
        </w:rPr>
      </w:pPr>
    </w:p>
    <w:p w14:paraId="7B662E80" w14:textId="77777777" w:rsidR="009C4788" w:rsidRPr="009C4788" w:rsidRDefault="009C4788" w:rsidP="009C4788">
      <w:pPr>
        <w:rPr>
          <w:b/>
        </w:rPr>
      </w:pPr>
      <w:r w:rsidRPr="009C4788">
        <w:rPr>
          <w:b/>
        </w:rPr>
        <w:t>Proposal</w:t>
      </w:r>
      <w:r w:rsidR="00964054">
        <w:rPr>
          <w:b/>
        </w:rPr>
        <w:t xml:space="preserve"> 4</w:t>
      </w:r>
      <w:r w:rsidRPr="009C4788">
        <w:rPr>
          <w:b/>
        </w:rPr>
        <w:t>: It is up to the gNB implementation whether to select the inner carrier</w:t>
      </w:r>
      <w:r>
        <w:rPr>
          <w:b/>
        </w:rPr>
        <w:t xml:space="preserve">s or outer carriers </w:t>
      </w:r>
      <w:r w:rsidR="0025257B">
        <w:rPr>
          <w:b/>
        </w:rPr>
        <w:t xml:space="preserve">of a TDD band </w:t>
      </w:r>
      <w:r w:rsidRPr="009C4788">
        <w:rPr>
          <w:b/>
        </w:rPr>
        <w:t>for a</w:t>
      </w:r>
      <w:r>
        <w:rPr>
          <w:b/>
        </w:rPr>
        <w:t>n opposite direction</w:t>
      </w:r>
      <w:r w:rsidRPr="009C4788">
        <w:rPr>
          <w:b/>
        </w:rPr>
        <w:t xml:space="preserve"> sub-band</w:t>
      </w:r>
      <w:r w:rsidR="00495F26">
        <w:rPr>
          <w:b/>
        </w:rPr>
        <w:t>s</w:t>
      </w:r>
      <w:r>
        <w:rPr>
          <w:b/>
        </w:rPr>
        <w:t xml:space="preserve"> in DL, UL or flexible slots</w:t>
      </w:r>
      <w:r w:rsidRPr="009C4788">
        <w:rPr>
          <w:b/>
        </w:rPr>
        <w:t xml:space="preserve">. </w:t>
      </w:r>
    </w:p>
    <w:p w14:paraId="1A12E8D3" w14:textId="77777777" w:rsidR="00582278" w:rsidRPr="007A3232" w:rsidRDefault="008F0C91" w:rsidP="009F657C">
      <w:r>
        <w:t>In RAN1#109-e meeting</w:t>
      </w:r>
      <w:r w:rsidR="00922258" w:rsidRPr="007A3232">
        <w:t xml:space="preserve"> email discussion</w:t>
      </w:r>
      <w:r w:rsidR="00582278" w:rsidRPr="007A3232">
        <w:t>, an issue related to the DL</w:t>
      </w:r>
      <w:r w:rsidR="00303CE7" w:rsidRPr="007A3232">
        <w:t xml:space="preserve"> sub-bands in UL slots</w:t>
      </w:r>
      <w:r w:rsidR="00922258" w:rsidRPr="007A3232">
        <w:t xml:space="preserve"> </w:t>
      </w:r>
      <w:r w:rsidR="005101C4">
        <w:t xml:space="preserve">were </w:t>
      </w:r>
      <w:r w:rsidR="00922258" w:rsidRPr="007A3232">
        <w:t>discussed</w:t>
      </w:r>
      <w:r w:rsidR="00D95805">
        <w:t>. In our view, there are several</w:t>
      </w:r>
      <w:r w:rsidR="00582278" w:rsidRPr="007A3232">
        <w:t xml:space="preserve"> scenarios where the DL dominant traffic is existed such as the industrial actuators </w:t>
      </w:r>
      <w:r w:rsidR="00427DC7" w:rsidRPr="007A3232">
        <w:t>where</w:t>
      </w:r>
      <w:r w:rsidR="00D95805">
        <w:t xml:space="preserve"> the traffic is mainly DL dominant control related functions</w:t>
      </w:r>
      <w:r w:rsidR="00427DC7" w:rsidRPr="007A3232">
        <w:t xml:space="preserve">. </w:t>
      </w:r>
      <w:r w:rsidR="005101C4">
        <w:t xml:space="preserve">For that reason, it may also be useful for SBFD operation to </w:t>
      </w:r>
      <w:r w:rsidR="005101C4" w:rsidRPr="007A3232">
        <w:t>support</w:t>
      </w:r>
      <w:r w:rsidR="00582278" w:rsidRPr="007A3232">
        <w:t xml:space="preserve"> and further study the DL sub-bands in UL or flexible slot/symbols. </w:t>
      </w:r>
    </w:p>
    <w:p w14:paraId="627AB819" w14:textId="77777777" w:rsidR="005101C4" w:rsidRDefault="00582278" w:rsidP="009F657C">
      <w:pPr>
        <w:rPr>
          <w:b/>
        </w:rPr>
      </w:pPr>
      <w:r w:rsidRPr="007A3232">
        <w:rPr>
          <w:b/>
        </w:rPr>
        <w:t>Proposal</w:t>
      </w:r>
      <w:r w:rsidR="00070B2C">
        <w:rPr>
          <w:b/>
        </w:rPr>
        <w:t xml:space="preserve"> 5</w:t>
      </w:r>
      <w:r w:rsidRPr="007A3232">
        <w:rPr>
          <w:b/>
        </w:rPr>
        <w:t>: S</w:t>
      </w:r>
      <w:r w:rsidR="00AA57A7" w:rsidRPr="007A3232">
        <w:rPr>
          <w:b/>
        </w:rPr>
        <w:t xml:space="preserve">upport </w:t>
      </w:r>
      <w:r w:rsidRPr="007A3232">
        <w:rPr>
          <w:b/>
        </w:rPr>
        <w:t xml:space="preserve">the </w:t>
      </w:r>
      <w:r w:rsidR="005101C4">
        <w:rPr>
          <w:b/>
        </w:rPr>
        <w:t>following:</w:t>
      </w:r>
    </w:p>
    <w:p w14:paraId="18F581EF" w14:textId="77777777" w:rsidR="005101C4" w:rsidRPr="005101C4" w:rsidRDefault="00AA57A7" w:rsidP="005101C4">
      <w:pPr>
        <w:pStyle w:val="ListParagraph"/>
        <w:numPr>
          <w:ilvl w:val="0"/>
          <w:numId w:val="21"/>
        </w:numPr>
        <w:rPr>
          <w:rFonts w:ascii="Times New Roman" w:hAnsi="Times New Roman"/>
          <w:b/>
          <w:sz w:val="22"/>
          <w:szCs w:val="22"/>
        </w:rPr>
      </w:pPr>
      <w:r w:rsidRPr="005101C4">
        <w:rPr>
          <w:rFonts w:ascii="Times New Roman" w:hAnsi="Times New Roman"/>
          <w:b/>
          <w:sz w:val="22"/>
          <w:szCs w:val="22"/>
        </w:rPr>
        <w:t>UL sub-bands in DL or Flexible slots/symbols</w:t>
      </w:r>
    </w:p>
    <w:p w14:paraId="1D86620D" w14:textId="77777777" w:rsidR="009F657C" w:rsidRPr="00BE536C" w:rsidRDefault="00AA57A7" w:rsidP="009F657C">
      <w:pPr>
        <w:pStyle w:val="ListParagraph"/>
        <w:numPr>
          <w:ilvl w:val="0"/>
          <w:numId w:val="21"/>
        </w:numPr>
        <w:rPr>
          <w:rFonts w:ascii="Times New Roman" w:hAnsi="Times New Roman"/>
          <w:b/>
          <w:sz w:val="22"/>
          <w:szCs w:val="22"/>
        </w:rPr>
      </w:pPr>
      <w:r w:rsidRPr="005101C4">
        <w:rPr>
          <w:rFonts w:ascii="Times New Roman" w:hAnsi="Times New Roman"/>
          <w:b/>
          <w:sz w:val="22"/>
          <w:szCs w:val="22"/>
        </w:rPr>
        <w:t>DL sub-bands in UL or Flexible slots/symbols.</w:t>
      </w:r>
    </w:p>
    <w:p w14:paraId="476C575A" w14:textId="77777777" w:rsidR="00735504" w:rsidRPr="00735504" w:rsidRDefault="00735504" w:rsidP="00735504"/>
    <w:p w14:paraId="225FEE3D" w14:textId="77777777" w:rsidR="00525E29" w:rsidRDefault="00525E29" w:rsidP="00525E29">
      <w:pPr>
        <w:pStyle w:val="Heading1"/>
        <w:rPr>
          <w:lang w:eastAsia="zh-CN"/>
        </w:rPr>
      </w:pPr>
      <w:r w:rsidRPr="00525E29">
        <w:rPr>
          <w:lang w:eastAsia="zh-CN"/>
        </w:rPr>
        <w:t>Configurat</w:t>
      </w:r>
      <w:r w:rsidR="004E2BCA">
        <w:rPr>
          <w:lang w:eastAsia="zh-CN"/>
        </w:rPr>
        <w:t xml:space="preserve">ion and indication of sub-bands </w:t>
      </w:r>
      <w:r w:rsidR="002B0799">
        <w:rPr>
          <w:lang w:eastAsia="zh-CN"/>
        </w:rPr>
        <w:t xml:space="preserve">to the UE </w:t>
      </w:r>
    </w:p>
    <w:p w14:paraId="55436C21" w14:textId="77777777" w:rsidR="00427DC7" w:rsidRPr="00427DC7" w:rsidRDefault="00427DC7" w:rsidP="00427DC7">
      <w:pPr>
        <w:rPr>
          <w:lang w:eastAsia="zh-CN"/>
        </w:rPr>
      </w:pPr>
      <w:r>
        <w:rPr>
          <w:lang w:eastAsia="zh-CN"/>
        </w:rPr>
        <w:t xml:space="preserve">In SBFD operation, </w:t>
      </w:r>
      <w:r w:rsidR="00FE29AE">
        <w:rPr>
          <w:lang w:eastAsia="zh-CN"/>
        </w:rPr>
        <w:t xml:space="preserve">an </w:t>
      </w:r>
      <w:r w:rsidR="00AD106A">
        <w:rPr>
          <w:lang w:eastAsia="zh-CN"/>
        </w:rPr>
        <w:t xml:space="preserve">issue </w:t>
      </w:r>
      <w:r w:rsidR="00BB4E6A">
        <w:rPr>
          <w:shd w:val="clear" w:color="auto" w:fill="FFFFFF"/>
        </w:rPr>
        <w:t>regarding the indication of time frequency location of sub-bands to the UE that gNB would use for SBFD operation</w:t>
      </w:r>
      <w:r w:rsidR="00BB4E6A">
        <w:rPr>
          <w:lang w:eastAsia="zh-CN"/>
        </w:rPr>
        <w:t xml:space="preserve"> is still under discussion</w:t>
      </w:r>
      <w:r>
        <w:rPr>
          <w:lang w:eastAsia="zh-CN"/>
        </w:rPr>
        <w:t>. In 3GPP RAN1#109-e meeting the two general methods</w:t>
      </w:r>
      <w:r w:rsidR="00BB4E6A">
        <w:rPr>
          <w:lang w:eastAsia="zh-CN"/>
        </w:rPr>
        <w:t xml:space="preserve"> such as </w:t>
      </w:r>
      <w:r w:rsidR="00FE29AE">
        <w:rPr>
          <w:lang w:eastAsia="zh-CN"/>
        </w:rPr>
        <w:t xml:space="preserve">the </w:t>
      </w:r>
      <w:r w:rsidR="00BB4E6A">
        <w:rPr>
          <w:lang w:eastAsia="zh-CN"/>
        </w:rPr>
        <w:t xml:space="preserve">semi static configuration through </w:t>
      </w:r>
      <w:r w:rsidR="00BB4E6A" w:rsidRPr="00FE29AE">
        <w:rPr>
          <w:i/>
          <w:lang w:eastAsia="zh-CN"/>
        </w:rPr>
        <w:t xml:space="preserve">TDD-UL-DL-ConfigCommon </w:t>
      </w:r>
      <w:r w:rsidR="00BB4E6A" w:rsidRPr="00FE29AE">
        <w:rPr>
          <w:lang w:eastAsia="zh-CN"/>
        </w:rPr>
        <w:t>and</w:t>
      </w:r>
      <w:r w:rsidR="00BB4E6A" w:rsidRPr="00FE29AE">
        <w:rPr>
          <w:i/>
          <w:lang w:eastAsia="zh-CN"/>
        </w:rPr>
        <w:t xml:space="preserve"> TDD-UL-DL-ConfigDedicated</w:t>
      </w:r>
      <w:r w:rsidR="006D4021">
        <w:rPr>
          <w:i/>
          <w:lang w:eastAsia="zh-CN"/>
        </w:rPr>
        <w:t>,</w:t>
      </w:r>
      <w:r w:rsidR="006D4021">
        <w:rPr>
          <w:lang w:eastAsia="zh-CN"/>
        </w:rPr>
        <w:t xml:space="preserve"> and dynamic indication</w:t>
      </w:r>
      <w:r w:rsidR="00BB4E6A">
        <w:rPr>
          <w:lang w:eastAsia="zh-CN"/>
        </w:rPr>
        <w:t xml:space="preserve"> </w:t>
      </w:r>
      <w:r w:rsidR="00AD106A">
        <w:rPr>
          <w:lang w:eastAsia="zh-CN"/>
        </w:rPr>
        <w:t xml:space="preserve">through </w:t>
      </w:r>
      <w:r w:rsidR="00BB4E6A">
        <w:rPr>
          <w:lang w:eastAsia="zh-CN"/>
        </w:rPr>
        <w:t>SFI of the current specification were propo</w:t>
      </w:r>
      <w:r w:rsidR="00D61738">
        <w:rPr>
          <w:lang w:eastAsia="zh-CN"/>
        </w:rPr>
        <w:t xml:space="preserve">sed by several companies. In section 3.1 and section 3.2, we explain our views on </w:t>
      </w:r>
      <w:r w:rsidR="00AD106A">
        <w:rPr>
          <w:lang w:eastAsia="zh-CN"/>
        </w:rPr>
        <w:t>reusing</w:t>
      </w:r>
      <w:r w:rsidR="00BB4E6A">
        <w:rPr>
          <w:lang w:eastAsia="zh-CN"/>
        </w:rPr>
        <w:t xml:space="preserve"> the existing</w:t>
      </w:r>
      <w:r w:rsidR="00D61738">
        <w:rPr>
          <w:lang w:eastAsia="zh-CN"/>
        </w:rPr>
        <w:t xml:space="preserve"> conventional TDD</w:t>
      </w:r>
      <w:r w:rsidR="00BB4E6A">
        <w:rPr>
          <w:lang w:eastAsia="zh-CN"/>
        </w:rPr>
        <w:t xml:space="preserve"> </w:t>
      </w:r>
      <w:r w:rsidR="00AD106A">
        <w:rPr>
          <w:lang w:eastAsia="zh-CN"/>
        </w:rPr>
        <w:t>configuration</w:t>
      </w:r>
      <w:r w:rsidR="00BB4E6A">
        <w:rPr>
          <w:lang w:eastAsia="zh-CN"/>
        </w:rPr>
        <w:t xml:space="preserve"> </w:t>
      </w:r>
      <w:r w:rsidR="00D61738">
        <w:rPr>
          <w:lang w:eastAsia="zh-CN"/>
        </w:rPr>
        <w:t xml:space="preserve">for SBFD configuration. </w:t>
      </w:r>
    </w:p>
    <w:p w14:paraId="16982341" w14:textId="77777777" w:rsidR="00CE29AB" w:rsidRDefault="00265624" w:rsidP="00427DC7">
      <w:pPr>
        <w:pStyle w:val="Heading2"/>
      </w:pPr>
      <w:r w:rsidRPr="00265624">
        <w:t>Semi static Config</w:t>
      </w:r>
      <w:r w:rsidR="00427DC7">
        <w:t xml:space="preserve">uration </w:t>
      </w:r>
    </w:p>
    <w:p w14:paraId="658D325A" w14:textId="77777777" w:rsidR="00CE29AB" w:rsidRDefault="00BE536C" w:rsidP="00CE29AB">
      <w:r>
        <w:t>Re</w:t>
      </w:r>
      <w:r w:rsidR="00FE29AE">
        <w:t xml:space="preserve">-using the </w:t>
      </w:r>
      <w:r w:rsidR="00CE29AB">
        <w:t>semi-static configuration of the current specification</w:t>
      </w:r>
      <w:r w:rsidR="00FE29AE">
        <w:t xml:space="preserve"> may requires an explicit indication of </w:t>
      </w:r>
      <w:r w:rsidR="005C4BDD">
        <w:t xml:space="preserve">the </w:t>
      </w:r>
      <w:r w:rsidR="00FE29AE">
        <w:t>time frequency r</w:t>
      </w:r>
      <w:r>
        <w:t>esources</w:t>
      </w:r>
      <w:r w:rsidR="005C4BDD">
        <w:t xml:space="preserve"> of an opposite direction</w:t>
      </w:r>
      <w:r w:rsidR="00D61738">
        <w:t>’s</w:t>
      </w:r>
      <w:r w:rsidR="005C4BDD">
        <w:t xml:space="preserve"> sub-bands in </w:t>
      </w:r>
      <w:r w:rsidR="005C4BDD" w:rsidRPr="002B0799">
        <w:rPr>
          <w:i/>
        </w:rPr>
        <w:t xml:space="preserve">TDD-UL-DL-ConfigCommon </w:t>
      </w:r>
      <w:r w:rsidR="005C4BDD" w:rsidRPr="002B0799">
        <w:t xml:space="preserve">or </w:t>
      </w:r>
      <w:r w:rsidR="005C4BDD" w:rsidRPr="002B0799">
        <w:rPr>
          <w:i/>
        </w:rPr>
        <w:t>TDD-UL-DL-ConfigDedicated</w:t>
      </w:r>
      <w:r w:rsidRPr="002B0799">
        <w:t>.</w:t>
      </w:r>
      <w:r>
        <w:t xml:space="preserve"> In other words, </w:t>
      </w:r>
      <w:r w:rsidR="005C4BDD">
        <w:t>the IE for UL sub-band in DL</w:t>
      </w:r>
      <w:r w:rsidR="002B0799">
        <w:t xml:space="preserve"> or flexible</w:t>
      </w:r>
      <w:r w:rsidR="005C4BDD">
        <w:t xml:space="preserve"> slots</w:t>
      </w:r>
      <w:r w:rsidR="002B0799">
        <w:t>/symbols</w:t>
      </w:r>
      <w:r w:rsidR="005C4BDD">
        <w:t xml:space="preserve"> </w:t>
      </w:r>
      <w:r w:rsidR="00FE29AE" w:rsidRPr="005C4BDD">
        <w:t>may</w:t>
      </w:r>
      <w:r w:rsidRPr="005C4BDD">
        <w:t xml:space="preserve"> needs to</w:t>
      </w:r>
      <w:r w:rsidR="00FE29AE" w:rsidRPr="005C4BDD">
        <w:t xml:space="preserve"> include an explicit configuration </w:t>
      </w:r>
      <w:r w:rsidR="000A5446">
        <w:t>of</w:t>
      </w:r>
      <w:r w:rsidR="002B0799">
        <w:t xml:space="preserve">, </w:t>
      </w:r>
      <w:r w:rsidR="000A5446">
        <w:t xml:space="preserve">the </w:t>
      </w:r>
      <w:r w:rsidR="002B0799">
        <w:t>DL slots/symbols</w:t>
      </w:r>
      <w:r w:rsidR="00CE29AB" w:rsidRPr="005C4BDD">
        <w:t xml:space="preserve"> where the frequency resources of </w:t>
      </w:r>
      <w:r w:rsidRPr="005C4BDD">
        <w:t xml:space="preserve">the </w:t>
      </w:r>
      <w:r w:rsidR="00CE29AB" w:rsidRPr="005C4BDD">
        <w:t>UL sub-bands can be allocated</w:t>
      </w:r>
      <w:r w:rsidR="005C4BDD">
        <w:t>, the</w:t>
      </w:r>
      <w:r w:rsidR="00FE29AE">
        <w:t xml:space="preserve"> number and starting of UL RBs</w:t>
      </w:r>
      <w:r>
        <w:t xml:space="preserve"> such as </w:t>
      </w:r>
      <w:r w:rsidRPr="006D4021">
        <w:rPr>
          <w:i/>
        </w:rPr>
        <w:t>st</w:t>
      </w:r>
      <w:r w:rsidR="006D4021" w:rsidRPr="006D4021">
        <w:rPr>
          <w:i/>
        </w:rPr>
        <w:t>artingofUplink</w:t>
      </w:r>
      <w:r w:rsidRPr="006D4021">
        <w:rPr>
          <w:i/>
        </w:rPr>
        <w:t>RBs</w:t>
      </w:r>
      <w:r>
        <w:t xml:space="preserve">, </w:t>
      </w:r>
      <w:r w:rsidRPr="006D4021">
        <w:rPr>
          <w:i/>
        </w:rPr>
        <w:t>NRof</w:t>
      </w:r>
      <w:r w:rsidR="006D4021" w:rsidRPr="006D4021">
        <w:rPr>
          <w:i/>
        </w:rPr>
        <w:t>Uplink</w:t>
      </w:r>
      <w:r w:rsidRPr="006D4021">
        <w:rPr>
          <w:i/>
        </w:rPr>
        <w:t>RBs</w:t>
      </w:r>
      <w:r>
        <w:t xml:space="preserve">, and the </w:t>
      </w:r>
      <w:r w:rsidRPr="002B0799">
        <w:t>RBs of</w:t>
      </w:r>
      <w:r w:rsidR="005C4BDD" w:rsidRPr="002B0799">
        <w:t xml:space="preserve"> the</w:t>
      </w:r>
      <w:r w:rsidRPr="002B0799">
        <w:t xml:space="preserve"> guard bands</w:t>
      </w:r>
      <w:r w:rsidR="00FE29AE" w:rsidRPr="002B0799">
        <w:t>.</w:t>
      </w:r>
      <w:r w:rsidR="00FE29AE">
        <w:t xml:space="preserve"> </w:t>
      </w:r>
    </w:p>
    <w:p w14:paraId="74D19A4F" w14:textId="77777777" w:rsidR="00CE29AB" w:rsidRDefault="00CE29AB" w:rsidP="00CE29AB">
      <w:r>
        <w:t xml:space="preserve">Similarly, the IE for DL sub-band in UL slots </w:t>
      </w:r>
      <w:r w:rsidR="00BE536C">
        <w:t xml:space="preserve">may needs to include an </w:t>
      </w:r>
      <w:r>
        <w:t>explicit configuration of, the UL slots/symbols where the frequency resources of DL sub-bands can</w:t>
      </w:r>
      <w:r w:rsidR="006D4021">
        <w:t xml:space="preserve"> be allocated in UL slots</w:t>
      </w:r>
      <w:r w:rsidR="002B0799">
        <w:t>,</w:t>
      </w:r>
      <w:r>
        <w:t xml:space="preserve"> the number and st</w:t>
      </w:r>
      <w:r w:rsidR="00BE536C">
        <w:t xml:space="preserve">arting of DL RBs </w:t>
      </w:r>
      <w:r w:rsidR="002B0799">
        <w:t xml:space="preserve"> </w:t>
      </w:r>
      <w:r w:rsidR="006D4021">
        <w:t xml:space="preserve">such as </w:t>
      </w:r>
      <w:r w:rsidR="006D4021" w:rsidRPr="006D4021">
        <w:rPr>
          <w:i/>
        </w:rPr>
        <w:t>startingof</w:t>
      </w:r>
      <w:r w:rsidR="006D4021">
        <w:rPr>
          <w:i/>
        </w:rPr>
        <w:t>Downlink</w:t>
      </w:r>
      <w:r w:rsidR="006D4021" w:rsidRPr="006D4021">
        <w:rPr>
          <w:i/>
        </w:rPr>
        <w:t>RBs</w:t>
      </w:r>
      <w:r w:rsidR="00BE536C">
        <w:t xml:space="preserve">, </w:t>
      </w:r>
      <w:r w:rsidR="006D4021" w:rsidRPr="006D4021">
        <w:rPr>
          <w:i/>
        </w:rPr>
        <w:t>NRof</w:t>
      </w:r>
      <w:r w:rsidR="005C4BDD">
        <w:rPr>
          <w:i/>
        </w:rPr>
        <w:t>Downlink</w:t>
      </w:r>
      <w:r w:rsidR="006D4021" w:rsidRPr="006D4021">
        <w:rPr>
          <w:i/>
        </w:rPr>
        <w:t>RBs</w:t>
      </w:r>
      <w:r w:rsidR="006D4021">
        <w:t xml:space="preserve"> </w:t>
      </w:r>
      <w:r w:rsidR="002B0799">
        <w:t xml:space="preserve">, </w:t>
      </w:r>
      <w:r w:rsidR="006D4021">
        <w:t xml:space="preserve">and </w:t>
      </w:r>
      <w:r w:rsidR="00BE536C">
        <w:t>the RB</w:t>
      </w:r>
      <w:r w:rsidR="006D4021">
        <w:t>s</w:t>
      </w:r>
      <w:r w:rsidR="00BE536C">
        <w:t xml:space="preserve"> of</w:t>
      </w:r>
      <w:r w:rsidR="005C4BDD">
        <w:t xml:space="preserve"> the</w:t>
      </w:r>
      <w:r w:rsidR="00BE536C">
        <w:t xml:space="preserve"> guard</w:t>
      </w:r>
      <w:r w:rsidR="006D4021">
        <w:t xml:space="preserve"> bands</w:t>
      </w:r>
      <w:r w:rsidR="00BE536C">
        <w:t xml:space="preserve">. </w:t>
      </w:r>
    </w:p>
    <w:p w14:paraId="2819ACF4" w14:textId="77777777" w:rsidR="005508C1" w:rsidRDefault="002B0799" w:rsidP="00CE29AB">
      <w:pPr>
        <w:rPr>
          <w:b/>
          <w:i/>
        </w:rPr>
      </w:pPr>
      <w:r w:rsidRPr="002B0799">
        <w:rPr>
          <w:b/>
          <w:i/>
        </w:rPr>
        <w:t>Observation</w:t>
      </w:r>
      <w:r w:rsidR="005508C1">
        <w:rPr>
          <w:b/>
          <w:i/>
        </w:rPr>
        <w:t xml:space="preserve"> 3</w:t>
      </w:r>
      <w:r w:rsidRPr="002B0799">
        <w:rPr>
          <w:b/>
          <w:i/>
        </w:rPr>
        <w:t xml:space="preserve">: Re-using the existing configuration of conventional TDD </w:t>
      </w:r>
      <w:r w:rsidR="005508C1">
        <w:rPr>
          <w:b/>
          <w:i/>
        </w:rPr>
        <w:t xml:space="preserve">for SBFD configuration may requires; </w:t>
      </w:r>
    </w:p>
    <w:p w14:paraId="7C0CE7FA" w14:textId="77777777" w:rsidR="002B0799" w:rsidRPr="005508C1" w:rsidRDefault="005508C1" w:rsidP="005508C1">
      <w:pPr>
        <w:pStyle w:val="ListParagraph"/>
        <w:numPr>
          <w:ilvl w:val="0"/>
          <w:numId w:val="26"/>
        </w:numPr>
        <w:rPr>
          <w:rFonts w:ascii="Times New Roman" w:hAnsi="Times New Roman"/>
          <w:b/>
          <w:i/>
          <w:sz w:val="22"/>
          <w:szCs w:val="22"/>
        </w:rPr>
      </w:pPr>
      <w:r w:rsidRPr="005508C1">
        <w:rPr>
          <w:rFonts w:ascii="Times New Roman" w:hAnsi="Times New Roman"/>
          <w:b/>
          <w:i/>
          <w:sz w:val="22"/>
          <w:szCs w:val="22"/>
        </w:rPr>
        <w:t xml:space="preserve">To </w:t>
      </w:r>
      <w:r w:rsidR="002B0799" w:rsidRPr="005508C1">
        <w:rPr>
          <w:rFonts w:ascii="Times New Roman" w:hAnsi="Times New Roman"/>
          <w:b/>
          <w:i/>
          <w:sz w:val="22"/>
          <w:szCs w:val="22"/>
        </w:rPr>
        <w:t>include an explicit configuration of NRofUplinkRBs, startingofUplinkRBs and RBs</w:t>
      </w:r>
      <w:r w:rsidRPr="005508C1">
        <w:rPr>
          <w:rFonts w:ascii="Times New Roman" w:hAnsi="Times New Roman"/>
          <w:b/>
          <w:i/>
          <w:sz w:val="22"/>
          <w:szCs w:val="22"/>
        </w:rPr>
        <w:t xml:space="preserve"> of guard</w:t>
      </w:r>
      <w:r w:rsidR="002B0799" w:rsidRPr="005508C1">
        <w:rPr>
          <w:rFonts w:ascii="Times New Roman" w:hAnsi="Times New Roman"/>
          <w:b/>
          <w:i/>
          <w:sz w:val="22"/>
          <w:szCs w:val="22"/>
        </w:rPr>
        <w:t xml:space="preserve"> bands</w:t>
      </w:r>
      <w:r w:rsidRPr="005508C1">
        <w:rPr>
          <w:rFonts w:ascii="Times New Roman" w:hAnsi="Times New Roman"/>
          <w:b/>
          <w:i/>
          <w:sz w:val="22"/>
          <w:szCs w:val="22"/>
        </w:rPr>
        <w:t xml:space="preserve"> for UL sub-band in DL or flexible slots/symbols</w:t>
      </w:r>
      <w:r w:rsidR="002B0799" w:rsidRPr="005508C1">
        <w:rPr>
          <w:rFonts w:ascii="Times New Roman" w:hAnsi="Times New Roman"/>
          <w:b/>
          <w:i/>
          <w:sz w:val="22"/>
          <w:szCs w:val="22"/>
        </w:rPr>
        <w:t xml:space="preserve">. </w:t>
      </w:r>
    </w:p>
    <w:p w14:paraId="162C4BC6" w14:textId="77777777" w:rsidR="005508C1" w:rsidRPr="005508C1" w:rsidRDefault="005508C1" w:rsidP="005508C1">
      <w:pPr>
        <w:pStyle w:val="ListParagraph"/>
        <w:numPr>
          <w:ilvl w:val="0"/>
          <w:numId w:val="26"/>
        </w:numPr>
        <w:rPr>
          <w:rFonts w:ascii="Times New Roman" w:hAnsi="Times New Roman"/>
          <w:b/>
          <w:i/>
          <w:sz w:val="22"/>
          <w:szCs w:val="22"/>
        </w:rPr>
      </w:pPr>
      <w:r w:rsidRPr="005508C1">
        <w:rPr>
          <w:rFonts w:ascii="Times New Roman" w:hAnsi="Times New Roman"/>
          <w:b/>
          <w:i/>
          <w:sz w:val="22"/>
          <w:szCs w:val="22"/>
        </w:rPr>
        <w:t xml:space="preserve">To include an explicit configuration of NRofDownlinkRBs, startingofDownlinkRBs and RBs of guard bands for DL sub-band in UL or flexible slots/symbols. </w:t>
      </w:r>
    </w:p>
    <w:p w14:paraId="3C639869" w14:textId="77777777" w:rsidR="005508C1" w:rsidRDefault="005508C1" w:rsidP="00CE29AB">
      <w:pPr>
        <w:rPr>
          <w:b/>
          <w:i/>
        </w:rPr>
      </w:pPr>
    </w:p>
    <w:p w14:paraId="53DAD7CC" w14:textId="77777777" w:rsidR="002B0799" w:rsidRPr="002B0799" w:rsidRDefault="002B0799" w:rsidP="00CE29AB">
      <w:pPr>
        <w:rPr>
          <w:b/>
          <w:i/>
        </w:rPr>
      </w:pPr>
    </w:p>
    <w:p w14:paraId="0D959D48" w14:textId="77777777" w:rsidR="00CE29AB" w:rsidRDefault="00CE29AB" w:rsidP="00CE29AB">
      <w:pPr>
        <w:pStyle w:val="Heading3"/>
      </w:pPr>
      <w:r>
        <w:t xml:space="preserve"> Dynamic </w:t>
      </w:r>
      <w:r w:rsidR="00E55033">
        <w:t xml:space="preserve">Indication of sub-bands </w:t>
      </w:r>
    </w:p>
    <w:p w14:paraId="3FBF8369" w14:textId="77777777" w:rsidR="00CE29AB" w:rsidRDefault="000A5446" w:rsidP="00CE29AB">
      <w:r>
        <w:t>SFI</w:t>
      </w:r>
      <w:r w:rsidR="00BE1BE8">
        <w:t xml:space="preserve"> of</w:t>
      </w:r>
      <w:r w:rsidR="00CE29AB" w:rsidRPr="00FD618F">
        <w:t xml:space="preserve"> the current specification</w:t>
      </w:r>
      <w:r>
        <w:t>,</w:t>
      </w:r>
      <w:r w:rsidR="00CE29AB" w:rsidRPr="00FD618F">
        <w:t xml:space="preserve"> </w:t>
      </w:r>
      <w:r w:rsidR="00FE29AE">
        <w:t>which is carried by DCI format 2_0</w:t>
      </w:r>
      <w:r>
        <w:t>,</w:t>
      </w:r>
      <w:r w:rsidR="00FE29AE">
        <w:t xml:space="preserve"> </w:t>
      </w:r>
      <w:r w:rsidR="00CE29AB" w:rsidRPr="00FD618F">
        <w:t>is used for indication of</w:t>
      </w:r>
      <w:r w:rsidR="00E2174C">
        <w:t xml:space="preserve"> DL or UL </w:t>
      </w:r>
      <w:r w:rsidR="00E2174C" w:rsidRPr="00FD618F">
        <w:t>slot</w:t>
      </w:r>
      <w:r w:rsidR="00E2174C">
        <w:t>s in</w:t>
      </w:r>
      <w:r w:rsidR="00CE29AB" w:rsidRPr="00FD618F">
        <w:t xml:space="preserve"> conventional TDD. In order</w:t>
      </w:r>
      <w:r w:rsidR="00CE29AB">
        <w:t xml:space="preserve"> to make the current SFI capable </w:t>
      </w:r>
      <w:r w:rsidR="00D61738">
        <w:t>for</w:t>
      </w:r>
      <w:r w:rsidR="00F04A2E">
        <w:t xml:space="preserve"> the</w:t>
      </w:r>
      <w:r w:rsidR="00BE1BE8">
        <w:t xml:space="preserve"> indication of the</w:t>
      </w:r>
      <w:r w:rsidR="006D4021">
        <w:t xml:space="preserve"> time frequency resources of sub-bands to the UE</w:t>
      </w:r>
      <w:r w:rsidR="00CE29AB">
        <w:t xml:space="preserve">, </w:t>
      </w:r>
      <w:r w:rsidR="00C81D67">
        <w:t xml:space="preserve">several </w:t>
      </w:r>
      <w:r w:rsidR="00CE29AB">
        <w:t xml:space="preserve">new fields </w:t>
      </w:r>
      <w:r w:rsidR="00E2174C">
        <w:t>may need</w:t>
      </w:r>
      <w:r w:rsidR="00BE1BE8">
        <w:t>s</w:t>
      </w:r>
      <w:r w:rsidR="00FE29AE">
        <w:t xml:space="preserve"> to be </w:t>
      </w:r>
      <w:r w:rsidR="00CE29AB">
        <w:t>included in the SFI. For instance, the SF</w:t>
      </w:r>
      <w:r w:rsidR="00FE29AE">
        <w:t xml:space="preserve">I for </w:t>
      </w:r>
      <w:r w:rsidR="00BE1BE8">
        <w:t xml:space="preserve">indication of the </w:t>
      </w:r>
      <w:r w:rsidR="00FE29AE">
        <w:t xml:space="preserve">UL sub-bands in DL slots may </w:t>
      </w:r>
      <w:r w:rsidR="00BE1BE8">
        <w:t>include</w:t>
      </w:r>
      <w:r w:rsidR="00D61738">
        <w:t xml:space="preserve"> the indication of</w:t>
      </w:r>
      <w:r w:rsidR="00CE29AB">
        <w:t xml:space="preserve"> the following field</w:t>
      </w:r>
      <w:r w:rsidR="00F04A2E">
        <w:t>s</w:t>
      </w:r>
      <w:r w:rsidR="00CE29AB">
        <w:t xml:space="preserve">. </w:t>
      </w:r>
    </w:p>
    <w:p w14:paraId="31212C16" w14:textId="77777777" w:rsidR="00BE1BE8" w:rsidRDefault="00627411" w:rsidP="00A02DB7">
      <w:pPr>
        <w:pStyle w:val="ListParagraph"/>
        <w:numPr>
          <w:ilvl w:val="0"/>
          <w:numId w:val="18"/>
        </w:numPr>
        <w:spacing w:after="200" w:line="276" w:lineRule="auto"/>
        <w:contextualSpacing/>
        <w:rPr>
          <w:rFonts w:ascii="Times New Roman" w:hAnsi="Times New Roman"/>
        </w:rPr>
      </w:pPr>
      <w:r w:rsidRPr="00BE1BE8">
        <w:rPr>
          <w:rFonts w:ascii="Times New Roman" w:hAnsi="Times New Roman"/>
        </w:rPr>
        <w:t>Indication of the s</w:t>
      </w:r>
      <w:r w:rsidR="00CE29AB" w:rsidRPr="00BE1BE8">
        <w:rPr>
          <w:rFonts w:ascii="Times New Roman" w:hAnsi="Times New Roman"/>
        </w:rPr>
        <w:t>tarting of</w:t>
      </w:r>
      <w:r w:rsidRPr="00BE1BE8">
        <w:rPr>
          <w:rFonts w:ascii="Times New Roman" w:hAnsi="Times New Roman"/>
        </w:rPr>
        <w:t xml:space="preserve"> </w:t>
      </w:r>
      <w:r w:rsidR="00CE29AB" w:rsidRPr="00BE1BE8">
        <w:rPr>
          <w:rFonts w:ascii="Times New Roman" w:hAnsi="Times New Roman"/>
        </w:rPr>
        <w:t>UL RB</w:t>
      </w:r>
      <w:r w:rsidR="00C81D67" w:rsidRPr="00BE1BE8">
        <w:rPr>
          <w:rFonts w:ascii="Times New Roman" w:hAnsi="Times New Roman"/>
        </w:rPr>
        <w:t xml:space="preserve">s in DL slots </w:t>
      </w:r>
    </w:p>
    <w:p w14:paraId="60A512C5" w14:textId="77777777" w:rsidR="00CE29AB" w:rsidRPr="00BE1BE8" w:rsidRDefault="00627411" w:rsidP="00A02DB7">
      <w:pPr>
        <w:pStyle w:val="ListParagraph"/>
        <w:numPr>
          <w:ilvl w:val="0"/>
          <w:numId w:val="18"/>
        </w:numPr>
        <w:spacing w:after="200" w:line="276" w:lineRule="auto"/>
        <w:contextualSpacing/>
        <w:rPr>
          <w:rFonts w:ascii="Times New Roman" w:hAnsi="Times New Roman"/>
        </w:rPr>
      </w:pPr>
      <w:r w:rsidRPr="00BE1BE8">
        <w:rPr>
          <w:rFonts w:ascii="Times New Roman" w:hAnsi="Times New Roman"/>
        </w:rPr>
        <w:t>Indication of the n</w:t>
      </w:r>
      <w:r w:rsidR="00CE29AB" w:rsidRPr="00BE1BE8">
        <w:rPr>
          <w:rFonts w:ascii="Times New Roman" w:hAnsi="Times New Roman"/>
        </w:rPr>
        <w:t xml:space="preserve">umber of UL </w:t>
      </w:r>
      <w:r w:rsidR="00C81D67" w:rsidRPr="00BE1BE8">
        <w:rPr>
          <w:rFonts w:ascii="Times New Roman" w:hAnsi="Times New Roman"/>
        </w:rPr>
        <w:t>RBs in DL slots</w:t>
      </w:r>
      <w:r w:rsidR="00FE29AE" w:rsidRPr="00BE1BE8">
        <w:rPr>
          <w:rFonts w:ascii="Times New Roman" w:hAnsi="Times New Roman"/>
        </w:rPr>
        <w:t xml:space="preserve"> </w:t>
      </w:r>
    </w:p>
    <w:p w14:paraId="37CDF40C" w14:textId="77777777" w:rsidR="00CE29AB" w:rsidRPr="009D7745" w:rsidRDefault="00627411" w:rsidP="00CE29AB">
      <w:pPr>
        <w:pStyle w:val="ListParagraph"/>
        <w:numPr>
          <w:ilvl w:val="0"/>
          <w:numId w:val="18"/>
        </w:numPr>
        <w:spacing w:after="200" w:line="276" w:lineRule="auto"/>
        <w:contextualSpacing/>
        <w:rPr>
          <w:rFonts w:ascii="Times New Roman" w:hAnsi="Times New Roman"/>
        </w:rPr>
      </w:pPr>
      <w:r>
        <w:rPr>
          <w:rFonts w:ascii="Times New Roman" w:hAnsi="Times New Roman"/>
        </w:rPr>
        <w:t xml:space="preserve">Indication of the RBs of </w:t>
      </w:r>
      <w:r w:rsidR="00CE29AB" w:rsidRPr="009D7745">
        <w:rPr>
          <w:rFonts w:ascii="Times New Roman" w:hAnsi="Times New Roman"/>
        </w:rPr>
        <w:t>Guard Band</w:t>
      </w:r>
    </w:p>
    <w:p w14:paraId="73183A16" w14:textId="77777777" w:rsidR="00CE29AB" w:rsidRDefault="00CE29AB" w:rsidP="00CE29AB">
      <w:r>
        <w:t xml:space="preserve">Similarly, the SFI </w:t>
      </w:r>
      <w:r w:rsidR="00BE1BE8">
        <w:t>fo</w:t>
      </w:r>
      <w:r w:rsidR="00BE1BE8" w:rsidRPr="00FD618F">
        <w:t xml:space="preserve">r </w:t>
      </w:r>
      <w:r w:rsidR="00BE1BE8">
        <w:t xml:space="preserve">the </w:t>
      </w:r>
      <w:r w:rsidRPr="00FD618F">
        <w:t>DL sub-bands in UL slot</w:t>
      </w:r>
      <w:r w:rsidR="00E2174C">
        <w:t>s may</w:t>
      </w:r>
      <w:r w:rsidR="00D61738">
        <w:t xml:space="preserve"> include the indication of</w:t>
      </w:r>
      <w:r w:rsidRPr="00FD618F">
        <w:t xml:space="preserve"> following field</w:t>
      </w:r>
      <w:r w:rsidR="00634C10">
        <w:t>s</w:t>
      </w:r>
      <w:r w:rsidRPr="00FD618F">
        <w:t>.</w:t>
      </w:r>
    </w:p>
    <w:p w14:paraId="03795402" w14:textId="77777777" w:rsidR="00BE1BE8" w:rsidRDefault="00627411" w:rsidP="00E6515C">
      <w:pPr>
        <w:pStyle w:val="ListParagraph"/>
        <w:numPr>
          <w:ilvl w:val="0"/>
          <w:numId w:val="18"/>
        </w:numPr>
        <w:spacing w:after="200" w:line="276" w:lineRule="auto"/>
        <w:contextualSpacing/>
        <w:rPr>
          <w:rFonts w:ascii="Times New Roman" w:hAnsi="Times New Roman"/>
        </w:rPr>
      </w:pPr>
      <w:r w:rsidRPr="00BE1BE8">
        <w:rPr>
          <w:rFonts w:ascii="Times New Roman" w:hAnsi="Times New Roman"/>
        </w:rPr>
        <w:t>Indication of the s</w:t>
      </w:r>
      <w:r w:rsidR="00CE29AB" w:rsidRPr="00BE1BE8">
        <w:rPr>
          <w:rFonts w:ascii="Times New Roman" w:hAnsi="Times New Roman"/>
        </w:rPr>
        <w:t>tarting of DL</w:t>
      </w:r>
      <w:r w:rsidR="00F04A2E" w:rsidRPr="00BE1BE8">
        <w:rPr>
          <w:rFonts w:ascii="Times New Roman" w:hAnsi="Times New Roman"/>
        </w:rPr>
        <w:t xml:space="preserve"> </w:t>
      </w:r>
      <w:r w:rsidR="00CE29AB" w:rsidRPr="00BE1BE8">
        <w:rPr>
          <w:rFonts w:ascii="Times New Roman" w:hAnsi="Times New Roman"/>
        </w:rPr>
        <w:t>RB</w:t>
      </w:r>
      <w:r w:rsidR="00F04A2E" w:rsidRPr="00BE1BE8">
        <w:rPr>
          <w:rFonts w:ascii="Times New Roman" w:hAnsi="Times New Roman"/>
        </w:rPr>
        <w:t>s</w:t>
      </w:r>
      <w:r w:rsidR="00CE29AB" w:rsidRPr="00BE1BE8">
        <w:rPr>
          <w:rFonts w:ascii="Times New Roman" w:hAnsi="Times New Roman"/>
        </w:rPr>
        <w:t xml:space="preserve"> </w:t>
      </w:r>
      <w:r w:rsidR="00B31C2F" w:rsidRPr="00BE1BE8">
        <w:rPr>
          <w:rFonts w:ascii="Times New Roman" w:hAnsi="Times New Roman"/>
        </w:rPr>
        <w:t xml:space="preserve">in UL slots </w:t>
      </w:r>
    </w:p>
    <w:p w14:paraId="6098877F" w14:textId="77777777" w:rsidR="00CE29AB" w:rsidRPr="00BE1BE8" w:rsidRDefault="00627411" w:rsidP="00E6515C">
      <w:pPr>
        <w:pStyle w:val="ListParagraph"/>
        <w:numPr>
          <w:ilvl w:val="0"/>
          <w:numId w:val="18"/>
        </w:numPr>
        <w:spacing w:after="200" w:line="276" w:lineRule="auto"/>
        <w:contextualSpacing/>
        <w:rPr>
          <w:rFonts w:ascii="Times New Roman" w:hAnsi="Times New Roman"/>
        </w:rPr>
      </w:pPr>
      <w:r w:rsidRPr="00BE1BE8">
        <w:rPr>
          <w:rFonts w:ascii="Times New Roman" w:hAnsi="Times New Roman"/>
        </w:rPr>
        <w:t>Indication of the n</w:t>
      </w:r>
      <w:r w:rsidR="00CE29AB" w:rsidRPr="00BE1BE8">
        <w:rPr>
          <w:rFonts w:ascii="Times New Roman" w:hAnsi="Times New Roman"/>
        </w:rPr>
        <w:t xml:space="preserve">umber of </w:t>
      </w:r>
      <w:r w:rsidR="00B31C2F" w:rsidRPr="00BE1BE8">
        <w:rPr>
          <w:rFonts w:ascii="Times New Roman" w:hAnsi="Times New Roman"/>
        </w:rPr>
        <w:t xml:space="preserve">DL RBs in UL slots </w:t>
      </w:r>
    </w:p>
    <w:p w14:paraId="56930ADF" w14:textId="77777777" w:rsidR="00CE29AB" w:rsidRDefault="00627411" w:rsidP="00CE29AB">
      <w:pPr>
        <w:pStyle w:val="ListParagraph"/>
        <w:numPr>
          <w:ilvl w:val="0"/>
          <w:numId w:val="18"/>
        </w:numPr>
        <w:spacing w:after="200" w:line="276" w:lineRule="auto"/>
        <w:contextualSpacing/>
        <w:rPr>
          <w:rFonts w:ascii="Times New Roman" w:hAnsi="Times New Roman"/>
        </w:rPr>
      </w:pPr>
      <w:r>
        <w:rPr>
          <w:rFonts w:ascii="Times New Roman" w:hAnsi="Times New Roman"/>
        </w:rPr>
        <w:t xml:space="preserve">Indication of the RBs of </w:t>
      </w:r>
      <w:r w:rsidR="00CE29AB" w:rsidRPr="009D7745">
        <w:rPr>
          <w:rFonts w:ascii="Times New Roman" w:hAnsi="Times New Roman"/>
        </w:rPr>
        <w:t>Guard Band</w:t>
      </w:r>
    </w:p>
    <w:p w14:paraId="6214F0E4" w14:textId="77777777" w:rsidR="00025150" w:rsidRPr="00627411" w:rsidRDefault="00025150" w:rsidP="00025150">
      <w:pPr>
        <w:spacing w:after="200" w:line="276" w:lineRule="auto"/>
        <w:contextualSpacing/>
        <w:rPr>
          <w:b/>
          <w:i/>
        </w:rPr>
      </w:pPr>
      <w:r w:rsidRPr="00627411">
        <w:rPr>
          <w:b/>
          <w:i/>
        </w:rPr>
        <w:t xml:space="preserve">Observation 4: </w:t>
      </w:r>
      <w:r w:rsidR="00BE1BE8">
        <w:rPr>
          <w:b/>
          <w:i/>
        </w:rPr>
        <w:t>In order to make the current specification SFI suitable for sub-band</w:t>
      </w:r>
      <w:r w:rsidR="00634C10">
        <w:rPr>
          <w:b/>
          <w:i/>
        </w:rPr>
        <w:t>s</w:t>
      </w:r>
      <w:r w:rsidR="00BE1BE8">
        <w:rPr>
          <w:b/>
          <w:i/>
        </w:rPr>
        <w:t xml:space="preserve"> indic</w:t>
      </w:r>
      <w:r w:rsidR="00634C10">
        <w:rPr>
          <w:b/>
          <w:i/>
        </w:rPr>
        <w:t>ation</w:t>
      </w:r>
      <w:r w:rsidR="00BE1BE8">
        <w:rPr>
          <w:b/>
          <w:i/>
        </w:rPr>
        <w:t>, the</w:t>
      </w:r>
      <w:r w:rsidRPr="00627411">
        <w:rPr>
          <w:b/>
          <w:i/>
        </w:rPr>
        <w:t xml:space="preserve"> </w:t>
      </w:r>
      <w:r w:rsidR="00A53A0D" w:rsidRPr="00627411">
        <w:rPr>
          <w:b/>
          <w:i/>
        </w:rPr>
        <w:t xml:space="preserve">following fields </w:t>
      </w:r>
      <w:r w:rsidR="00BE1BE8">
        <w:rPr>
          <w:b/>
          <w:i/>
        </w:rPr>
        <w:t>may need to includes in the current SFI indication</w:t>
      </w:r>
      <w:r w:rsidR="00634C10">
        <w:rPr>
          <w:b/>
          <w:i/>
        </w:rPr>
        <w:t>;</w:t>
      </w:r>
    </w:p>
    <w:p w14:paraId="586A3989" w14:textId="77777777" w:rsidR="00A53A0D" w:rsidRPr="00627411" w:rsidRDefault="00627411" w:rsidP="00A53A0D">
      <w:pPr>
        <w:pStyle w:val="ListParagraph"/>
        <w:numPr>
          <w:ilvl w:val="0"/>
          <w:numId w:val="18"/>
        </w:numPr>
        <w:spacing w:after="200" w:line="276" w:lineRule="auto"/>
        <w:contextualSpacing/>
        <w:rPr>
          <w:rFonts w:ascii="Times New Roman" w:hAnsi="Times New Roman"/>
          <w:b/>
          <w:i/>
        </w:rPr>
      </w:pPr>
      <w:r>
        <w:rPr>
          <w:rFonts w:ascii="Times New Roman" w:hAnsi="Times New Roman"/>
          <w:b/>
          <w:i/>
        </w:rPr>
        <w:t>Indication of the s</w:t>
      </w:r>
      <w:r w:rsidR="00A53A0D" w:rsidRPr="00627411">
        <w:rPr>
          <w:rFonts w:ascii="Times New Roman" w:hAnsi="Times New Roman"/>
          <w:b/>
          <w:i/>
        </w:rPr>
        <w:t>tarting of</w:t>
      </w:r>
      <w:r w:rsidR="0051113F">
        <w:rPr>
          <w:rFonts w:ascii="Times New Roman" w:hAnsi="Times New Roman"/>
          <w:b/>
          <w:i/>
        </w:rPr>
        <w:t xml:space="preserve"> </w:t>
      </w:r>
      <w:r w:rsidR="0051113F" w:rsidRPr="00627411">
        <w:rPr>
          <w:rFonts w:ascii="Times New Roman" w:hAnsi="Times New Roman"/>
          <w:b/>
          <w:i/>
        </w:rPr>
        <w:t>RBs</w:t>
      </w:r>
      <w:r w:rsidR="0051113F">
        <w:rPr>
          <w:rFonts w:ascii="Times New Roman" w:hAnsi="Times New Roman"/>
          <w:b/>
          <w:i/>
        </w:rPr>
        <w:t xml:space="preserve"> of</w:t>
      </w:r>
      <w:r w:rsidR="00A53A0D" w:rsidRPr="00627411">
        <w:rPr>
          <w:rFonts w:ascii="Times New Roman" w:hAnsi="Times New Roman"/>
          <w:b/>
          <w:i/>
        </w:rPr>
        <w:t xml:space="preserve"> </w:t>
      </w:r>
      <w:r w:rsidR="0051113F">
        <w:rPr>
          <w:rFonts w:ascii="Times New Roman" w:hAnsi="Times New Roman"/>
          <w:b/>
          <w:i/>
        </w:rPr>
        <w:t xml:space="preserve">the </w:t>
      </w:r>
      <w:r w:rsidR="00A53A0D" w:rsidRPr="00627411">
        <w:rPr>
          <w:rFonts w:ascii="Times New Roman" w:hAnsi="Times New Roman"/>
          <w:b/>
          <w:i/>
        </w:rPr>
        <w:t xml:space="preserve">opposite </w:t>
      </w:r>
      <w:r w:rsidR="0051113F">
        <w:rPr>
          <w:rFonts w:ascii="Times New Roman" w:hAnsi="Times New Roman"/>
          <w:b/>
          <w:i/>
        </w:rPr>
        <w:t>transmission</w:t>
      </w:r>
      <w:r w:rsidR="00634C10">
        <w:rPr>
          <w:rFonts w:ascii="Times New Roman" w:hAnsi="Times New Roman"/>
          <w:b/>
          <w:i/>
        </w:rPr>
        <w:t xml:space="preserve"> sub-band</w:t>
      </w:r>
    </w:p>
    <w:p w14:paraId="7E2E2D62" w14:textId="77777777" w:rsidR="00A53A0D" w:rsidRPr="00627411" w:rsidRDefault="00627411" w:rsidP="00A53A0D">
      <w:pPr>
        <w:pStyle w:val="ListParagraph"/>
        <w:numPr>
          <w:ilvl w:val="0"/>
          <w:numId w:val="18"/>
        </w:numPr>
        <w:spacing w:after="200" w:line="276" w:lineRule="auto"/>
        <w:contextualSpacing/>
        <w:rPr>
          <w:rFonts w:ascii="Times New Roman" w:hAnsi="Times New Roman"/>
          <w:b/>
          <w:i/>
        </w:rPr>
      </w:pPr>
      <w:r>
        <w:rPr>
          <w:rFonts w:ascii="Times New Roman" w:hAnsi="Times New Roman"/>
          <w:b/>
          <w:i/>
        </w:rPr>
        <w:t>Indication of the number of</w:t>
      </w:r>
      <w:r w:rsidR="00A53A0D" w:rsidRPr="00627411">
        <w:rPr>
          <w:rFonts w:ascii="Times New Roman" w:hAnsi="Times New Roman"/>
          <w:b/>
          <w:i/>
        </w:rPr>
        <w:t xml:space="preserve"> </w:t>
      </w:r>
      <w:r w:rsidR="0051113F">
        <w:rPr>
          <w:rFonts w:ascii="Times New Roman" w:hAnsi="Times New Roman"/>
          <w:b/>
          <w:i/>
        </w:rPr>
        <w:t xml:space="preserve">RBs of the </w:t>
      </w:r>
      <w:r w:rsidR="00634C10">
        <w:rPr>
          <w:rFonts w:ascii="Times New Roman" w:hAnsi="Times New Roman"/>
          <w:b/>
          <w:i/>
        </w:rPr>
        <w:t>opposite</w:t>
      </w:r>
      <w:r>
        <w:rPr>
          <w:rFonts w:ascii="Times New Roman" w:hAnsi="Times New Roman"/>
          <w:b/>
          <w:i/>
        </w:rPr>
        <w:t xml:space="preserve"> </w:t>
      </w:r>
      <w:r w:rsidR="0051113F">
        <w:rPr>
          <w:rFonts w:ascii="Times New Roman" w:hAnsi="Times New Roman"/>
          <w:b/>
          <w:i/>
        </w:rPr>
        <w:t>transmission</w:t>
      </w:r>
      <w:r w:rsidR="00634C10">
        <w:rPr>
          <w:rFonts w:ascii="Times New Roman" w:hAnsi="Times New Roman"/>
          <w:b/>
          <w:i/>
        </w:rPr>
        <w:t xml:space="preserve"> sub-band</w:t>
      </w:r>
    </w:p>
    <w:p w14:paraId="4C900907" w14:textId="77777777" w:rsidR="00A53A0D" w:rsidRPr="00627411" w:rsidRDefault="00627411" w:rsidP="00A53A0D">
      <w:pPr>
        <w:pStyle w:val="ListParagraph"/>
        <w:numPr>
          <w:ilvl w:val="0"/>
          <w:numId w:val="18"/>
        </w:numPr>
        <w:spacing w:after="200" w:line="276" w:lineRule="auto"/>
        <w:contextualSpacing/>
        <w:rPr>
          <w:rFonts w:ascii="Times New Roman" w:hAnsi="Times New Roman"/>
          <w:b/>
          <w:i/>
        </w:rPr>
      </w:pPr>
      <w:r>
        <w:rPr>
          <w:rFonts w:ascii="Times New Roman" w:hAnsi="Times New Roman"/>
          <w:b/>
          <w:i/>
        </w:rPr>
        <w:t xml:space="preserve">Indication of the RBs of </w:t>
      </w:r>
      <w:r w:rsidR="00A53A0D" w:rsidRPr="00627411">
        <w:rPr>
          <w:rFonts w:ascii="Times New Roman" w:hAnsi="Times New Roman"/>
          <w:b/>
          <w:i/>
        </w:rPr>
        <w:t>Guard Band</w:t>
      </w:r>
    </w:p>
    <w:p w14:paraId="4CB73845" w14:textId="77777777" w:rsidR="00A53A0D" w:rsidRPr="00025150" w:rsidRDefault="00A53A0D" w:rsidP="00025150">
      <w:pPr>
        <w:spacing w:after="200" w:line="276" w:lineRule="auto"/>
        <w:contextualSpacing/>
      </w:pPr>
    </w:p>
    <w:p w14:paraId="2BF68A08" w14:textId="77777777" w:rsidR="00265624" w:rsidRDefault="00265624" w:rsidP="00265624">
      <w:pPr>
        <w:pStyle w:val="Heading2"/>
        <w:tabs>
          <w:tab w:val="clear" w:pos="432"/>
        </w:tabs>
      </w:pPr>
      <w:r w:rsidRPr="00265624">
        <w:t>Static Configuration and dynamic indication and activation de-activation of sub-bands</w:t>
      </w:r>
    </w:p>
    <w:p w14:paraId="2C1A1C04" w14:textId="516D04D5" w:rsidR="004D27A4" w:rsidRPr="00FD1B33" w:rsidRDefault="009901F0" w:rsidP="004D27A4">
      <w:pPr>
        <w:rPr>
          <w:shd w:val="clear" w:color="auto" w:fill="FFFFFF"/>
          <w:lang w:val="fi-FI"/>
        </w:rPr>
      </w:pPr>
      <w:r>
        <w:rPr>
          <w:shd w:val="clear" w:color="auto" w:fill="FFFFFF"/>
        </w:rPr>
        <w:t>R</w:t>
      </w:r>
      <w:r w:rsidR="004D27A4">
        <w:rPr>
          <w:shd w:val="clear" w:color="auto" w:fill="FFFFFF"/>
        </w:rPr>
        <w:t xml:space="preserve">e-using the existing </w:t>
      </w:r>
      <w:r w:rsidR="007D2C5F">
        <w:rPr>
          <w:shd w:val="clear" w:color="auto" w:fill="FFFFFF"/>
        </w:rPr>
        <w:t xml:space="preserve">conventional </w:t>
      </w:r>
      <w:r w:rsidR="004D27A4">
        <w:rPr>
          <w:shd w:val="clear" w:color="auto" w:fill="FFFFFF"/>
        </w:rPr>
        <w:t>TDD configuration for SBFD operation may</w:t>
      </w:r>
      <w:r>
        <w:rPr>
          <w:shd w:val="clear" w:color="auto" w:fill="FFFFFF"/>
        </w:rPr>
        <w:t xml:space="preserve"> </w:t>
      </w:r>
      <w:r w:rsidR="004D27A4">
        <w:rPr>
          <w:shd w:val="clear" w:color="auto" w:fill="FFFFFF"/>
        </w:rPr>
        <w:t xml:space="preserve">increase the higher layer signaling, and the gNB complexity in handling of collision between SSB and UL sub-bands transmission or PRACH occasion and DL sub-band transmission at the same time slots/symbols. </w:t>
      </w:r>
      <w:r w:rsidR="00874683">
        <w:rPr>
          <w:shd w:val="clear" w:color="auto" w:fill="FFFFFF"/>
        </w:rPr>
        <w:t xml:space="preserve">In order to solve these issues, </w:t>
      </w:r>
      <w:r w:rsidR="004D27A4" w:rsidRPr="00585F8C">
        <w:rPr>
          <w:lang w:val="fi-FI"/>
        </w:rPr>
        <w:t>a</w:t>
      </w:r>
      <w:r>
        <w:rPr>
          <w:lang w:val="fi-FI"/>
        </w:rPr>
        <w:t xml:space="preserve">n alternative method </w:t>
      </w:r>
      <w:r w:rsidR="004D27A4">
        <w:rPr>
          <w:lang w:val="fi-FI"/>
        </w:rPr>
        <w:t xml:space="preserve">of SBFD configuration to </w:t>
      </w:r>
      <w:r w:rsidR="004D27A4">
        <w:rPr>
          <w:lang w:eastAsia="ko-KR"/>
        </w:rPr>
        <w:t xml:space="preserve">inform one or more UEs about </w:t>
      </w:r>
      <w:r w:rsidR="004D27A4" w:rsidRPr="00585F8C">
        <w:rPr>
          <w:lang w:eastAsia="ko-KR"/>
        </w:rPr>
        <w:t>the time and/or frequ</w:t>
      </w:r>
      <w:r w:rsidR="004D27A4">
        <w:rPr>
          <w:lang w:eastAsia="ko-KR"/>
        </w:rPr>
        <w:t xml:space="preserve">ency location of </w:t>
      </w:r>
      <w:r>
        <w:rPr>
          <w:lang w:eastAsia="ko-KR"/>
        </w:rPr>
        <w:t>sub</w:t>
      </w:r>
      <w:r w:rsidR="006F1A51">
        <w:rPr>
          <w:lang w:eastAsia="ko-KR"/>
        </w:rPr>
        <w:t>-</w:t>
      </w:r>
      <w:r w:rsidRPr="00585F8C">
        <w:rPr>
          <w:lang w:eastAsia="ko-KR"/>
        </w:rPr>
        <w:t>bands</w:t>
      </w:r>
      <w:r w:rsidR="00680C79">
        <w:rPr>
          <w:lang w:eastAsia="ko-KR"/>
        </w:rPr>
        <w:t xml:space="preserve"> can be define</w:t>
      </w:r>
      <w:r w:rsidR="00C16001">
        <w:rPr>
          <w:lang w:eastAsia="ko-KR"/>
        </w:rPr>
        <w:t>d</w:t>
      </w:r>
      <w:r>
        <w:rPr>
          <w:lang w:val="fi-FI"/>
        </w:rPr>
        <w:t>. In this method,</w:t>
      </w:r>
      <w:r w:rsidR="00680C79">
        <w:rPr>
          <w:lang w:val="fi-FI"/>
        </w:rPr>
        <w:t xml:space="preserve"> the</w:t>
      </w:r>
      <w:r w:rsidR="004D27A4" w:rsidRPr="00585F8C">
        <w:rPr>
          <w:lang w:val="fi-FI"/>
        </w:rPr>
        <w:t xml:space="preserve"> </w:t>
      </w:r>
      <w:r w:rsidR="004D27A4">
        <w:rPr>
          <w:lang w:val="fi-FI"/>
        </w:rPr>
        <w:t xml:space="preserve">network/gNB </w:t>
      </w:r>
      <w:r w:rsidR="00C16001">
        <w:rPr>
          <w:lang w:val="fi-FI"/>
        </w:rPr>
        <w:t>c</w:t>
      </w:r>
      <w:r w:rsidR="003133FC">
        <w:rPr>
          <w:lang w:val="fi-FI"/>
        </w:rPr>
        <w:t>ould</w:t>
      </w:r>
      <w:r w:rsidR="00C16001">
        <w:rPr>
          <w:lang w:val="fi-FI"/>
        </w:rPr>
        <w:t xml:space="preserve"> </w:t>
      </w:r>
      <w:r w:rsidR="004D27A4">
        <w:rPr>
          <w:lang w:val="fi-FI"/>
        </w:rPr>
        <w:t xml:space="preserve">use higher </w:t>
      </w:r>
      <w:r w:rsidR="004D27A4" w:rsidRPr="00585F8C">
        <w:rPr>
          <w:lang w:val="fi-FI"/>
        </w:rPr>
        <w:t>layer</w:t>
      </w:r>
      <w:r w:rsidR="004D27A4">
        <w:rPr>
          <w:lang w:val="fi-FI"/>
        </w:rPr>
        <w:t xml:space="preserve"> RRC static configuration to configure the time/frequency </w:t>
      </w:r>
      <w:r w:rsidR="004D27A4" w:rsidRPr="00585F8C">
        <w:rPr>
          <w:lang w:val="fi-FI"/>
        </w:rPr>
        <w:t>location</w:t>
      </w:r>
      <w:r w:rsidR="004D27A4">
        <w:rPr>
          <w:lang w:val="fi-FI"/>
        </w:rPr>
        <w:t xml:space="preserve"> and bandwi</w:t>
      </w:r>
      <w:r w:rsidR="00DA7571">
        <w:rPr>
          <w:lang w:val="fi-FI"/>
        </w:rPr>
        <w:t>d</w:t>
      </w:r>
      <w:r w:rsidR="004D27A4">
        <w:rPr>
          <w:lang w:val="fi-FI"/>
        </w:rPr>
        <w:t>th</w:t>
      </w:r>
      <w:r w:rsidR="00680C79">
        <w:rPr>
          <w:lang w:val="fi-FI"/>
        </w:rPr>
        <w:t>s</w:t>
      </w:r>
      <w:r w:rsidR="004D27A4" w:rsidRPr="00585F8C">
        <w:rPr>
          <w:lang w:val="fi-FI"/>
        </w:rPr>
        <w:t xml:space="preserve"> of </w:t>
      </w:r>
      <w:r w:rsidR="004D27A4">
        <w:rPr>
          <w:lang w:val="fi-FI"/>
        </w:rPr>
        <w:t>a pool</w:t>
      </w:r>
      <w:r>
        <w:rPr>
          <w:lang w:val="fi-FI"/>
        </w:rPr>
        <w:t xml:space="preserve"> or </w:t>
      </w:r>
      <w:r w:rsidR="00C16001">
        <w:rPr>
          <w:lang w:val="fi-FI"/>
        </w:rPr>
        <w:t xml:space="preserve">a </w:t>
      </w:r>
      <w:r w:rsidR="00DA7571">
        <w:rPr>
          <w:lang w:val="fi-FI"/>
        </w:rPr>
        <w:t xml:space="preserve">number </w:t>
      </w:r>
      <w:r w:rsidR="004D27A4">
        <w:rPr>
          <w:lang w:val="fi-FI"/>
        </w:rPr>
        <w:t xml:space="preserve">of </w:t>
      </w:r>
      <w:r w:rsidR="004D27A4" w:rsidRPr="00585F8C">
        <w:rPr>
          <w:lang w:val="fi-FI"/>
        </w:rPr>
        <w:t>sub-band</w:t>
      </w:r>
      <w:r w:rsidR="004D27A4">
        <w:rPr>
          <w:lang w:val="fi-FI"/>
        </w:rPr>
        <w:t>s</w:t>
      </w:r>
      <w:r w:rsidR="004D27A4" w:rsidRPr="00585F8C">
        <w:rPr>
          <w:lang w:val="fi-FI"/>
        </w:rPr>
        <w:t xml:space="preserve"> </w:t>
      </w:r>
      <w:r>
        <w:rPr>
          <w:lang w:val="fi-FI"/>
        </w:rPr>
        <w:t>to all SBFD</w:t>
      </w:r>
      <w:r w:rsidR="004D27A4">
        <w:rPr>
          <w:lang w:val="fi-FI"/>
        </w:rPr>
        <w:t xml:space="preserve"> UEs in a cell, and</w:t>
      </w:r>
      <w:r w:rsidR="007D2C5F">
        <w:rPr>
          <w:lang w:val="fi-FI"/>
        </w:rPr>
        <w:t xml:space="preserve"> the</w:t>
      </w:r>
      <w:r w:rsidR="004D27A4">
        <w:rPr>
          <w:lang w:val="fi-FI"/>
        </w:rPr>
        <w:t xml:space="preserve"> network/gNB would further use phsycial layer signaling i.e. DCI</w:t>
      </w:r>
      <w:r w:rsidR="00DA7571">
        <w:rPr>
          <w:lang w:val="fi-FI"/>
        </w:rPr>
        <w:t xml:space="preserve"> </w:t>
      </w:r>
      <w:r w:rsidR="004D27A4">
        <w:rPr>
          <w:lang w:val="fi-FI"/>
        </w:rPr>
        <w:t>or MAC layer signaling i.e. MAC CE</w:t>
      </w:r>
      <w:r w:rsidR="00DA7571">
        <w:rPr>
          <w:lang w:val="fi-FI"/>
        </w:rPr>
        <w:t xml:space="preserve"> to</w:t>
      </w:r>
      <w:r w:rsidR="004D27A4">
        <w:rPr>
          <w:lang w:val="fi-FI"/>
        </w:rPr>
        <w:t xml:space="preserve"> indicate</w:t>
      </w:r>
      <w:r w:rsidR="007D2C5F">
        <w:rPr>
          <w:lang w:val="fi-FI"/>
        </w:rPr>
        <w:t xml:space="preserve"> the DL/UL sub-band</w:t>
      </w:r>
      <w:r w:rsidR="00183A5C">
        <w:rPr>
          <w:lang w:val="fi-FI"/>
        </w:rPr>
        <w:t>s</w:t>
      </w:r>
      <w:r w:rsidR="006F1A51">
        <w:rPr>
          <w:lang w:val="fi-FI"/>
        </w:rPr>
        <w:t xml:space="preserve">, </w:t>
      </w:r>
      <w:r w:rsidR="004D27A4">
        <w:rPr>
          <w:lang w:val="fi-FI"/>
        </w:rPr>
        <w:t>and activate/de-activate the DL/</w:t>
      </w:r>
      <w:r w:rsidR="004D27A4" w:rsidRPr="002F6300">
        <w:rPr>
          <w:lang w:val="fi-FI"/>
        </w:rPr>
        <w:t xml:space="preserve">UL sub-bands to </w:t>
      </w:r>
      <w:r w:rsidR="005F0650">
        <w:rPr>
          <w:lang w:val="fi-FI"/>
        </w:rPr>
        <w:t xml:space="preserve">the </w:t>
      </w:r>
      <w:r w:rsidR="004D27A4" w:rsidRPr="002F6300">
        <w:rPr>
          <w:lang w:val="fi-FI"/>
        </w:rPr>
        <w:t xml:space="preserve">one or more UEs in a cell. </w:t>
      </w:r>
      <w:r w:rsidR="00680C79">
        <w:rPr>
          <w:lang w:val="fi-FI"/>
        </w:rPr>
        <w:t xml:space="preserve">This configuraion and indcation </w:t>
      </w:r>
      <w:r w:rsidR="004D27A4" w:rsidRPr="002F6300">
        <w:rPr>
          <w:lang w:val="fi-FI"/>
        </w:rPr>
        <w:t xml:space="preserve">method </w:t>
      </w:r>
      <w:r w:rsidR="00680C79">
        <w:rPr>
          <w:lang w:val="fi-FI"/>
        </w:rPr>
        <w:t xml:space="preserve">may </w:t>
      </w:r>
      <w:r w:rsidR="004D27A4" w:rsidRPr="002F6300">
        <w:rPr>
          <w:lang w:val="fi-FI"/>
        </w:rPr>
        <w:t xml:space="preserve">simplify the higher layer configuration for SBFD operation, reduce the higher layer signaling overhead, and make the SBFD </w:t>
      </w:r>
      <w:r w:rsidR="00524E65">
        <w:rPr>
          <w:lang w:val="fi-FI"/>
        </w:rPr>
        <w:t xml:space="preserve">operation </w:t>
      </w:r>
      <w:r w:rsidR="004D27A4" w:rsidRPr="002F6300">
        <w:rPr>
          <w:lang w:val="fi-FI"/>
        </w:rPr>
        <w:t>more flexible</w:t>
      </w:r>
      <w:r w:rsidR="00680C79">
        <w:rPr>
          <w:lang w:val="fi-FI"/>
        </w:rPr>
        <w:t xml:space="preserve"> especially in handling the collision of SSB and UL sub-band tranmission at the same time slots/symbols</w:t>
      </w:r>
      <w:r w:rsidR="004D27A4" w:rsidRPr="002F6300">
        <w:rPr>
          <w:lang w:val="fi-FI"/>
        </w:rPr>
        <w:t>.</w:t>
      </w:r>
      <w:r w:rsidR="004D27A4">
        <w:rPr>
          <w:lang w:val="fi-FI"/>
        </w:rPr>
        <w:t xml:space="preserve"> </w:t>
      </w:r>
    </w:p>
    <w:p w14:paraId="00B18765" w14:textId="77777777" w:rsidR="00183A5C" w:rsidRDefault="00183A5C" w:rsidP="004D27A4">
      <w:pPr>
        <w:rPr>
          <w:b/>
          <w:i/>
          <w:lang w:val="fi-FI"/>
        </w:rPr>
      </w:pPr>
      <w:r w:rsidRPr="00183A5C">
        <w:rPr>
          <w:b/>
          <w:i/>
          <w:lang w:val="fi-FI"/>
        </w:rPr>
        <w:t>Observation</w:t>
      </w:r>
      <w:r w:rsidR="00025150">
        <w:rPr>
          <w:b/>
          <w:i/>
          <w:lang w:val="fi-FI"/>
        </w:rPr>
        <w:t xml:space="preserve"> 5</w:t>
      </w:r>
      <w:r w:rsidRPr="00183A5C">
        <w:rPr>
          <w:b/>
          <w:i/>
          <w:lang w:val="fi-FI"/>
        </w:rPr>
        <w:t>: Re-using the existing conventional TDD configuration for SBFD</w:t>
      </w:r>
      <w:r w:rsidR="006F1A51">
        <w:rPr>
          <w:b/>
          <w:i/>
          <w:lang w:val="fi-FI"/>
        </w:rPr>
        <w:t xml:space="preserve"> </w:t>
      </w:r>
      <w:r w:rsidRPr="00183A5C">
        <w:rPr>
          <w:b/>
          <w:i/>
          <w:lang w:val="fi-FI"/>
        </w:rPr>
        <w:t xml:space="preserve">operation may </w:t>
      </w:r>
      <w:r>
        <w:rPr>
          <w:b/>
          <w:i/>
          <w:lang w:val="fi-FI"/>
        </w:rPr>
        <w:t xml:space="preserve">encounter the following issues </w:t>
      </w:r>
    </w:p>
    <w:p w14:paraId="35A3DB2D" w14:textId="77777777" w:rsidR="00183A5C" w:rsidRPr="00183A5C" w:rsidRDefault="00183A5C" w:rsidP="00183A5C">
      <w:pPr>
        <w:pStyle w:val="ListParagraph"/>
        <w:numPr>
          <w:ilvl w:val="0"/>
          <w:numId w:val="23"/>
        </w:numPr>
        <w:rPr>
          <w:rFonts w:ascii="Times New Roman" w:hAnsi="Times New Roman"/>
          <w:b/>
          <w:i/>
          <w:sz w:val="22"/>
          <w:szCs w:val="22"/>
          <w:lang w:val="fi-FI"/>
        </w:rPr>
      </w:pPr>
      <w:r w:rsidRPr="00183A5C">
        <w:rPr>
          <w:rFonts w:ascii="Times New Roman" w:hAnsi="Times New Roman"/>
          <w:b/>
          <w:i/>
          <w:sz w:val="22"/>
          <w:szCs w:val="22"/>
          <w:lang w:val="fi-FI"/>
        </w:rPr>
        <w:t xml:space="preserve">Increas the higher layer singlaings </w:t>
      </w:r>
    </w:p>
    <w:p w14:paraId="6A1C0AA3" w14:textId="77777777" w:rsidR="00183A5C" w:rsidRDefault="00183A5C" w:rsidP="00183A5C">
      <w:pPr>
        <w:pStyle w:val="ListParagraph"/>
        <w:numPr>
          <w:ilvl w:val="0"/>
          <w:numId w:val="23"/>
        </w:numPr>
        <w:rPr>
          <w:rFonts w:ascii="Times New Roman" w:hAnsi="Times New Roman"/>
          <w:b/>
          <w:i/>
          <w:sz w:val="22"/>
          <w:szCs w:val="22"/>
          <w:lang w:val="fi-FI"/>
        </w:rPr>
      </w:pPr>
      <w:r w:rsidRPr="00183A5C">
        <w:rPr>
          <w:rFonts w:ascii="Times New Roman" w:hAnsi="Times New Roman"/>
          <w:b/>
          <w:i/>
          <w:sz w:val="22"/>
          <w:szCs w:val="22"/>
          <w:lang w:val="fi-FI"/>
        </w:rPr>
        <w:t>Increase the gNB complexity in handling of collisin btween SSB and UL sub-band tranmission</w:t>
      </w:r>
    </w:p>
    <w:p w14:paraId="50D10AD9" w14:textId="77777777" w:rsidR="00025150" w:rsidRDefault="00025150" w:rsidP="00025150">
      <w:pPr>
        <w:rPr>
          <w:b/>
          <w:i/>
          <w:lang w:val="fi-FI"/>
        </w:rPr>
      </w:pPr>
      <w:r>
        <w:rPr>
          <w:b/>
          <w:i/>
          <w:lang w:val="fi-FI"/>
        </w:rPr>
        <w:t xml:space="preserve">Observation 6: Static configuration and dynamic indication and activation/de-activation of DL/UL sub-bands to the UE may </w:t>
      </w:r>
    </w:p>
    <w:p w14:paraId="7E99F56E" w14:textId="77777777" w:rsidR="00025150" w:rsidRPr="00F30B9F" w:rsidRDefault="00025150" w:rsidP="00F30B9F">
      <w:pPr>
        <w:pStyle w:val="ListParagraph"/>
        <w:numPr>
          <w:ilvl w:val="0"/>
          <w:numId w:val="27"/>
        </w:numPr>
        <w:rPr>
          <w:rFonts w:ascii="Times New Roman" w:hAnsi="Times New Roman"/>
          <w:b/>
          <w:i/>
          <w:sz w:val="22"/>
          <w:szCs w:val="22"/>
          <w:lang w:val="fi-FI"/>
        </w:rPr>
      </w:pPr>
      <w:r w:rsidRPr="00F30B9F">
        <w:rPr>
          <w:rFonts w:ascii="Times New Roman" w:hAnsi="Times New Roman"/>
          <w:b/>
          <w:i/>
          <w:sz w:val="22"/>
          <w:szCs w:val="22"/>
          <w:lang w:val="fi-FI"/>
        </w:rPr>
        <w:t xml:space="preserve">Reduce the higher layer signlaing </w:t>
      </w:r>
    </w:p>
    <w:p w14:paraId="73696B8D" w14:textId="77777777" w:rsidR="00025150" w:rsidRDefault="00025150" w:rsidP="00F30B9F">
      <w:pPr>
        <w:pStyle w:val="ListParagraph"/>
        <w:numPr>
          <w:ilvl w:val="0"/>
          <w:numId w:val="27"/>
        </w:numPr>
        <w:rPr>
          <w:rFonts w:ascii="Times New Roman" w:hAnsi="Times New Roman"/>
          <w:b/>
          <w:i/>
          <w:sz w:val="22"/>
          <w:szCs w:val="22"/>
          <w:lang w:val="fi-FI"/>
        </w:rPr>
      </w:pPr>
      <w:r w:rsidRPr="00F30B9F">
        <w:rPr>
          <w:rFonts w:ascii="Times New Roman" w:hAnsi="Times New Roman"/>
          <w:b/>
          <w:i/>
          <w:sz w:val="22"/>
          <w:szCs w:val="22"/>
          <w:lang w:val="fi-FI"/>
        </w:rPr>
        <w:t xml:space="preserve">Increase the flexibility of gNB </w:t>
      </w:r>
      <w:r w:rsidR="00F30B9F" w:rsidRPr="00F30B9F">
        <w:rPr>
          <w:rFonts w:ascii="Times New Roman" w:hAnsi="Times New Roman"/>
          <w:b/>
          <w:i/>
          <w:sz w:val="22"/>
          <w:szCs w:val="22"/>
          <w:lang w:val="fi-FI"/>
        </w:rPr>
        <w:t xml:space="preserve">to handle the collision of SSB and UL sub-band trasnmission </w:t>
      </w:r>
    </w:p>
    <w:p w14:paraId="2E500453" w14:textId="77777777" w:rsidR="00A53A0D" w:rsidRPr="00F30B9F" w:rsidRDefault="00A53A0D" w:rsidP="00F30B9F">
      <w:pPr>
        <w:pStyle w:val="ListParagraph"/>
        <w:numPr>
          <w:ilvl w:val="0"/>
          <w:numId w:val="27"/>
        </w:numPr>
        <w:rPr>
          <w:rFonts w:ascii="Times New Roman" w:hAnsi="Times New Roman"/>
          <w:b/>
          <w:i/>
          <w:sz w:val="22"/>
          <w:szCs w:val="22"/>
          <w:lang w:val="fi-FI"/>
        </w:rPr>
      </w:pPr>
    </w:p>
    <w:p w14:paraId="4EC2A09E" w14:textId="77777777" w:rsidR="001905BB" w:rsidRPr="001905BB" w:rsidRDefault="001905BB" w:rsidP="001905BB">
      <w:pPr>
        <w:rPr>
          <w:b/>
        </w:rPr>
      </w:pPr>
      <w:r w:rsidRPr="001905BB">
        <w:rPr>
          <w:b/>
        </w:rPr>
        <w:lastRenderedPageBreak/>
        <w:t>P</w:t>
      </w:r>
      <w:r w:rsidR="00DA7571">
        <w:rPr>
          <w:b/>
        </w:rPr>
        <w:t>roposal</w:t>
      </w:r>
      <w:r w:rsidR="00A53A0D">
        <w:rPr>
          <w:b/>
        </w:rPr>
        <w:t xml:space="preserve"> 6</w:t>
      </w:r>
      <w:r w:rsidR="00DA7571">
        <w:rPr>
          <w:b/>
        </w:rPr>
        <w:t xml:space="preserve">: study an alternative method </w:t>
      </w:r>
      <w:r w:rsidR="000F1167">
        <w:rPr>
          <w:b/>
        </w:rPr>
        <w:t xml:space="preserve">of </w:t>
      </w:r>
      <w:r w:rsidR="00183A5C">
        <w:rPr>
          <w:b/>
        </w:rPr>
        <w:t>SBFD configuration, where RRC static configuration can be used to configure a pool of</w:t>
      </w:r>
      <w:r w:rsidRPr="001905BB">
        <w:rPr>
          <w:b/>
        </w:rPr>
        <w:t xml:space="preserve"> sub-bands</w:t>
      </w:r>
      <w:r w:rsidR="004D27A4">
        <w:rPr>
          <w:b/>
        </w:rPr>
        <w:t xml:space="preserve"> to all the SBFD capable UEs in a cell</w:t>
      </w:r>
      <w:r w:rsidRPr="001905BB">
        <w:rPr>
          <w:b/>
        </w:rPr>
        <w:t xml:space="preserve"> and</w:t>
      </w:r>
      <w:r w:rsidR="000F1167">
        <w:rPr>
          <w:b/>
        </w:rPr>
        <w:t xml:space="preserve"> DCI or MAC CE can be used to indicate </w:t>
      </w:r>
      <w:r w:rsidRPr="001905BB">
        <w:rPr>
          <w:b/>
        </w:rPr>
        <w:t>and</w:t>
      </w:r>
      <w:r w:rsidR="000F1167">
        <w:rPr>
          <w:b/>
        </w:rPr>
        <w:t xml:space="preserve"> activate/de-activate the DL/UL sub-bands to one or more UEs in a cell</w:t>
      </w:r>
      <w:r w:rsidRPr="001905BB">
        <w:rPr>
          <w:b/>
        </w:rPr>
        <w:t xml:space="preserve">. </w:t>
      </w:r>
    </w:p>
    <w:p w14:paraId="1B98BDA5" w14:textId="77777777" w:rsidR="00525E29" w:rsidRDefault="00525E29" w:rsidP="00525E29">
      <w:pPr>
        <w:pStyle w:val="Heading1"/>
        <w:tabs>
          <w:tab w:val="clear" w:pos="432"/>
        </w:tabs>
        <w:rPr>
          <w:lang w:eastAsia="zh-CN"/>
        </w:rPr>
      </w:pPr>
      <w:r>
        <w:rPr>
          <w:lang w:eastAsia="zh-CN"/>
        </w:rPr>
        <w:t>Interference management in</w:t>
      </w:r>
      <w:r w:rsidR="004D382B">
        <w:rPr>
          <w:lang w:eastAsia="zh-CN"/>
        </w:rPr>
        <w:t xml:space="preserve"> SBFD operation</w:t>
      </w:r>
    </w:p>
    <w:p w14:paraId="4DB01A2A" w14:textId="77777777" w:rsidR="00A80540" w:rsidRDefault="00A80540" w:rsidP="00A80540">
      <w:pPr>
        <w:pStyle w:val="Heading2"/>
        <w:rPr>
          <w:lang w:eastAsia="zh-CN"/>
        </w:rPr>
      </w:pPr>
      <w:r>
        <w:rPr>
          <w:lang w:eastAsia="zh-CN"/>
        </w:rPr>
        <w:t xml:space="preserve">gNB self-Interference </w:t>
      </w:r>
    </w:p>
    <w:p w14:paraId="77E89213" w14:textId="6250F766" w:rsidR="006B460C" w:rsidRPr="00214657" w:rsidRDefault="003D6DB7" w:rsidP="006B460C">
      <w:pPr>
        <w:rPr>
          <w:bCs/>
          <w:iCs/>
        </w:rPr>
      </w:pPr>
      <w:r>
        <w:t>For gNB self-interference h</w:t>
      </w:r>
      <w:r w:rsidR="00FF1BD8">
        <w:t xml:space="preserve">andling, several solutions </w:t>
      </w:r>
      <w:r>
        <w:t xml:space="preserve">proposed </w:t>
      </w:r>
      <w:r w:rsidR="006B460C" w:rsidRPr="00CE1893">
        <w:rPr>
          <w:bCs/>
          <w:iCs/>
        </w:rPr>
        <w:t>in 3GPP RAN1#109-e meeting such as, Tx/Rx isolation, spatial domain isolation, and advance receiver.</w:t>
      </w:r>
      <w:r w:rsidR="00C60CE8">
        <w:rPr>
          <w:bCs/>
          <w:iCs/>
        </w:rPr>
        <w:t xml:space="preserve"> Although</w:t>
      </w:r>
      <w:r w:rsidR="006B460C" w:rsidRPr="00CE1893">
        <w:rPr>
          <w:bCs/>
          <w:iCs/>
        </w:rPr>
        <w:t>, most of these solutions</w:t>
      </w:r>
      <w:r>
        <w:rPr>
          <w:bCs/>
          <w:iCs/>
        </w:rPr>
        <w:t xml:space="preserve"> </w:t>
      </w:r>
      <w:r w:rsidR="00214657">
        <w:rPr>
          <w:bCs/>
          <w:iCs/>
        </w:rPr>
        <w:t xml:space="preserve">are useful </w:t>
      </w:r>
      <w:r w:rsidR="005F0650">
        <w:rPr>
          <w:bCs/>
          <w:iCs/>
        </w:rPr>
        <w:t xml:space="preserve">but they </w:t>
      </w:r>
      <w:r w:rsidR="006B460C" w:rsidRPr="00CE1893">
        <w:rPr>
          <w:bCs/>
          <w:iCs/>
        </w:rPr>
        <w:t>may</w:t>
      </w:r>
      <w:r w:rsidR="00C60CE8">
        <w:rPr>
          <w:bCs/>
          <w:iCs/>
        </w:rPr>
        <w:t xml:space="preserve"> increase the hardware cost. In our view, together with</w:t>
      </w:r>
      <w:r w:rsidR="00006E5A">
        <w:rPr>
          <w:bCs/>
          <w:iCs/>
        </w:rPr>
        <w:t xml:space="preserve"> the</w:t>
      </w:r>
      <w:r w:rsidR="00C60CE8">
        <w:rPr>
          <w:bCs/>
          <w:iCs/>
        </w:rPr>
        <w:t xml:space="preserve"> hardware enh</w:t>
      </w:r>
      <w:r w:rsidR="00214657">
        <w:rPr>
          <w:bCs/>
          <w:iCs/>
        </w:rPr>
        <w:t>ancement</w:t>
      </w:r>
      <w:r w:rsidR="00C60CE8">
        <w:rPr>
          <w:bCs/>
          <w:iCs/>
        </w:rPr>
        <w:t xml:space="preserve"> based </w:t>
      </w:r>
      <w:r w:rsidR="00214657">
        <w:rPr>
          <w:bCs/>
          <w:iCs/>
        </w:rPr>
        <w:t>solutions</w:t>
      </w:r>
      <w:r w:rsidR="00006E5A">
        <w:rPr>
          <w:bCs/>
          <w:iCs/>
        </w:rPr>
        <w:t>,</w:t>
      </w:r>
      <w:r w:rsidR="00C60CE8">
        <w:rPr>
          <w:bCs/>
          <w:iCs/>
        </w:rPr>
        <w:t xml:space="preserve"> </w:t>
      </w:r>
      <w:r w:rsidR="006B460C" w:rsidRPr="00CE1893">
        <w:rPr>
          <w:bCs/>
          <w:iCs/>
        </w:rPr>
        <w:t>several</w:t>
      </w:r>
      <w:r w:rsidR="00006E5A">
        <w:rPr>
          <w:bCs/>
          <w:iCs/>
        </w:rPr>
        <w:t xml:space="preserve"> other</w:t>
      </w:r>
      <w:r w:rsidR="006B460C" w:rsidRPr="00CE1893">
        <w:rPr>
          <w:bCs/>
          <w:iCs/>
        </w:rPr>
        <w:t xml:space="preserve"> cost effective solutions based on the sub-band carrier or RBs configuration </w:t>
      </w:r>
      <w:r w:rsidR="00C60CE8">
        <w:rPr>
          <w:bCs/>
          <w:iCs/>
        </w:rPr>
        <w:t>can be studied</w:t>
      </w:r>
      <w:r w:rsidR="00FF1BD8">
        <w:rPr>
          <w:bCs/>
          <w:iCs/>
        </w:rPr>
        <w:t>,</w:t>
      </w:r>
      <w:r w:rsidR="00C60CE8">
        <w:rPr>
          <w:bCs/>
          <w:iCs/>
        </w:rPr>
        <w:t xml:space="preserve"> in order </w:t>
      </w:r>
      <w:r w:rsidR="006B460C" w:rsidRPr="00CE1893">
        <w:rPr>
          <w:bCs/>
          <w:iCs/>
        </w:rPr>
        <w:t>to reduce the effect of gNB self-interference.</w:t>
      </w:r>
      <w:r w:rsidR="006B460C">
        <w:rPr>
          <w:bCs/>
          <w:iCs/>
        </w:rPr>
        <w:t xml:space="preserve"> </w:t>
      </w:r>
      <w:r w:rsidR="00C60CE8">
        <w:rPr>
          <w:bCs/>
          <w:iCs/>
        </w:rPr>
        <w:t>For instance</w:t>
      </w:r>
      <w:r w:rsidR="006B460C">
        <w:rPr>
          <w:bCs/>
          <w:iCs/>
        </w:rPr>
        <w:t xml:space="preserve">, </w:t>
      </w:r>
      <w:r w:rsidR="00C60CE8">
        <w:rPr>
          <w:bCs/>
          <w:iCs/>
        </w:rPr>
        <w:t xml:space="preserve">when </w:t>
      </w:r>
      <w:r w:rsidR="006B460C">
        <w:rPr>
          <w:bCs/>
          <w:iCs/>
        </w:rPr>
        <w:t>an UL sub-band in DL slots configured in such a way that the UL sub-band located in the inner RBs of a TDD band</w:t>
      </w:r>
      <w:r w:rsidR="00FF1BD8">
        <w:rPr>
          <w:bCs/>
          <w:iCs/>
        </w:rPr>
        <w:t xml:space="preserve"> as shown in Figure 4</w:t>
      </w:r>
      <w:r w:rsidR="007C4296">
        <w:rPr>
          <w:bCs/>
          <w:iCs/>
        </w:rPr>
        <w:t>. I</w:t>
      </w:r>
      <w:r w:rsidR="00214657">
        <w:rPr>
          <w:bCs/>
          <w:iCs/>
        </w:rPr>
        <w:t xml:space="preserve">t </w:t>
      </w:r>
      <w:r w:rsidR="006B460C">
        <w:rPr>
          <w:bCs/>
          <w:iCs/>
        </w:rPr>
        <w:t xml:space="preserve">will create </w:t>
      </w:r>
      <w:r w:rsidR="00006E5A">
        <w:rPr>
          <w:bCs/>
          <w:iCs/>
        </w:rPr>
        <w:t xml:space="preserve">double fold </w:t>
      </w:r>
      <w:r w:rsidR="006B460C">
        <w:rPr>
          <w:bCs/>
          <w:iCs/>
        </w:rPr>
        <w:t>gNB self-interference</w:t>
      </w:r>
      <w:r w:rsidR="007C4296">
        <w:rPr>
          <w:bCs/>
          <w:iCs/>
        </w:rPr>
        <w:t xml:space="preserve">; </w:t>
      </w:r>
      <w:r w:rsidR="006B460C">
        <w:rPr>
          <w:bCs/>
          <w:iCs/>
        </w:rPr>
        <w:t xml:space="preserve">the interference </w:t>
      </w:r>
      <w:r w:rsidR="00006E5A">
        <w:rPr>
          <w:bCs/>
          <w:iCs/>
        </w:rPr>
        <w:t xml:space="preserve">of </w:t>
      </w:r>
      <w:r w:rsidR="006B460C">
        <w:rPr>
          <w:bCs/>
          <w:iCs/>
        </w:rPr>
        <w:t>the upper RBs</w:t>
      </w:r>
      <w:r w:rsidR="00FF1BD8">
        <w:rPr>
          <w:bCs/>
          <w:iCs/>
        </w:rPr>
        <w:t xml:space="preserve"> of DL sub-band</w:t>
      </w:r>
      <w:r w:rsidR="006B460C">
        <w:rPr>
          <w:bCs/>
          <w:iCs/>
        </w:rPr>
        <w:t xml:space="preserve"> to the inner RBs</w:t>
      </w:r>
      <w:r w:rsidR="00FF1BD8">
        <w:rPr>
          <w:bCs/>
          <w:iCs/>
        </w:rPr>
        <w:t xml:space="preserve"> of the UL sub-band</w:t>
      </w:r>
      <w:r w:rsidR="006B460C">
        <w:rPr>
          <w:bCs/>
          <w:iCs/>
        </w:rPr>
        <w:t xml:space="preserve"> (self-interference 1), and the interference of the lower RBs</w:t>
      </w:r>
      <w:r w:rsidR="00FF1BD8">
        <w:rPr>
          <w:bCs/>
          <w:iCs/>
        </w:rPr>
        <w:t xml:space="preserve"> of DL sub-band</w:t>
      </w:r>
      <w:r w:rsidR="006B460C">
        <w:rPr>
          <w:bCs/>
          <w:iCs/>
        </w:rPr>
        <w:t xml:space="preserve"> to the inner RBs</w:t>
      </w:r>
      <w:r w:rsidR="00FF1BD8">
        <w:rPr>
          <w:bCs/>
          <w:iCs/>
        </w:rPr>
        <w:t xml:space="preserve"> of the UL sub-band</w:t>
      </w:r>
      <w:r w:rsidR="006B460C">
        <w:rPr>
          <w:bCs/>
          <w:iCs/>
        </w:rPr>
        <w:t xml:space="preserve"> (self-interference 2) as shown in the Figure</w:t>
      </w:r>
      <w:r w:rsidR="007C4296">
        <w:rPr>
          <w:bCs/>
          <w:iCs/>
        </w:rPr>
        <w:t xml:space="preserve"> 4</w:t>
      </w:r>
      <w:r w:rsidR="006B460C">
        <w:rPr>
          <w:bCs/>
          <w:iCs/>
        </w:rPr>
        <w:t xml:space="preserve">. </w:t>
      </w:r>
    </w:p>
    <w:p w14:paraId="3038D46C" w14:textId="77777777" w:rsidR="006B460C" w:rsidRDefault="00964983" w:rsidP="006B460C">
      <w:pPr>
        <w:keepNext/>
        <w:jc w:val="center"/>
      </w:pPr>
      <w:r>
        <w:object w:dxaOrig="4161" w:dyaOrig="3000" w14:anchorId="7D906BB1">
          <v:shape id="_x0000_i1030" type="#_x0000_t75" style="width:246.4pt;height:178.15pt" o:ole="">
            <v:imagedata r:id="rId19" o:title=""/>
          </v:shape>
          <o:OLEObject Type="Embed" ProgID="Visio.Drawing.15" ShapeID="_x0000_i1030" DrawAspect="Content" ObjectID="_1721813444" r:id="rId20"/>
        </w:object>
      </w:r>
    </w:p>
    <w:p w14:paraId="0F39EDE8" w14:textId="77777777" w:rsidR="006B460C" w:rsidRDefault="006B460C" w:rsidP="006B460C">
      <w:pPr>
        <w:pStyle w:val="Caption"/>
      </w:pPr>
      <w:r>
        <w:t xml:space="preserve">Figure </w:t>
      </w:r>
      <w:r w:rsidR="00C60CE8">
        <w:t>4</w:t>
      </w:r>
      <w:r>
        <w:t xml:space="preserve"> gNB Self Interference</w:t>
      </w:r>
    </w:p>
    <w:p w14:paraId="3C689960" w14:textId="77777777" w:rsidR="006F08B2" w:rsidRPr="006F08B2" w:rsidRDefault="006F08B2" w:rsidP="006F08B2">
      <w:pPr>
        <w:rPr>
          <w:b/>
          <w:i/>
        </w:rPr>
      </w:pPr>
      <w:r w:rsidRPr="00FC0142">
        <w:rPr>
          <w:b/>
          <w:i/>
        </w:rPr>
        <w:t>Observation</w:t>
      </w:r>
      <w:r w:rsidR="00B11F2F">
        <w:rPr>
          <w:b/>
          <w:i/>
        </w:rPr>
        <w:t xml:space="preserve"> 7</w:t>
      </w:r>
      <w:r w:rsidRPr="00FC0142">
        <w:rPr>
          <w:b/>
          <w:i/>
        </w:rPr>
        <w:t>: The UL sub-bands in DL or flexibl</w:t>
      </w:r>
      <w:r>
        <w:rPr>
          <w:b/>
          <w:i/>
        </w:rPr>
        <w:t>e slots/symbols in the inner</w:t>
      </w:r>
      <w:r w:rsidR="00924AF7">
        <w:rPr>
          <w:b/>
          <w:i/>
        </w:rPr>
        <w:t xml:space="preserve"> carriers or inner RBs of a TDD band</w:t>
      </w:r>
      <w:r w:rsidRPr="00FC0142">
        <w:rPr>
          <w:b/>
          <w:i/>
        </w:rPr>
        <w:t xml:space="preserve"> may </w:t>
      </w:r>
      <w:r>
        <w:rPr>
          <w:b/>
          <w:i/>
        </w:rPr>
        <w:t xml:space="preserve">create </w:t>
      </w:r>
      <w:r w:rsidR="00006E5A">
        <w:rPr>
          <w:b/>
          <w:i/>
        </w:rPr>
        <w:t xml:space="preserve">double fold </w:t>
      </w:r>
      <w:r w:rsidRPr="00FC0142">
        <w:rPr>
          <w:b/>
          <w:i/>
        </w:rPr>
        <w:t>gNB self-interference</w:t>
      </w:r>
      <w:r>
        <w:rPr>
          <w:b/>
          <w:i/>
        </w:rPr>
        <w:t xml:space="preserve">. </w:t>
      </w:r>
    </w:p>
    <w:p w14:paraId="13D0C547" w14:textId="77777777" w:rsidR="007C4296" w:rsidRDefault="00FF1BD8" w:rsidP="007C4296">
      <w:r>
        <w:t xml:space="preserve">This </w:t>
      </w:r>
      <w:r w:rsidR="00006E5A">
        <w:t xml:space="preserve">double fold </w:t>
      </w:r>
      <w:r>
        <w:t xml:space="preserve">gNB </w:t>
      </w:r>
      <w:r w:rsidR="00924AF7">
        <w:t>self-interference can be reduce</w:t>
      </w:r>
      <w:r>
        <w:t xml:space="preserve"> by </w:t>
      </w:r>
      <w:r w:rsidR="00A81752">
        <w:t xml:space="preserve">configuring </w:t>
      </w:r>
      <w:r w:rsidR="006B460C">
        <w:t xml:space="preserve">the edge carriers or </w:t>
      </w:r>
      <w:r>
        <w:t xml:space="preserve">outer </w:t>
      </w:r>
      <w:r w:rsidR="006B460C">
        <w:t>RBs</w:t>
      </w:r>
      <w:r>
        <w:t xml:space="preserve"> for an opposite direction </w:t>
      </w:r>
      <w:r w:rsidR="00A81752">
        <w:t>sub-band</w:t>
      </w:r>
      <w:r w:rsidR="006B460C">
        <w:t>. For instance, the configuration of UL sub-band in DL slots in the lower RBs</w:t>
      </w:r>
      <w:r w:rsidR="00C60CE8">
        <w:t xml:space="preserve"> or upper RBs</w:t>
      </w:r>
      <w:r w:rsidR="006F08B2">
        <w:t xml:space="preserve"> may reduce the </w:t>
      </w:r>
      <w:r w:rsidR="00B11F2F">
        <w:t xml:space="preserve">double fold </w:t>
      </w:r>
      <w:r w:rsidR="006F08B2">
        <w:t>gNB self-interference to</w:t>
      </w:r>
      <w:r w:rsidR="006B460C">
        <w:t xml:space="preserve"> </w:t>
      </w:r>
      <w:r w:rsidR="00B11F2F">
        <w:t xml:space="preserve">one fold </w:t>
      </w:r>
      <w:r w:rsidR="006F08B2">
        <w:t>gNB self-</w:t>
      </w:r>
      <w:r w:rsidR="006B460C">
        <w:t>interference (</w:t>
      </w:r>
      <w:r w:rsidR="007C4296">
        <w:t>self-interference</w:t>
      </w:r>
      <w:r w:rsidR="006B460C">
        <w:t xml:space="preserve"> 1) as shown in the F</w:t>
      </w:r>
      <w:r w:rsidR="00C60CE8">
        <w:t>igure 5a and 5b</w:t>
      </w:r>
      <w:r w:rsidR="006B460C">
        <w:t xml:space="preserve">. </w:t>
      </w:r>
      <w:r w:rsidR="007C4296">
        <w:t xml:space="preserve">Furthermore, decreasing the number of sub-bands within a TDD band may also help in reducing the effect of gNB self-interference. </w:t>
      </w:r>
    </w:p>
    <w:p w14:paraId="4B2D009F" w14:textId="77777777" w:rsidR="006B460C" w:rsidRDefault="006B460C" w:rsidP="006B460C"/>
    <w:p w14:paraId="187DA6B6" w14:textId="77777777" w:rsidR="006B460C" w:rsidRDefault="00964983" w:rsidP="006B460C">
      <w:pPr>
        <w:keepNext/>
        <w:jc w:val="center"/>
      </w:pPr>
      <w:r>
        <w:object w:dxaOrig="2540" w:dyaOrig="1690" w14:anchorId="28806F2C">
          <v:shape id="_x0000_i1031" type="#_x0000_t75" style="width:226.35pt;height:150.9pt" o:ole="">
            <v:imagedata r:id="rId21" o:title=""/>
          </v:shape>
          <o:OLEObject Type="Embed" ProgID="Visio.Drawing.15" ShapeID="_x0000_i1031" DrawAspect="Content" ObjectID="_1721813445" r:id="rId22"/>
        </w:object>
      </w:r>
      <w:r>
        <w:object w:dxaOrig="2540" w:dyaOrig="1700" w14:anchorId="6235A6DA">
          <v:shape id="_x0000_i1032" type="#_x0000_t75" style="width:221.15pt;height:148pt" o:ole="">
            <v:imagedata r:id="rId23" o:title=""/>
          </v:shape>
          <o:OLEObject Type="Embed" ProgID="Visio.Drawing.15" ShapeID="_x0000_i1032" DrawAspect="Content" ObjectID="_1721813446" r:id="rId24"/>
        </w:object>
      </w:r>
    </w:p>
    <w:p w14:paraId="27714A84" w14:textId="77777777" w:rsidR="005151C3" w:rsidRDefault="006B460C" w:rsidP="008B3FA3">
      <w:pPr>
        <w:pStyle w:val="Caption"/>
        <w:jc w:val="left"/>
      </w:pPr>
      <w:r>
        <w:t xml:space="preserve">Figure </w:t>
      </w:r>
      <w:r w:rsidR="008B3FA3">
        <w:t>5a</w:t>
      </w:r>
      <w:r>
        <w:t xml:space="preserve"> </w:t>
      </w:r>
      <w:r w:rsidR="005151C3">
        <w:t>Sub-bands configuration in upper RBs</w:t>
      </w:r>
      <w:r w:rsidR="008B3FA3">
        <w:t xml:space="preserve">                   Figure </w:t>
      </w:r>
      <w:r w:rsidR="005151C3">
        <w:t>5b S</w:t>
      </w:r>
      <w:r w:rsidR="008B3FA3">
        <w:t>ub-band</w:t>
      </w:r>
      <w:r w:rsidR="005151C3">
        <w:t>s</w:t>
      </w:r>
      <w:r w:rsidR="008B3FA3">
        <w:t xml:space="preserve"> configuration in </w:t>
      </w:r>
      <w:r w:rsidR="005151C3">
        <w:t>Lower</w:t>
      </w:r>
      <w:r w:rsidR="008B3FA3">
        <w:t xml:space="preserve"> RBs         </w:t>
      </w:r>
    </w:p>
    <w:p w14:paraId="40447ED9" w14:textId="77777777" w:rsidR="006B460C" w:rsidRDefault="008B3FA3" w:rsidP="008B3FA3">
      <w:pPr>
        <w:pStyle w:val="Caption"/>
        <w:jc w:val="left"/>
      </w:pPr>
      <w:r>
        <w:t xml:space="preserve">            </w:t>
      </w:r>
    </w:p>
    <w:p w14:paraId="1EC31CF5" w14:textId="77777777" w:rsidR="007C4296" w:rsidRPr="00FC0142" w:rsidRDefault="007C4296" w:rsidP="006B460C">
      <w:pPr>
        <w:rPr>
          <w:b/>
          <w:i/>
        </w:rPr>
      </w:pPr>
      <w:r w:rsidRPr="00FC0142">
        <w:rPr>
          <w:b/>
          <w:i/>
        </w:rPr>
        <w:t>Observation</w:t>
      </w:r>
      <w:r w:rsidR="00B11F2F">
        <w:rPr>
          <w:b/>
          <w:i/>
        </w:rPr>
        <w:t xml:space="preserve"> 8</w:t>
      </w:r>
      <w:r w:rsidRPr="00FC0142">
        <w:rPr>
          <w:b/>
          <w:i/>
        </w:rPr>
        <w:t xml:space="preserve">: The UL sub-bands in DL or flexible slots/symbols in the edge RBs may reduce the gNB </w:t>
      </w:r>
      <w:r w:rsidR="00FC0142" w:rsidRPr="00FC0142">
        <w:rPr>
          <w:b/>
          <w:i/>
        </w:rPr>
        <w:t>self-interference</w:t>
      </w:r>
      <w:r w:rsidRPr="00FC0142">
        <w:rPr>
          <w:b/>
          <w:i/>
        </w:rPr>
        <w:t xml:space="preserve">. </w:t>
      </w:r>
    </w:p>
    <w:p w14:paraId="3E3A997A" w14:textId="77777777" w:rsidR="006B460C" w:rsidRPr="009A1507" w:rsidRDefault="007C4296" w:rsidP="006B460C">
      <w:pPr>
        <w:rPr>
          <w:b/>
          <w:i/>
        </w:rPr>
      </w:pPr>
      <w:r w:rsidRPr="00FC0142">
        <w:rPr>
          <w:b/>
          <w:i/>
        </w:rPr>
        <w:t>Observation</w:t>
      </w:r>
      <w:r w:rsidR="00B70197">
        <w:rPr>
          <w:b/>
          <w:i/>
        </w:rPr>
        <w:t xml:space="preserve"> 9</w:t>
      </w:r>
      <w:r w:rsidRPr="00FC0142">
        <w:rPr>
          <w:b/>
          <w:i/>
        </w:rPr>
        <w:t xml:space="preserve">: Less number of sub-bands </w:t>
      </w:r>
      <w:r w:rsidR="00FC0142" w:rsidRPr="00FC0142">
        <w:rPr>
          <w:b/>
          <w:i/>
        </w:rPr>
        <w:t xml:space="preserve">within a TDD band may </w:t>
      </w:r>
      <w:r w:rsidRPr="00FC0142">
        <w:rPr>
          <w:b/>
          <w:i/>
        </w:rPr>
        <w:t>reduce the gNB self-interference.</w:t>
      </w:r>
    </w:p>
    <w:p w14:paraId="691EB92E" w14:textId="77777777" w:rsidR="009A1507" w:rsidRDefault="00B70197" w:rsidP="009A1507">
      <w:pPr>
        <w:pStyle w:val="Heading2"/>
        <w:rPr>
          <w:lang w:eastAsia="zh-CN"/>
        </w:rPr>
      </w:pPr>
      <w:r>
        <w:rPr>
          <w:lang w:eastAsia="zh-CN"/>
        </w:rPr>
        <w:t xml:space="preserve">Co-channel </w:t>
      </w:r>
      <w:r w:rsidR="00A80540">
        <w:rPr>
          <w:lang w:eastAsia="zh-CN"/>
        </w:rPr>
        <w:t xml:space="preserve">Intra sub-bands interference </w:t>
      </w:r>
      <w:r w:rsidR="009A1507">
        <w:rPr>
          <w:lang w:eastAsia="zh-CN"/>
        </w:rPr>
        <w:t>management</w:t>
      </w:r>
    </w:p>
    <w:p w14:paraId="5AB30E13" w14:textId="77777777" w:rsidR="006B460C" w:rsidRDefault="00B70197" w:rsidP="006B460C">
      <w:pPr>
        <w:rPr>
          <w:bCs/>
        </w:rPr>
      </w:pPr>
      <w:r>
        <w:rPr>
          <w:bCs/>
        </w:rPr>
        <w:t>gNB to gNB c</w:t>
      </w:r>
      <w:r w:rsidR="006B460C" w:rsidRPr="00B27ED3">
        <w:rPr>
          <w:bCs/>
        </w:rPr>
        <w:t>o-cha</w:t>
      </w:r>
      <w:r w:rsidR="006B460C">
        <w:rPr>
          <w:bCs/>
        </w:rPr>
        <w:t>nnel intra</w:t>
      </w:r>
      <w:r w:rsidR="006B460C" w:rsidRPr="00B27ED3">
        <w:rPr>
          <w:bCs/>
        </w:rPr>
        <w:t xml:space="preserve"> sub-band</w:t>
      </w:r>
      <w:r w:rsidR="006B460C">
        <w:rPr>
          <w:bCs/>
        </w:rPr>
        <w:t xml:space="preserve"> interference</w:t>
      </w:r>
      <w:r w:rsidR="005151C3">
        <w:rPr>
          <w:bCs/>
        </w:rPr>
        <w:t xml:space="preserve"> may</w:t>
      </w:r>
      <w:r w:rsidR="008218B9">
        <w:rPr>
          <w:bCs/>
        </w:rPr>
        <w:t xml:space="preserve"> exists when </w:t>
      </w:r>
      <w:r w:rsidR="007524ED">
        <w:rPr>
          <w:bCs/>
        </w:rPr>
        <w:t xml:space="preserve">the neighbor’s gNBs configured with different </w:t>
      </w:r>
      <w:r w:rsidR="006B460C">
        <w:rPr>
          <w:bCs/>
        </w:rPr>
        <w:t>sub-</w:t>
      </w:r>
      <w:r w:rsidR="006B460C" w:rsidRPr="00B27ED3">
        <w:rPr>
          <w:bCs/>
        </w:rPr>
        <w:t>band</w:t>
      </w:r>
      <w:r w:rsidR="006B460C">
        <w:rPr>
          <w:bCs/>
        </w:rPr>
        <w:t xml:space="preserve">s parameters </w:t>
      </w:r>
      <w:r w:rsidR="007524ED">
        <w:rPr>
          <w:bCs/>
        </w:rPr>
        <w:t>as explained below</w:t>
      </w:r>
      <w:r w:rsidR="006B460C">
        <w:rPr>
          <w:bCs/>
        </w:rPr>
        <w:t xml:space="preserve">: </w:t>
      </w:r>
    </w:p>
    <w:p w14:paraId="222FCC1E" w14:textId="77777777" w:rsidR="007524ED" w:rsidRDefault="007524ED" w:rsidP="0060665B">
      <w:pPr>
        <w:pStyle w:val="ListParagraph"/>
        <w:numPr>
          <w:ilvl w:val="0"/>
          <w:numId w:val="13"/>
        </w:numPr>
        <w:spacing w:after="200" w:line="276" w:lineRule="auto"/>
        <w:contextualSpacing/>
        <w:rPr>
          <w:rFonts w:ascii="Times New Roman" w:hAnsi="Times New Roman"/>
          <w:bCs/>
          <w:sz w:val="22"/>
          <w:szCs w:val="22"/>
        </w:rPr>
      </w:pPr>
      <w:r w:rsidRPr="007524ED">
        <w:rPr>
          <w:rFonts w:ascii="Times New Roman" w:hAnsi="Times New Roman"/>
          <w:bCs/>
          <w:sz w:val="22"/>
          <w:szCs w:val="22"/>
        </w:rPr>
        <w:t>Allocating d</w:t>
      </w:r>
      <w:r w:rsidR="006B460C" w:rsidRPr="007524ED">
        <w:rPr>
          <w:rFonts w:ascii="Times New Roman" w:hAnsi="Times New Roman"/>
          <w:bCs/>
          <w:sz w:val="22"/>
          <w:szCs w:val="22"/>
        </w:rPr>
        <w:t xml:space="preserve">ifferent bandwidth of UL to </w:t>
      </w:r>
      <w:r w:rsidR="008146EA">
        <w:rPr>
          <w:rFonts w:ascii="Times New Roman" w:hAnsi="Times New Roman"/>
          <w:bCs/>
          <w:sz w:val="22"/>
          <w:szCs w:val="22"/>
        </w:rPr>
        <w:t xml:space="preserve">UL and DL to DL sub-bands between </w:t>
      </w:r>
      <w:r w:rsidR="00E82104" w:rsidRPr="007524ED">
        <w:rPr>
          <w:rFonts w:ascii="Times New Roman" w:hAnsi="Times New Roman"/>
          <w:bCs/>
          <w:sz w:val="22"/>
          <w:szCs w:val="22"/>
        </w:rPr>
        <w:t xml:space="preserve">the </w:t>
      </w:r>
      <w:r w:rsidR="008218B9" w:rsidRPr="007524ED">
        <w:rPr>
          <w:rFonts w:ascii="Times New Roman" w:hAnsi="Times New Roman"/>
          <w:bCs/>
          <w:sz w:val="22"/>
          <w:szCs w:val="22"/>
        </w:rPr>
        <w:t>neighbor</w:t>
      </w:r>
      <w:r w:rsidR="006B460C" w:rsidRPr="007524ED">
        <w:rPr>
          <w:rFonts w:ascii="Times New Roman" w:hAnsi="Times New Roman"/>
          <w:bCs/>
          <w:sz w:val="22"/>
          <w:szCs w:val="22"/>
        </w:rPr>
        <w:t xml:space="preserve"> gNBs</w:t>
      </w:r>
      <w:r>
        <w:rPr>
          <w:rFonts w:ascii="Times New Roman" w:hAnsi="Times New Roman"/>
          <w:bCs/>
          <w:sz w:val="22"/>
          <w:szCs w:val="22"/>
        </w:rPr>
        <w:t xml:space="preserve"> as shown in Figure 6a</w:t>
      </w:r>
      <w:r w:rsidR="00432796" w:rsidRPr="007524ED">
        <w:rPr>
          <w:rFonts w:ascii="Times New Roman" w:hAnsi="Times New Roman"/>
          <w:bCs/>
          <w:sz w:val="22"/>
          <w:szCs w:val="22"/>
        </w:rPr>
        <w:t xml:space="preserve">. </w:t>
      </w:r>
      <w:r>
        <w:rPr>
          <w:rFonts w:ascii="Times New Roman" w:hAnsi="Times New Roman"/>
          <w:bCs/>
          <w:sz w:val="22"/>
          <w:szCs w:val="22"/>
        </w:rPr>
        <w:t>I</w:t>
      </w:r>
      <w:r w:rsidR="00890B1C">
        <w:rPr>
          <w:rFonts w:ascii="Times New Roman" w:hAnsi="Times New Roman"/>
          <w:bCs/>
          <w:sz w:val="22"/>
          <w:szCs w:val="22"/>
        </w:rPr>
        <w:t xml:space="preserve">n this case, the same set of </w:t>
      </w:r>
      <w:r>
        <w:rPr>
          <w:rFonts w:ascii="Times New Roman" w:hAnsi="Times New Roman"/>
          <w:bCs/>
          <w:sz w:val="22"/>
          <w:szCs w:val="22"/>
        </w:rPr>
        <w:t xml:space="preserve">RBs of DL sub-band at gNB1 may create intra sub-band interference to </w:t>
      </w:r>
      <w:r w:rsidR="00890B1C">
        <w:rPr>
          <w:rFonts w:ascii="Times New Roman" w:hAnsi="Times New Roman"/>
          <w:bCs/>
          <w:sz w:val="22"/>
          <w:szCs w:val="22"/>
        </w:rPr>
        <w:t xml:space="preserve">the same set of RBs of the UL sub-band at gNB2. </w:t>
      </w:r>
    </w:p>
    <w:p w14:paraId="1EB64CE1" w14:textId="77777777" w:rsidR="00432796" w:rsidRPr="007524ED" w:rsidRDefault="006B460C" w:rsidP="0060665B">
      <w:pPr>
        <w:pStyle w:val="ListParagraph"/>
        <w:numPr>
          <w:ilvl w:val="0"/>
          <w:numId w:val="13"/>
        </w:numPr>
        <w:spacing w:after="200" w:line="276" w:lineRule="auto"/>
        <w:contextualSpacing/>
        <w:rPr>
          <w:rFonts w:ascii="Times New Roman" w:hAnsi="Times New Roman"/>
          <w:bCs/>
          <w:sz w:val="22"/>
          <w:szCs w:val="22"/>
        </w:rPr>
      </w:pPr>
      <w:r w:rsidRPr="007524ED">
        <w:rPr>
          <w:rFonts w:ascii="Times New Roman" w:hAnsi="Times New Roman"/>
          <w:bCs/>
          <w:sz w:val="22"/>
          <w:szCs w:val="22"/>
        </w:rPr>
        <w:t>Allocati</w:t>
      </w:r>
      <w:r w:rsidR="00326194">
        <w:rPr>
          <w:rFonts w:ascii="Times New Roman" w:hAnsi="Times New Roman"/>
          <w:bCs/>
          <w:sz w:val="22"/>
          <w:szCs w:val="22"/>
        </w:rPr>
        <w:t>ng</w:t>
      </w:r>
      <w:r w:rsidRPr="007524ED">
        <w:rPr>
          <w:rFonts w:ascii="Times New Roman" w:hAnsi="Times New Roman"/>
          <w:bCs/>
          <w:sz w:val="22"/>
          <w:szCs w:val="22"/>
        </w:rPr>
        <w:t xml:space="preserve"> dissimilar sub-bands</w:t>
      </w:r>
      <w:r w:rsidR="008146EA">
        <w:rPr>
          <w:rFonts w:ascii="Times New Roman" w:hAnsi="Times New Roman"/>
          <w:bCs/>
          <w:sz w:val="22"/>
          <w:szCs w:val="22"/>
        </w:rPr>
        <w:t xml:space="preserve"> to UL and DL transmission between</w:t>
      </w:r>
      <w:r w:rsidR="00326194">
        <w:rPr>
          <w:rFonts w:ascii="Times New Roman" w:hAnsi="Times New Roman"/>
          <w:bCs/>
          <w:sz w:val="22"/>
          <w:szCs w:val="22"/>
        </w:rPr>
        <w:t xml:space="preserve"> the</w:t>
      </w:r>
      <w:r w:rsidRPr="007524ED">
        <w:rPr>
          <w:rFonts w:ascii="Times New Roman" w:hAnsi="Times New Roman"/>
          <w:bCs/>
          <w:sz w:val="22"/>
          <w:szCs w:val="22"/>
        </w:rPr>
        <w:t xml:space="preserve"> </w:t>
      </w:r>
      <w:r w:rsidR="005151C3" w:rsidRPr="007524ED">
        <w:rPr>
          <w:rFonts w:ascii="Times New Roman" w:hAnsi="Times New Roman"/>
          <w:bCs/>
          <w:sz w:val="22"/>
          <w:szCs w:val="22"/>
        </w:rPr>
        <w:t>neighbor</w:t>
      </w:r>
      <w:r w:rsidRPr="007524ED">
        <w:rPr>
          <w:rFonts w:ascii="Times New Roman" w:hAnsi="Times New Roman"/>
          <w:bCs/>
          <w:sz w:val="22"/>
          <w:szCs w:val="22"/>
        </w:rPr>
        <w:t xml:space="preserve"> gNBs</w:t>
      </w:r>
      <w:r w:rsidR="00890B1C">
        <w:rPr>
          <w:rFonts w:ascii="Times New Roman" w:hAnsi="Times New Roman"/>
          <w:bCs/>
          <w:sz w:val="22"/>
          <w:szCs w:val="22"/>
        </w:rPr>
        <w:t xml:space="preserve"> as shown in Figure 6b</w:t>
      </w:r>
      <w:r w:rsidR="00432796" w:rsidRPr="007524ED">
        <w:rPr>
          <w:rFonts w:ascii="Times New Roman" w:hAnsi="Times New Roman"/>
          <w:bCs/>
          <w:sz w:val="22"/>
          <w:szCs w:val="22"/>
        </w:rPr>
        <w:t>.</w:t>
      </w:r>
      <w:r w:rsidR="00890B1C">
        <w:rPr>
          <w:rFonts w:ascii="Times New Roman" w:hAnsi="Times New Roman"/>
          <w:bCs/>
          <w:sz w:val="22"/>
          <w:szCs w:val="22"/>
        </w:rPr>
        <w:t xml:space="preserve"> In this case, the DL sub-band#2 at gNB1 and DL sub-band#1 at gNB2 may creat</w:t>
      </w:r>
      <w:r w:rsidR="00326194">
        <w:rPr>
          <w:rFonts w:ascii="Times New Roman" w:hAnsi="Times New Roman"/>
          <w:bCs/>
          <w:sz w:val="22"/>
          <w:szCs w:val="22"/>
        </w:rPr>
        <w:t>e intra sub-band interference to the</w:t>
      </w:r>
      <w:r w:rsidR="00890B1C">
        <w:rPr>
          <w:rFonts w:ascii="Times New Roman" w:hAnsi="Times New Roman"/>
          <w:bCs/>
          <w:sz w:val="22"/>
          <w:szCs w:val="22"/>
        </w:rPr>
        <w:t xml:space="preserve"> UL sub-band#2 at gNB2 and UL sub-band#1 at gNB1 respectively. </w:t>
      </w:r>
    </w:p>
    <w:p w14:paraId="52B00D22" w14:textId="77777777" w:rsidR="005151C3" w:rsidRPr="005151C3" w:rsidRDefault="006B460C" w:rsidP="00432796">
      <w:pPr>
        <w:pStyle w:val="ListParagraph"/>
        <w:numPr>
          <w:ilvl w:val="0"/>
          <w:numId w:val="13"/>
        </w:numPr>
        <w:spacing w:after="200" w:line="276" w:lineRule="auto"/>
        <w:contextualSpacing/>
        <w:rPr>
          <w:rFonts w:ascii="Times New Roman" w:hAnsi="Times New Roman"/>
          <w:bCs/>
          <w:sz w:val="22"/>
          <w:szCs w:val="22"/>
        </w:rPr>
      </w:pPr>
      <w:r w:rsidRPr="005151C3">
        <w:rPr>
          <w:rFonts w:ascii="Times New Roman" w:hAnsi="Times New Roman"/>
          <w:bCs/>
          <w:sz w:val="22"/>
          <w:szCs w:val="22"/>
        </w:rPr>
        <w:t>Allocation of dissimilar quantity of sub-bands to UL and DL transmi</w:t>
      </w:r>
      <w:r w:rsidR="008146EA">
        <w:rPr>
          <w:rFonts w:ascii="Times New Roman" w:hAnsi="Times New Roman"/>
          <w:bCs/>
          <w:sz w:val="22"/>
          <w:szCs w:val="22"/>
        </w:rPr>
        <w:t>ssion between</w:t>
      </w:r>
      <w:r w:rsidRPr="005151C3">
        <w:rPr>
          <w:rFonts w:ascii="Times New Roman" w:hAnsi="Times New Roman"/>
          <w:bCs/>
          <w:sz w:val="22"/>
          <w:szCs w:val="22"/>
        </w:rPr>
        <w:t xml:space="preserve"> </w:t>
      </w:r>
      <w:r w:rsidR="008218B9" w:rsidRPr="005151C3">
        <w:rPr>
          <w:rFonts w:ascii="Times New Roman" w:hAnsi="Times New Roman"/>
          <w:bCs/>
          <w:sz w:val="22"/>
          <w:szCs w:val="22"/>
        </w:rPr>
        <w:t>neighbor</w:t>
      </w:r>
      <w:r w:rsidRPr="005151C3">
        <w:rPr>
          <w:rFonts w:ascii="Times New Roman" w:hAnsi="Times New Roman"/>
          <w:bCs/>
          <w:sz w:val="22"/>
          <w:szCs w:val="22"/>
        </w:rPr>
        <w:t xml:space="preserve"> gNBs</w:t>
      </w:r>
      <w:r w:rsidR="00890B1C">
        <w:rPr>
          <w:rFonts w:ascii="Times New Roman" w:hAnsi="Times New Roman"/>
          <w:bCs/>
          <w:sz w:val="22"/>
          <w:szCs w:val="22"/>
        </w:rPr>
        <w:t xml:space="preserve"> as shown in Figure 7a</w:t>
      </w:r>
      <w:r w:rsidR="00432796" w:rsidRPr="005151C3">
        <w:rPr>
          <w:rFonts w:ascii="Times New Roman" w:hAnsi="Times New Roman"/>
          <w:bCs/>
          <w:sz w:val="22"/>
          <w:szCs w:val="22"/>
        </w:rPr>
        <w:t xml:space="preserve">. </w:t>
      </w:r>
      <w:r w:rsidR="00890B1C">
        <w:rPr>
          <w:rFonts w:ascii="Times New Roman" w:hAnsi="Times New Roman"/>
          <w:bCs/>
          <w:sz w:val="22"/>
          <w:szCs w:val="22"/>
        </w:rPr>
        <w:t xml:space="preserve">In this case, the DL sub-band#2 at gNB1 may create intra sub-band interference to the UL sub-band#2 at gNB2. </w:t>
      </w:r>
    </w:p>
    <w:p w14:paraId="46F4B06F" w14:textId="77777777" w:rsidR="006B460C" w:rsidRPr="005151C3" w:rsidRDefault="006B460C" w:rsidP="006B460C">
      <w:pPr>
        <w:pStyle w:val="ListParagraph"/>
        <w:numPr>
          <w:ilvl w:val="0"/>
          <w:numId w:val="13"/>
        </w:numPr>
        <w:spacing w:after="200" w:line="276" w:lineRule="auto"/>
        <w:contextualSpacing/>
        <w:rPr>
          <w:rFonts w:ascii="Times New Roman" w:hAnsi="Times New Roman"/>
          <w:bCs/>
          <w:sz w:val="22"/>
          <w:szCs w:val="22"/>
        </w:rPr>
      </w:pPr>
      <w:r w:rsidRPr="005151C3">
        <w:rPr>
          <w:rFonts w:ascii="Times New Roman" w:hAnsi="Times New Roman"/>
          <w:bCs/>
          <w:sz w:val="22"/>
          <w:szCs w:val="22"/>
        </w:rPr>
        <w:t>Configuration of diffe</w:t>
      </w:r>
      <w:r w:rsidR="008146EA">
        <w:rPr>
          <w:rFonts w:ascii="Times New Roman" w:hAnsi="Times New Roman"/>
          <w:bCs/>
          <w:sz w:val="22"/>
          <w:szCs w:val="22"/>
        </w:rPr>
        <w:t xml:space="preserve">rent numbers of sub-bands between </w:t>
      </w:r>
      <w:r w:rsidR="005151C3" w:rsidRPr="005151C3">
        <w:rPr>
          <w:rFonts w:ascii="Times New Roman" w:hAnsi="Times New Roman"/>
          <w:bCs/>
          <w:sz w:val="22"/>
          <w:szCs w:val="22"/>
        </w:rPr>
        <w:t>neighbor</w:t>
      </w:r>
      <w:r w:rsidRPr="005151C3">
        <w:rPr>
          <w:rFonts w:ascii="Times New Roman" w:hAnsi="Times New Roman"/>
          <w:bCs/>
          <w:sz w:val="22"/>
          <w:szCs w:val="22"/>
        </w:rPr>
        <w:t xml:space="preserve"> gNBs</w:t>
      </w:r>
      <w:r w:rsidR="00890B1C">
        <w:rPr>
          <w:rFonts w:ascii="Times New Roman" w:hAnsi="Times New Roman"/>
          <w:bCs/>
          <w:sz w:val="22"/>
          <w:szCs w:val="22"/>
        </w:rPr>
        <w:t xml:space="preserve"> as shown in Figure 7b</w:t>
      </w:r>
      <w:r w:rsidR="00432796" w:rsidRPr="005151C3">
        <w:rPr>
          <w:rFonts w:ascii="Times New Roman" w:hAnsi="Times New Roman"/>
          <w:bCs/>
          <w:sz w:val="22"/>
          <w:szCs w:val="22"/>
        </w:rPr>
        <w:t>.</w:t>
      </w:r>
      <w:r w:rsidR="00890B1C">
        <w:rPr>
          <w:rFonts w:ascii="Times New Roman" w:hAnsi="Times New Roman"/>
          <w:bCs/>
          <w:sz w:val="22"/>
          <w:szCs w:val="22"/>
        </w:rPr>
        <w:t>In this case</w:t>
      </w:r>
      <w:r w:rsidR="00705F2D">
        <w:rPr>
          <w:rFonts w:ascii="Times New Roman" w:hAnsi="Times New Roman"/>
          <w:bCs/>
          <w:sz w:val="22"/>
          <w:szCs w:val="22"/>
        </w:rPr>
        <w:t xml:space="preserve">, </w:t>
      </w:r>
      <w:r w:rsidR="00890B1C">
        <w:rPr>
          <w:rFonts w:ascii="Times New Roman" w:hAnsi="Times New Roman"/>
          <w:bCs/>
          <w:sz w:val="22"/>
          <w:szCs w:val="22"/>
        </w:rPr>
        <w:t xml:space="preserve">a similar set of RBs of DL sub-band#2 at gNB1 may create intra sub-band interference to the </w:t>
      </w:r>
      <w:r w:rsidR="008146EA">
        <w:rPr>
          <w:rFonts w:ascii="Times New Roman" w:hAnsi="Times New Roman"/>
          <w:bCs/>
          <w:sz w:val="22"/>
          <w:szCs w:val="22"/>
        </w:rPr>
        <w:t>similar set</w:t>
      </w:r>
      <w:r w:rsidR="00326194">
        <w:rPr>
          <w:rFonts w:ascii="Times New Roman" w:hAnsi="Times New Roman"/>
          <w:bCs/>
          <w:sz w:val="22"/>
          <w:szCs w:val="22"/>
        </w:rPr>
        <w:t xml:space="preserve"> of RBs of UL sub-band#1 at gNB2</w:t>
      </w:r>
      <w:r w:rsidR="008146EA">
        <w:rPr>
          <w:rFonts w:ascii="Times New Roman" w:hAnsi="Times New Roman"/>
          <w:bCs/>
          <w:sz w:val="22"/>
          <w:szCs w:val="22"/>
        </w:rPr>
        <w:t xml:space="preserve">. </w:t>
      </w:r>
    </w:p>
    <w:p w14:paraId="34217F6C" w14:textId="77777777" w:rsidR="006B460C" w:rsidRDefault="002B1981" w:rsidP="002B1981">
      <w:pPr>
        <w:keepNext/>
        <w:jc w:val="left"/>
      </w:pPr>
      <w:r>
        <w:object w:dxaOrig="4240" w:dyaOrig="2020" w14:anchorId="3F4ED80E">
          <v:shape id="_x0000_i1033" type="#_x0000_t75" style="width:204.55pt;height:97.25pt" o:ole="">
            <v:imagedata r:id="rId25" o:title=""/>
          </v:shape>
          <o:OLEObject Type="Embed" ProgID="Visio.Drawing.15" ShapeID="_x0000_i1033" DrawAspect="Content" ObjectID="_1721813447" r:id="rId26"/>
        </w:object>
      </w:r>
      <w:r w:rsidR="00165B87">
        <w:object w:dxaOrig="4340" w:dyaOrig="1730" w14:anchorId="4EC36947">
          <v:shape id="_x0000_i1034" type="#_x0000_t75" style="width:255.3pt;height:102.4pt" o:ole="">
            <v:imagedata r:id="rId27" o:title=""/>
          </v:shape>
          <o:OLEObject Type="Embed" ProgID="Visio.Drawing.15" ShapeID="_x0000_i1034" DrawAspect="Content" ObjectID="_1721813448" r:id="rId28"/>
        </w:object>
      </w:r>
    </w:p>
    <w:p w14:paraId="042217B2" w14:textId="77777777" w:rsidR="006B460C" w:rsidRDefault="006B460C" w:rsidP="005151C3">
      <w:pPr>
        <w:pStyle w:val="Caption"/>
        <w:jc w:val="left"/>
      </w:pPr>
      <w:r>
        <w:t xml:space="preserve">Figure </w:t>
      </w:r>
      <w:r w:rsidR="008C2D39">
        <w:fldChar w:fldCharType="begin"/>
      </w:r>
      <w:r w:rsidR="008C2D39">
        <w:instrText xml:space="preserve"> SEQ Figure \* ARABIC </w:instrText>
      </w:r>
      <w:r w:rsidR="008C2D39">
        <w:fldChar w:fldCharType="separate"/>
      </w:r>
      <w:r>
        <w:rPr>
          <w:noProof/>
        </w:rPr>
        <w:t>6</w:t>
      </w:r>
      <w:r w:rsidR="008C2D39">
        <w:rPr>
          <w:noProof/>
        </w:rPr>
        <w:fldChar w:fldCharType="end"/>
      </w:r>
      <w:r w:rsidR="00E82104">
        <w:t>a</w:t>
      </w:r>
      <w:r>
        <w:t xml:space="preserve"> different bandwidth</w:t>
      </w:r>
      <w:r w:rsidR="005151C3">
        <w:t xml:space="preserve"> scenario                                            </w:t>
      </w:r>
      <w:r>
        <w:t xml:space="preserve">Figure </w:t>
      </w:r>
      <w:r w:rsidR="00705F2D">
        <w:t>6b</w:t>
      </w:r>
      <w:r>
        <w:t xml:space="preserve"> dissimilar sub-band</w:t>
      </w:r>
      <w:r w:rsidR="005151C3">
        <w:t xml:space="preserve">s scenario </w:t>
      </w:r>
    </w:p>
    <w:p w14:paraId="2AF3C9C1" w14:textId="77777777" w:rsidR="006B460C" w:rsidRPr="00537B71" w:rsidRDefault="006B460C" w:rsidP="006B460C">
      <w:pPr>
        <w:rPr>
          <w:b/>
        </w:rPr>
      </w:pPr>
    </w:p>
    <w:p w14:paraId="658FAC88" w14:textId="77777777" w:rsidR="006B460C" w:rsidRDefault="00C7235E" w:rsidP="00165B87">
      <w:pPr>
        <w:keepNext/>
        <w:jc w:val="left"/>
      </w:pPr>
      <w:r>
        <w:object w:dxaOrig="4440" w:dyaOrig="1810" w14:anchorId="39AA9A9E">
          <v:shape id="_x0000_i1035" type="#_x0000_t75" style="width:3in;height:87.5pt" o:ole="">
            <v:imagedata r:id="rId29" o:title=""/>
          </v:shape>
          <o:OLEObject Type="Embed" ProgID="Visio.Drawing.15" ShapeID="_x0000_i1035" DrawAspect="Content" ObjectID="_1721813449" r:id="rId30"/>
        </w:object>
      </w:r>
      <w:r w:rsidR="00432796">
        <w:object w:dxaOrig="4530" w:dyaOrig="1710" w14:anchorId="60FA605C">
          <v:shape id="_x0000_i1036" type="#_x0000_t75" style="width:244.4pt;height:91.8pt" o:ole="">
            <v:imagedata r:id="rId31" o:title=""/>
          </v:shape>
          <o:OLEObject Type="Embed" ProgID="Visio.Drawing.15" ShapeID="_x0000_i1036" DrawAspect="Content" ObjectID="_1721813450" r:id="rId32"/>
        </w:object>
      </w:r>
    </w:p>
    <w:p w14:paraId="53DAB8D1" w14:textId="77777777" w:rsidR="006B460C" w:rsidRDefault="006B460C" w:rsidP="005151C3">
      <w:pPr>
        <w:pStyle w:val="Caption"/>
        <w:jc w:val="left"/>
      </w:pPr>
      <w:r>
        <w:t xml:space="preserve">Figure </w:t>
      </w:r>
      <w:r w:rsidR="00705F2D">
        <w:t>7a</w:t>
      </w:r>
      <w:r>
        <w:t xml:space="preserve"> different </w:t>
      </w:r>
      <w:r w:rsidRPr="00E52BA3">
        <w:t>sub-band</w:t>
      </w:r>
      <w:r>
        <w:t>s allocation</w:t>
      </w:r>
      <w:r w:rsidR="005151C3">
        <w:t xml:space="preserve"> scenario            </w:t>
      </w:r>
      <w:r>
        <w:t xml:space="preserve">Figure </w:t>
      </w:r>
      <w:r w:rsidR="00705F2D">
        <w:t>7b</w:t>
      </w:r>
      <w:r>
        <w:t xml:space="preserve"> </w:t>
      </w:r>
      <w:r w:rsidR="005151C3">
        <w:t xml:space="preserve">different </w:t>
      </w:r>
      <w:r w:rsidRPr="00C82F98">
        <w:t>sub-band</w:t>
      </w:r>
      <w:r w:rsidR="005151C3">
        <w:t>s</w:t>
      </w:r>
      <w:r w:rsidRPr="00C82F98">
        <w:t xml:space="preserve"> </w:t>
      </w:r>
      <w:r w:rsidR="005151C3">
        <w:t>number scenario</w:t>
      </w:r>
    </w:p>
    <w:p w14:paraId="08F11AD9" w14:textId="77777777" w:rsidR="008146EA" w:rsidRDefault="00A73C7E" w:rsidP="006B460C">
      <w:r>
        <w:t>In the same way</w:t>
      </w:r>
      <w:r w:rsidR="008146EA">
        <w:t xml:space="preserve">, the aforementioned scenarios may also create UE to UE co-channel intra sub-band interference. </w:t>
      </w:r>
    </w:p>
    <w:p w14:paraId="249FA00B" w14:textId="77777777" w:rsidR="008146EA" w:rsidRDefault="008146EA" w:rsidP="008146EA">
      <w:r>
        <w:t>In our view,</w:t>
      </w:r>
      <w:r w:rsidR="004E2BCA">
        <w:t xml:space="preserve"> the</w:t>
      </w:r>
      <w:r>
        <w:t xml:space="preserve"> gNB to gNB and UE to UE co-channel intra sub-band interference can be avoided</w:t>
      </w:r>
      <w:r w:rsidR="004E2BCA">
        <w:t xml:space="preserve">. For this purpose, </w:t>
      </w:r>
      <w:r>
        <w:t xml:space="preserve">the </w:t>
      </w:r>
      <w:r w:rsidR="004E2BCA">
        <w:t>neighbor</w:t>
      </w:r>
      <w:r>
        <w:t xml:space="preserve"> gNBs</w:t>
      </w:r>
      <w:r w:rsidR="00974E52">
        <w:t xml:space="preserve"> may need to</w:t>
      </w:r>
      <w:r>
        <w:t xml:space="preserve"> exchange </w:t>
      </w:r>
      <w:r w:rsidR="004E2BCA" w:rsidRPr="00CE1893">
        <w:t>SBFD assistanc</w:t>
      </w:r>
      <w:r w:rsidR="004E2BCA">
        <w:t>e information among each other, such as</w:t>
      </w:r>
      <w:r w:rsidR="004E2BCA" w:rsidRPr="00CE1893">
        <w:t xml:space="preserve"> the bandwidth of sub-band,</w:t>
      </w:r>
      <w:r w:rsidR="004E2BCA">
        <w:t xml:space="preserve"> the</w:t>
      </w:r>
      <w:r w:rsidR="004E2BCA" w:rsidRPr="00CE1893">
        <w:t xml:space="preserve"> number of</w:t>
      </w:r>
      <w:r w:rsidR="004E2BCA">
        <w:t xml:space="preserve"> configured</w:t>
      </w:r>
      <w:r w:rsidR="004E2BCA" w:rsidRPr="00CE1893">
        <w:t xml:space="preserve"> sub-bands, </w:t>
      </w:r>
      <w:r w:rsidR="004E2BCA">
        <w:t xml:space="preserve">the </w:t>
      </w:r>
      <w:r w:rsidR="004E2BCA" w:rsidRPr="00CE1893">
        <w:t>allocation of sub-band to UL/DL transmission etc. Based on</w:t>
      </w:r>
      <w:r w:rsidR="004E2BCA">
        <w:t xml:space="preserve"> the information exchange, the neighbor gNBs can adopt the </w:t>
      </w:r>
      <w:r w:rsidR="00974E52">
        <w:t xml:space="preserve">following </w:t>
      </w:r>
      <w:r w:rsidR="004E2BCA">
        <w:t>solutions points to avoid the intra sub-band interference.</w:t>
      </w:r>
    </w:p>
    <w:p w14:paraId="1ACB9C17" w14:textId="77777777" w:rsidR="006B460C" w:rsidRPr="004E2BCA" w:rsidRDefault="006B460C" w:rsidP="008146EA">
      <w:pPr>
        <w:pStyle w:val="ListParagraph"/>
        <w:numPr>
          <w:ilvl w:val="0"/>
          <w:numId w:val="12"/>
        </w:numPr>
        <w:spacing w:after="200" w:line="276" w:lineRule="auto"/>
        <w:contextualSpacing/>
        <w:rPr>
          <w:rFonts w:ascii="Times New Roman" w:hAnsi="Times New Roman"/>
          <w:sz w:val="22"/>
          <w:szCs w:val="22"/>
        </w:rPr>
      </w:pPr>
      <w:r w:rsidRPr="004E2BCA">
        <w:rPr>
          <w:rFonts w:ascii="Times New Roman" w:hAnsi="Times New Roman"/>
          <w:sz w:val="22"/>
          <w:szCs w:val="22"/>
        </w:rPr>
        <w:t xml:space="preserve">Keep the same bandwidth of UL to UL and DL to DL sub-bands among the </w:t>
      </w:r>
      <w:r w:rsidR="00705F2D" w:rsidRPr="004E2BCA">
        <w:rPr>
          <w:rFonts w:ascii="Times New Roman" w:hAnsi="Times New Roman"/>
          <w:sz w:val="22"/>
          <w:szCs w:val="22"/>
        </w:rPr>
        <w:t>neighbor</w:t>
      </w:r>
      <w:r w:rsidRPr="004E2BCA">
        <w:rPr>
          <w:rFonts w:ascii="Times New Roman" w:hAnsi="Times New Roman"/>
          <w:sz w:val="22"/>
          <w:szCs w:val="22"/>
        </w:rPr>
        <w:t xml:space="preserve"> gNBs</w:t>
      </w:r>
    </w:p>
    <w:p w14:paraId="102FECE2" w14:textId="77777777" w:rsidR="006B460C" w:rsidRPr="004E2BCA" w:rsidRDefault="006B460C" w:rsidP="006B460C">
      <w:pPr>
        <w:pStyle w:val="ListParagraph"/>
        <w:numPr>
          <w:ilvl w:val="0"/>
          <w:numId w:val="12"/>
        </w:numPr>
        <w:spacing w:after="200" w:line="276" w:lineRule="auto"/>
        <w:contextualSpacing/>
        <w:rPr>
          <w:rFonts w:ascii="Times New Roman" w:hAnsi="Times New Roman"/>
          <w:sz w:val="22"/>
          <w:szCs w:val="22"/>
        </w:rPr>
      </w:pPr>
      <w:r w:rsidRPr="004E2BCA">
        <w:rPr>
          <w:rFonts w:ascii="Times New Roman" w:hAnsi="Times New Roman"/>
          <w:sz w:val="22"/>
          <w:szCs w:val="22"/>
        </w:rPr>
        <w:t xml:space="preserve">Assign alike sub-bands to UL and DL transmission among the </w:t>
      </w:r>
      <w:r w:rsidR="00705F2D" w:rsidRPr="004E2BCA">
        <w:rPr>
          <w:rFonts w:ascii="Times New Roman" w:hAnsi="Times New Roman"/>
          <w:sz w:val="22"/>
          <w:szCs w:val="22"/>
        </w:rPr>
        <w:t>neighbor</w:t>
      </w:r>
      <w:r w:rsidRPr="004E2BCA">
        <w:rPr>
          <w:rFonts w:ascii="Times New Roman" w:hAnsi="Times New Roman"/>
          <w:sz w:val="22"/>
          <w:szCs w:val="22"/>
        </w:rPr>
        <w:t xml:space="preserve"> gNBs </w:t>
      </w:r>
    </w:p>
    <w:p w14:paraId="199F5B5E" w14:textId="77777777" w:rsidR="006B460C" w:rsidRPr="004E2BCA" w:rsidRDefault="006B460C" w:rsidP="006B460C">
      <w:pPr>
        <w:pStyle w:val="ListParagraph"/>
        <w:numPr>
          <w:ilvl w:val="0"/>
          <w:numId w:val="12"/>
        </w:numPr>
        <w:spacing w:after="200" w:line="276" w:lineRule="auto"/>
        <w:contextualSpacing/>
        <w:rPr>
          <w:rFonts w:ascii="Times New Roman" w:hAnsi="Times New Roman"/>
          <w:sz w:val="22"/>
          <w:szCs w:val="22"/>
        </w:rPr>
      </w:pPr>
      <w:r w:rsidRPr="004E2BCA">
        <w:rPr>
          <w:rFonts w:ascii="Times New Roman" w:hAnsi="Times New Roman"/>
          <w:sz w:val="22"/>
          <w:szCs w:val="22"/>
        </w:rPr>
        <w:t xml:space="preserve">Allocate similar quantity of sub-bands to DL and UL transmission among the </w:t>
      </w:r>
      <w:r w:rsidR="00705F2D" w:rsidRPr="004E2BCA">
        <w:rPr>
          <w:rFonts w:ascii="Times New Roman" w:hAnsi="Times New Roman"/>
          <w:sz w:val="22"/>
          <w:szCs w:val="22"/>
        </w:rPr>
        <w:t>neighbor</w:t>
      </w:r>
      <w:r w:rsidRPr="004E2BCA">
        <w:rPr>
          <w:rFonts w:ascii="Times New Roman" w:hAnsi="Times New Roman"/>
          <w:sz w:val="22"/>
          <w:szCs w:val="22"/>
        </w:rPr>
        <w:t xml:space="preserve"> gNBs </w:t>
      </w:r>
    </w:p>
    <w:p w14:paraId="1180E0A5" w14:textId="77777777" w:rsidR="006B460C" w:rsidRDefault="006B460C" w:rsidP="006B460C">
      <w:pPr>
        <w:pStyle w:val="ListParagraph"/>
        <w:numPr>
          <w:ilvl w:val="0"/>
          <w:numId w:val="12"/>
        </w:numPr>
        <w:spacing w:after="200" w:line="276" w:lineRule="auto"/>
        <w:contextualSpacing/>
        <w:rPr>
          <w:rFonts w:ascii="Times New Roman" w:hAnsi="Times New Roman"/>
          <w:sz w:val="22"/>
          <w:szCs w:val="22"/>
        </w:rPr>
      </w:pPr>
      <w:r w:rsidRPr="004E2BCA">
        <w:rPr>
          <w:rFonts w:ascii="Times New Roman" w:hAnsi="Times New Roman"/>
          <w:sz w:val="22"/>
          <w:szCs w:val="22"/>
        </w:rPr>
        <w:t xml:space="preserve">Configure similar numbers of sub-bands among the </w:t>
      </w:r>
      <w:r w:rsidR="00705F2D" w:rsidRPr="004E2BCA">
        <w:rPr>
          <w:rFonts w:ascii="Times New Roman" w:hAnsi="Times New Roman"/>
          <w:sz w:val="22"/>
          <w:szCs w:val="22"/>
        </w:rPr>
        <w:t>neighbor</w:t>
      </w:r>
      <w:r w:rsidRPr="004E2BCA">
        <w:rPr>
          <w:rFonts w:ascii="Times New Roman" w:hAnsi="Times New Roman"/>
          <w:sz w:val="22"/>
          <w:szCs w:val="22"/>
        </w:rPr>
        <w:t xml:space="preserve"> gNBs </w:t>
      </w:r>
    </w:p>
    <w:p w14:paraId="1836D5F6" w14:textId="77777777" w:rsidR="00491861" w:rsidRPr="00491861" w:rsidRDefault="00491861" w:rsidP="00491861">
      <w:pPr>
        <w:spacing w:after="200" w:line="276" w:lineRule="auto"/>
        <w:ind w:left="360"/>
        <w:contextualSpacing/>
      </w:pPr>
    </w:p>
    <w:p w14:paraId="0ABB04CE" w14:textId="77777777" w:rsidR="006B460C" w:rsidRPr="004E2BCA" w:rsidRDefault="004E2BCA" w:rsidP="006B460C">
      <w:pPr>
        <w:rPr>
          <w:b/>
          <w:i/>
        </w:rPr>
      </w:pPr>
      <w:r w:rsidRPr="004E2BCA">
        <w:rPr>
          <w:b/>
          <w:i/>
        </w:rPr>
        <w:t>Observation</w:t>
      </w:r>
      <w:r w:rsidR="00D3348B">
        <w:rPr>
          <w:b/>
          <w:i/>
        </w:rPr>
        <w:t xml:space="preserve"> 10</w:t>
      </w:r>
      <w:r w:rsidRPr="004E2BCA">
        <w:rPr>
          <w:b/>
          <w:i/>
        </w:rPr>
        <w:t xml:space="preserve">: </w:t>
      </w:r>
      <w:r w:rsidR="00B70197">
        <w:rPr>
          <w:b/>
          <w:i/>
        </w:rPr>
        <w:t>The following scenarios may create gNB to gNB and UE to UE c</w:t>
      </w:r>
      <w:r w:rsidRPr="004E2BCA">
        <w:rPr>
          <w:b/>
          <w:i/>
        </w:rPr>
        <w:t>o-chan</w:t>
      </w:r>
      <w:r w:rsidR="00B70197">
        <w:rPr>
          <w:b/>
          <w:i/>
        </w:rPr>
        <w:t>nel intra sub-band interference;</w:t>
      </w:r>
    </w:p>
    <w:p w14:paraId="43B3FC6C" w14:textId="77777777" w:rsidR="004E2BCA" w:rsidRPr="004E2BCA" w:rsidRDefault="004E2BCA" w:rsidP="004E2BCA">
      <w:pPr>
        <w:pStyle w:val="ListParagraph"/>
        <w:numPr>
          <w:ilvl w:val="0"/>
          <w:numId w:val="17"/>
        </w:numPr>
        <w:rPr>
          <w:rFonts w:ascii="Times New Roman" w:hAnsi="Times New Roman"/>
          <w:b/>
          <w:bCs/>
          <w:i/>
          <w:sz w:val="22"/>
          <w:szCs w:val="22"/>
        </w:rPr>
      </w:pPr>
      <w:r w:rsidRPr="004E2BCA">
        <w:rPr>
          <w:rFonts w:ascii="Times New Roman" w:hAnsi="Times New Roman"/>
          <w:b/>
          <w:bCs/>
          <w:i/>
          <w:sz w:val="22"/>
          <w:szCs w:val="22"/>
        </w:rPr>
        <w:t xml:space="preserve">Allocating different bandwidth to the UL to UL and DL to DL sub-bands among </w:t>
      </w:r>
      <w:r w:rsidR="009117DC" w:rsidRPr="004E2BCA">
        <w:rPr>
          <w:rFonts w:ascii="Times New Roman" w:hAnsi="Times New Roman"/>
          <w:b/>
          <w:bCs/>
          <w:i/>
          <w:sz w:val="22"/>
          <w:szCs w:val="22"/>
        </w:rPr>
        <w:t>nei</w:t>
      </w:r>
      <w:r w:rsidR="009117DC">
        <w:rPr>
          <w:rFonts w:ascii="Times New Roman" w:hAnsi="Times New Roman"/>
          <w:b/>
          <w:bCs/>
          <w:i/>
          <w:sz w:val="22"/>
          <w:szCs w:val="22"/>
        </w:rPr>
        <w:t>ghbor</w:t>
      </w:r>
      <w:r w:rsidRPr="004E2BCA">
        <w:rPr>
          <w:rFonts w:ascii="Times New Roman" w:hAnsi="Times New Roman"/>
          <w:b/>
          <w:bCs/>
          <w:i/>
          <w:sz w:val="22"/>
          <w:szCs w:val="22"/>
        </w:rPr>
        <w:t xml:space="preserve"> gNBs </w:t>
      </w:r>
    </w:p>
    <w:p w14:paraId="6AE78DCE" w14:textId="77777777" w:rsidR="004E2BCA" w:rsidRPr="004E2BCA" w:rsidRDefault="004E2BCA" w:rsidP="004E2BCA">
      <w:pPr>
        <w:pStyle w:val="ListParagraph"/>
        <w:numPr>
          <w:ilvl w:val="0"/>
          <w:numId w:val="17"/>
        </w:numPr>
        <w:rPr>
          <w:b/>
          <w:i/>
        </w:rPr>
      </w:pPr>
      <w:r w:rsidRPr="004E2BCA">
        <w:rPr>
          <w:rFonts w:ascii="Times New Roman" w:hAnsi="Times New Roman"/>
          <w:b/>
          <w:bCs/>
          <w:i/>
          <w:sz w:val="22"/>
          <w:szCs w:val="22"/>
        </w:rPr>
        <w:t>Allocation of dissimilar sub-bands to UL and DL transmission between neighbor gNBs</w:t>
      </w:r>
    </w:p>
    <w:p w14:paraId="5037F81E" w14:textId="77777777" w:rsidR="004E2BCA" w:rsidRPr="004E2BCA" w:rsidRDefault="004E2BCA" w:rsidP="004E2BCA">
      <w:pPr>
        <w:pStyle w:val="ListParagraph"/>
        <w:numPr>
          <w:ilvl w:val="0"/>
          <w:numId w:val="17"/>
        </w:numPr>
        <w:rPr>
          <w:b/>
          <w:i/>
        </w:rPr>
      </w:pPr>
      <w:r w:rsidRPr="004E2BCA">
        <w:rPr>
          <w:rFonts w:ascii="Times New Roman" w:hAnsi="Times New Roman"/>
          <w:b/>
          <w:bCs/>
          <w:i/>
          <w:sz w:val="22"/>
          <w:szCs w:val="22"/>
        </w:rPr>
        <w:t>Allocation of dissimilar quantity of sub-bands to UL and DL transmission between neighbor</w:t>
      </w:r>
    </w:p>
    <w:p w14:paraId="0E36807A" w14:textId="77777777" w:rsidR="004E2BCA" w:rsidRPr="004E2BCA" w:rsidRDefault="004E2BCA" w:rsidP="004E2BCA">
      <w:pPr>
        <w:pStyle w:val="ListParagraph"/>
        <w:numPr>
          <w:ilvl w:val="0"/>
          <w:numId w:val="17"/>
        </w:numPr>
        <w:rPr>
          <w:b/>
          <w:i/>
        </w:rPr>
      </w:pPr>
      <w:r w:rsidRPr="004E2BCA">
        <w:rPr>
          <w:rFonts w:ascii="Times New Roman" w:hAnsi="Times New Roman"/>
          <w:b/>
          <w:bCs/>
          <w:i/>
          <w:sz w:val="22"/>
          <w:szCs w:val="22"/>
        </w:rPr>
        <w:t>Configuration of different numbers of sub-bands between neighbor gNBs</w:t>
      </w:r>
    </w:p>
    <w:p w14:paraId="5BEB792C" w14:textId="77777777" w:rsidR="006B460C" w:rsidRDefault="006B460C" w:rsidP="006B460C"/>
    <w:p w14:paraId="7394774E" w14:textId="77777777" w:rsidR="00491861" w:rsidRPr="00491861" w:rsidRDefault="00974E52" w:rsidP="006B460C">
      <w:pPr>
        <w:rPr>
          <w:b/>
        </w:rPr>
      </w:pPr>
      <w:r>
        <w:rPr>
          <w:b/>
        </w:rPr>
        <w:t>Proposal 7</w:t>
      </w:r>
      <w:r w:rsidR="00FF1BD8" w:rsidRPr="00491861">
        <w:rPr>
          <w:b/>
        </w:rPr>
        <w:t>: To avoid the intra sub-band interference</w:t>
      </w:r>
      <w:r w:rsidR="00491861" w:rsidRPr="00491861">
        <w:rPr>
          <w:b/>
        </w:rPr>
        <w:t xml:space="preserve"> in SBFD operation</w:t>
      </w:r>
      <w:r w:rsidR="00FF1BD8" w:rsidRPr="00491861">
        <w:rPr>
          <w:b/>
        </w:rPr>
        <w:t xml:space="preserve"> the </w:t>
      </w:r>
      <w:r w:rsidR="00BF78F9" w:rsidRPr="00491861">
        <w:rPr>
          <w:b/>
        </w:rPr>
        <w:t>neighbor’s</w:t>
      </w:r>
      <w:r w:rsidR="00FF1BD8" w:rsidRPr="00491861">
        <w:rPr>
          <w:b/>
        </w:rPr>
        <w:t xml:space="preserve"> gNB shall</w:t>
      </w:r>
      <w:r w:rsidR="00491861" w:rsidRPr="00491861">
        <w:rPr>
          <w:b/>
        </w:rPr>
        <w:t>:</w:t>
      </w:r>
    </w:p>
    <w:p w14:paraId="21B1E1E0" w14:textId="77777777" w:rsidR="00491861" w:rsidRPr="00491861" w:rsidRDefault="00491861" w:rsidP="00491861">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Keep the same bandwidth of UL to UL and DL to DL sub-bands among the neighbor gNBs</w:t>
      </w:r>
    </w:p>
    <w:p w14:paraId="40330FA3" w14:textId="77777777" w:rsidR="00491861" w:rsidRPr="00491861" w:rsidRDefault="00491861" w:rsidP="00491861">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Assign alike sub-bands to UL and DL transmission among the neighbor gNBs </w:t>
      </w:r>
    </w:p>
    <w:p w14:paraId="01EBC213" w14:textId="77777777" w:rsidR="00491861" w:rsidRPr="00491861" w:rsidRDefault="00491861" w:rsidP="00491861">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Allocate similar quantity of sub-bands to DL and UL transmission among the neighbor gNBs </w:t>
      </w:r>
    </w:p>
    <w:p w14:paraId="4C810EEB" w14:textId="77777777" w:rsidR="00491861" w:rsidRPr="00491861" w:rsidRDefault="00491861" w:rsidP="00491861">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Configure similar numbers of sub-bands among the neighbor gNBs </w:t>
      </w:r>
    </w:p>
    <w:p w14:paraId="0E263A2C" w14:textId="77777777" w:rsidR="006B460C" w:rsidRDefault="006B460C" w:rsidP="006B460C">
      <w:pPr>
        <w:keepNext/>
        <w:jc w:val="center"/>
      </w:pPr>
    </w:p>
    <w:p w14:paraId="6B926A92" w14:textId="77777777" w:rsidR="00FF425C" w:rsidRDefault="00FF425C" w:rsidP="00525E29">
      <w:pPr>
        <w:pStyle w:val="Heading2"/>
        <w:numPr>
          <w:ilvl w:val="0"/>
          <w:numId w:val="0"/>
        </w:numPr>
        <w:ind w:left="576" w:hanging="576"/>
        <w:rPr>
          <w:lang w:eastAsia="zh-CN"/>
        </w:rPr>
      </w:pPr>
    </w:p>
    <w:p w14:paraId="6B0F52E8" w14:textId="77777777" w:rsidR="00FF425C" w:rsidRDefault="00FF425C">
      <w:pPr>
        <w:keepNext/>
        <w:jc w:val="center"/>
      </w:pPr>
    </w:p>
    <w:p w14:paraId="45EC6F77" w14:textId="77777777" w:rsidR="00FF425C" w:rsidRDefault="00FF425C"/>
    <w:p w14:paraId="1A7CF256" w14:textId="77777777" w:rsidR="00FF425C" w:rsidRDefault="00FF425C"/>
    <w:p w14:paraId="4669995F" w14:textId="77777777" w:rsidR="00FF425C" w:rsidRDefault="00FF425C">
      <w:pPr>
        <w:keepNext/>
        <w:jc w:val="left"/>
      </w:pPr>
    </w:p>
    <w:p w14:paraId="5C2D99F7" w14:textId="77777777" w:rsidR="00FF425C" w:rsidRDefault="00FF425C">
      <w:pPr>
        <w:keepNext/>
        <w:jc w:val="center"/>
      </w:pPr>
    </w:p>
    <w:p w14:paraId="5C788B5F" w14:textId="77777777" w:rsidR="00FF425C" w:rsidRDefault="00FF425C">
      <w:pPr>
        <w:pStyle w:val="ListParagraph"/>
        <w:spacing w:line="276" w:lineRule="auto"/>
        <w:ind w:left="720" w:firstLine="0"/>
        <w:contextualSpacing/>
        <w:rPr>
          <w:rFonts w:ascii="Times New Roman" w:hAnsi="Times New Roman"/>
          <w:b/>
        </w:rPr>
      </w:pPr>
    </w:p>
    <w:p w14:paraId="178791E8" w14:textId="77777777" w:rsidR="00FF425C" w:rsidRDefault="00FF425C">
      <w:pPr>
        <w:rPr>
          <w:lang w:val="fi-FI" w:eastAsia="zh-CN"/>
        </w:rPr>
      </w:pPr>
    </w:p>
    <w:p w14:paraId="46F53551" w14:textId="77777777" w:rsidR="00FF425C" w:rsidRDefault="00F3458E">
      <w:pPr>
        <w:pStyle w:val="Heading1"/>
      </w:pPr>
      <w:r>
        <w:lastRenderedPageBreak/>
        <w:t>Conclusion</w:t>
      </w:r>
    </w:p>
    <w:p w14:paraId="480B3B91" w14:textId="77777777" w:rsidR="00FF425C" w:rsidRDefault="00F3458E">
      <w:r>
        <w:t xml:space="preserve">In this contribution we discussed </w:t>
      </w:r>
      <w:r w:rsidR="00B70197">
        <w:rPr>
          <w:lang w:eastAsia="ko-KR"/>
        </w:rPr>
        <w:t>the basic features and requirement of SBFD operation, the configuration and indication of sub-bands to the UE that gNB would use for SBFD operation, and the interference management in SBFD operation</w:t>
      </w:r>
      <w:r w:rsidRPr="00F30B9F">
        <w:rPr>
          <w:b/>
        </w:rPr>
        <w:t xml:space="preserve">, </w:t>
      </w:r>
      <w:r w:rsidRPr="00B70197">
        <w:t>and made the following observations and proposals.</w:t>
      </w:r>
    </w:p>
    <w:p w14:paraId="71F90D07" w14:textId="77777777" w:rsidR="00D3348B" w:rsidRDefault="00D3348B" w:rsidP="00D3348B">
      <w:pPr>
        <w:keepNext/>
        <w:jc w:val="left"/>
        <w:rPr>
          <w:b/>
          <w:i/>
        </w:rPr>
      </w:pPr>
      <w:r w:rsidRPr="00120982">
        <w:rPr>
          <w:b/>
          <w:i/>
        </w:rPr>
        <w:t>Observation 1: Allocation of frequency resources</w:t>
      </w:r>
      <w:r>
        <w:rPr>
          <w:b/>
          <w:i/>
        </w:rPr>
        <w:t xml:space="preserve"> to a sub-band</w:t>
      </w:r>
      <w:r w:rsidRPr="00120982">
        <w:rPr>
          <w:b/>
          <w:i/>
        </w:rPr>
        <w:t xml:space="preserve"> in the inner RBs</w:t>
      </w:r>
      <w:r>
        <w:rPr>
          <w:b/>
          <w:i/>
        </w:rPr>
        <w:t xml:space="preserve"> or inner carrier of a TDD band may;</w:t>
      </w:r>
    </w:p>
    <w:p w14:paraId="7A75C033" w14:textId="77777777" w:rsidR="00D3348B" w:rsidRPr="00AC3396" w:rsidRDefault="00D3348B" w:rsidP="00D3348B">
      <w:pPr>
        <w:pStyle w:val="ListParagraph"/>
        <w:keepNext/>
        <w:numPr>
          <w:ilvl w:val="0"/>
          <w:numId w:val="19"/>
        </w:numPr>
        <w:rPr>
          <w:rFonts w:ascii="Times New Roman" w:hAnsi="Times New Roman"/>
          <w:b/>
          <w:i/>
          <w:sz w:val="22"/>
          <w:szCs w:val="22"/>
        </w:rPr>
      </w:pPr>
      <w:r w:rsidRPr="00AC3396">
        <w:rPr>
          <w:rFonts w:ascii="Times New Roman" w:hAnsi="Times New Roman"/>
          <w:b/>
          <w:i/>
          <w:sz w:val="22"/>
          <w:szCs w:val="22"/>
        </w:rPr>
        <w:t>Reduce</w:t>
      </w:r>
      <w:r>
        <w:rPr>
          <w:rFonts w:ascii="Times New Roman" w:hAnsi="Times New Roman"/>
          <w:b/>
          <w:i/>
          <w:sz w:val="22"/>
          <w:szCs w:val="22"/>
        </w:rPr>
        <w:t>s</w:t>
      </w:r>
      <w:r w:rsidRPr="00AC3396">
        <w:rPr>
          <w:rFonts w:ascii="Times New Roman" w:hAnsi="Times New Roman"/>
          <w:b/>
          <w:i/>
          <w:sz w:val="22"/>
          <w:szCs w:val="22"/>
        </w:rPr>
        <w:t xml:space="preserve"> the interference from the adjacent</w:t>
      </w:r>
      <w:r>
        <w:rPr>
          <w:rFonts w:ascii="Times New Roman" w:hAnsi="Times New Roman"/>
          <w:b/>
          <w:i/>
          <w:sz w:val="22"/>
          <w:szCs w:val="22"/>
        </w:rPr>
        <w:t xml:space="preserve"> gNB but it may increase the gNB self-interference </w:t>
      </w:r>
    </w:p>
    <w:p w14:paraId="125B4BB5" w14:textId="77777777" w:rsidR="00D3348B" w:rsidRPr="00AC3396" w:rsidRDefault="00D3348B" w:rsidP="00D3348B">
      <w:pPr>
        <w:pStyle w:val="ListParagraph"/>
        <w:keepNext/>
        <w:numPr>
          <w:ilvl w:val="0"/>
          <w:numId w:val="19"/>
        </w:numPr>
        <w:rPr>
          <w:rFonts w:ascii="Times New Roman" w:hAnsi="Times New Roman"/>
          <w:b/>
          <w:i/>
          <w:sz w:val="22"/>
          <w:szCs w:val="22"/>
        </w:rPr>
      </w:pPr>
      <w:r>
        <w:rPr>
          <w:rFonts w:ascii="Times New Roman" w:hAnsi="Times New Roman"/>
          <w:b/>
          <w:i/>
          <w:sz w:val="22"/>
          <w:szCs w:val="22"/>
        </w:rPr>
        <w:t>Requires</w:t>
      </w:r>
      <w:r w:rsidRPr="00AC3396">
        <w:rPr>
          <w:rFonts w:ascii="Times New Roman" w:hAnsi="Times New Roman"/>
          <w:b/>
          <w:i/>
          <w:sz w:val="22"/>
          <w:szCs w:val="22"/>
        </w:rPr>
        <w:t xml:space="preserve"> at least three sub-bands within a TDD band</w:t>
      </w:r>
    </w:p>
    <w:p w14:paraId="537416E0" w14:textId="77777777" w:rsidR="00D3348B" w:rsidRDefault="00D3348B" w:rsidP="00D3348B">
      <w:pPr>
        <w:pStyle w:val="ListParagraph"/>
        <w:keepNext/>
        <w:numPr>
          <w:ilvl w:val="0"/>
          <w:numId w:val="19"/>
        </w:numPr>
        <w:rPr>
          <w:rFonts w:ascii="Times New Roman" w:hAnsi="Times New Roman"/>
          <w:b/>
          <w:i/>
          <w:sz w:val="22"/>
          <w:szCs w:val="22"/>
        </w:rPr>
      </w:pPr>
      <w:r>
        <w:rPr>
          <w:rFonts w:ascii="Times New Roman" w:hAnsi="Times New Roman"/>
          <w:b/>
          <w:i/>
          <w:sz w:val="22"/>
          <w:szCs w:val="22"/>
        </w:rPr>
        <w:t xml:space="preserve">Requires </w:t>
      </w:r>
      <w:r w:rsidRPr="00AC3396">
        <w:rPr>
          <w:rFonts w:ascii="Times New Roman" w:hAnsi="Times New Roman"/>
          <w:b/>
          <w:i/>
          <w:sz w:val="22"/>
          <w:szCs w:val="22"/>
        </w:rPr>
        <w:t xml:space="preserve">two guard bands to separate the opposite direction sub-bands.  </w:t>
      </w:r>
    </w:p>
    <w:p w14:paraId="279E6B17" w14:textId="77777777" w:rsidR="00D3348B" w:rsidRPr="00AC3396" w:rsidRDefault="00D3348B" w:rsidP="00D3348B">
      <w:pPr>
        <w:pStyle w:val="ListParagraph"/>
        <w:keepNext/>
        <w:ind w:left="720" w:firstLine="0"/>
        <w:rPr>
          <w:rFonts w:ascii="Times New Roman" w:hAnsi="Times New Roman"/>
          <w:b/>
          <w:i/>
          <w:sz w:val="22"/>
          <w:szCs w:val="22"/>
        </w:rPr>
      </w:pPr>
    </w:p>
    <w:p w14:paraId="037F116C" w14:textId="77777777" w:rsidR="00D3348B" w:rsidRDefault="00D3348B" w:rsidP="00D3348B">
      <w:pPr>
        <w:keepNext/>
        <w:jc w:val="left"/>
        <w:rPr>
          <w:b/>
          <w:i/>
        </w:rPr>
      </w:pPr>
      <w:r w:rsidRPr="00120982">
        <w:rPr>
          <w:b/>
          <w:i/>
        </w:rPr>
        <w:t xml:space="preserve">Observation </w:t>
      </w:r>
      <w:r>
        <w:rPr>
          <w:b/>
          <w:i/>
        </w:rPr>
        <w:t>2</w:t>
      </w:r>
      <w:r w:rsidRPr="00120982">
        <w:rPr>
          <w:b/>
          <w:i/>
        </w:rPr>
        <w:t xml:space="preserve">: Allocation of frequency resources </w:t>
      </w:r>
      <w:r>
        <w:rPr>
          <w:b/>
          <w:i/>
        </w:rPr>
        <w:t xml:space="preserve">to a sub-band </w:t>
      </w:r>
      <w:r w:rsidRPr="00120982">
        <w:rPr>
          <w:b/>
          <w:i/>
        </w:rPr>
        <w:t xml:space="preserve">in the </w:t>
      </w:r>
      <w:r>
        <w:rPr>
          <w:b/>
          <w:i/>
        </w:rPr>
        <w:t>outer</w:t>
      </w:r>
      <w:r w:rsidRPr="00120982">
        <w:rPr>
          <w:b/>
          <w:i/>
        </w:rPr>
        <w:t xml:space="preserve"> RBs or </w:t>
      </w:r>
      <w:r>
        <w:rPr>
          <w:b/>
          <w:i/>
        </w:rPr>
        <w:t xml:space="preserve">outer </w:t>
      </w:r>
      <w:r w:rsidRPr="00120982">
        <w:rPr>
          <w:b/>
          <w:i/>
        </w:rPr>
        <w:t xml:space="preserve">carrier of a TDD band </w:t>
      </w:r>
      <w:r>
        <w:rPr>
          <w:b/>
          <w:i/>
        </w:rPr>
        <w:t>may;</w:t>
      </w:r>
    </w:p>
    <w:p w14:paraId="3CCC1B53" w14:textId="77777777" w:rsidR="00D3348B" w:rsidRPr="005D6E61" w:rsidRDefault="00D3348B" w:rsidP="00D3348B">
      <w:pPr>
        <w:pStyle w:val="ListParagraph"/>
        <w:keepNext/>
        <w:numPr>
          <w:ilvl w:val="0"/>
          <w:numId w:val="19"/>
        </w:numPr>
        <w:rPr>
          <w:rFonts w:ascii="Times New Roman" w:hAnsi="Times New Roman"/>
          <w:b/>
          <w:i/>
          <w:sz w:val="22"/>
          <w:szCs w:val="22"/>
        </w:rPr>
      </w:pPr>
      <w:r>
        <w:rPr>
          <w:rFonts w:ascii="Times New Roman" w:hAnsi="Times New Roman"/>
          <w:b/>
          <w:i/>
          <w:sz w:val="22"/>
          <w:szCs w:val="22"/>
        </w:rPr>
        <w:t xml:space="preserve">Increase </w:t>
      </w:r>
      <w:r w:rsidRPr="005D6E61">
        <w:rPr>
          <w:rFonts w:ascii="Times New Roman" w:hAnsi="Times New Roman"/>
          <w:b/>
          <w:i/>
          <w:sz w:val="22"/>
          <w:szCs w:val="22"/>
        </w:rPr>
        <w:t>the interference from the adjacent gNB</w:t>
      </w:r>
      <w:r>
        <w:rPr>
          <w:rFonts w:ascii="Times New Roman" w:hAnsi="Times New Roman"/>
          <w:b/>
          <w:i/>
          <w:sz w:val="22"/>
          <w:szCs w:val="22"/>
        </w:rPr>
        <w:t xml:space="preserve"> but </w:t>
      </w:r>
      <w:r w:rsidRPr="005D6E61">
        <w:rPr>
          <w:rFonts w:ascii="Times New Roman" w:hAnsi="Times New Roman"/>
          <w:b/>
          <w:i/>
          <w:sz w:val="22"/>
          <w:szCs w:val="22"/>
        </w:rPr>
        <w:t xml:space="preserve">reduces the gNB self-interference </w:t>
      </w:r>
    </w:p>
    <w:p w14:paraId="7D4116BD" w14:textId="77777777" w:rsidR="00D3348B" w:rsidRPr="005D6E61" w:rsidRDefault="00D3348B" w:rsidP="00D3348B">
      <w:pPr>
        <w:pStyle w:val="ListParagraph"/>
        <w:keepNext/>
        <w:numPr>
          <w:ilvl w:val="0"/>
          <w:numId w:val="19"/>
        </w:numPr>
        <w:rPr>
          <w:rFonts w:ascii="Times New Roman" w:hAnsi="Times New Roman"/>
          <w:b/>
          <w:i/>
          <w:sz w:val="22"/>
          <w:szCs w:val="22"/>
        </w:rPr>
      </w:pPr>
      <w:r>
        <w:rPr>
          <w:rFonts w:ascii="Times New Roman" w:hAnsi="Times New Roman"/>
          <w:b/>
          <w:i/>
          <w:sz w:val="22"/>
          <w:szCs w:val="22"/>
        </w:rPr>
        <w:t xml:space="preserve">Defines flexible numbers of sub-bands e.g. either two sub-bands or three sub-bands </w:t>
      </w:r>
    </w:p>
    <w:p w14:paraId="45125DD3" w14:textId="77777777" w:rsidR="00D3348B" w:rsidRPr="00D3348B" w:rsidRDefault="00D3348B" w:rsidP="00D3348B">
      <w:pPr>
        <w:pStyle w:val="ListParagraph"/>
        <w:keepNext/>
        <w:numPr>
          <w:ilvl w:val="0"/>
          <w:numId w:val="19"/>
        </w:numPr>
        <w:rPr>
          <w:rFonts w:ascii="Times New Roman" w:hAnsi="Times New Roman"/>
          <w:b/>
          <w:i/>
          <w:sz w:val="22"/>
          <w:szCs w:val="22"/>
        </w:rPr>
      </w:pPr>
      <w:r>
        <w:rPr>
          <w:rFonts w:ascii="Times New Roman" w:hAnsi="Times New Roman"/>
          <w:b/>
          <w:i/>
          <w:sz w:val="22"/>
          <w:szCs w:val="22"/>
        </w:rPr>
        <w:t>Requires</w:t>
      </w:r>
      <w:r w:rsidRPr="005D6E61">
        <w:rPr>
          <w:rFonts w:ascii="Times New Roman" w:hAnsi="Times New Roman"/>
          <w:b/>
          <w:i/>
          <w:sz w:val="22"/>
          <w:szCs w:val="22"/>
        </w:rPr>
        <w:t xml:space="preserve"> only one guard band. </w:t>
      </w:r>
    </w:p>
    <w:p w14:paraId="6CA64995" w14:textId="77777777" w:rsidR="00D3348B" w:rsidRDefault="00D3348B" w:rsidP="00D3348B">
      <w:pPr>
        <w:rPr>
          <w:b/>
          <w:i/>
        </w:rPr>
      </w:pPr>
      <w:r w:rsidRPr="002B0799">
        <w:rPr>
          <w:b/>
          <w:i/>
        </w:rPr>
        <w:t>Observation</w:t>
      </w:r>
      <w:r>
        <w:rPr>
          <w:b/>
          <w:i/>
        </w:rPr>
        <w:t xml:space="preserve"> 3</w:t>
      </w:r>
      <w:r w:rsidRPr="002B0799">
        <w:rPr>
          <w:b/>
          <w:i/>
        </w:rPr>
        <w:t xml:space="preserve">: Re-using the existing configuration of conventional TDD </w:t>
      </w:r>
      <w:r>
        <w:rPr>
          <w:b/>
          <w:i/>
        </w:rPr>
        <w:t xml:space="preserve">for SBFD configuration may requires; </w:t>
      </w:r>
    </w:p>
    <w:p w14:paraId="4261C27A" w14:textId="77777777" w:rsidR="00D3348B" w:rsidRPr="005508C1" w:rsidRDefault="00D3348B" w:rsidP="00D3348B">
      <w:pPr>
        <w:pStyle w:val="ListParagraph"/>
        <w:numPr>
          <w:ilvl w:val="0"/>
          <w:numId w:val="26"/>
        </w:numPr>
        <w:rPr>
          <w:rFonts w:ascii="Times New Roman" w:hAnsi="Times New Roman"/>
          <w:b/>
          <w:i/>
          <w:sz w:val="22"/>
          <w:szCs w:val="22"/>
        </w:rPr>
      </w:pPr>
      <w:r w:rsidRPr="005508C1">
        <w:rPr>
          <w:rFonts w:ascii="Times New Roman" w:hAnsi="Times New Roman"/>
          <w:b/>
          <w:i/>
          <w:sz w:val="22"/>
          <w:szCs w:val="22"/>
        </w:rPr>
        <w:t xml:space="preserve">To include an explicit configuration of NRofUplinkRBs, startingofUplinkRBs and RBs of guard bands for UL sub-band in DL or flexible slots/symbols. </w:t>
      </w:r>
    </w:p>
    <w:p w14:paraId="3B6EAB25" w14:textId="77777777" w:rsidR="00D3348B" w:rsidRPr="005508C1" w:rsidRDefault="00D3348B" w:rsidP="00D3348B">
      <w:pPr>
        <w:pStyle w:val="ListParagraph"/>
        <w:numPr>
          <w:ilvl w:val="0"/>
          <w:numId w:val="26"/>
        </w:numPr>
        <w:rPr>
          <w:rFonts w:ascii="Times New Roman" w:hAnsi="Times New Roman"/>
          <w:b/>
          <w:i/>
          <w:sz w:val="22"/>
          <w:szCs w:val="22"/>
        </w:rPr>
      </w:pPr>
      <w:r w:rsidRPr="005508C1">
        <w:rPr>
          <w:rFonts w:ascii="Times New Roman" w:hAnsi="Times New Roman"/>
          <w:b/>
          <w:i/>
          <w:sz w:val="22"/>
          <w:szCs w:val="22"/>
        </w:rPr>
        <w:t xml:space="preserve">To include an explicit configuration of NRofDownlinkRBs, startingofDownlinkRBs and RBs of guard bands for DL sub-band in UL or flexible slots/symbols. </w:t>
      </w:r>
    </w:p>
    <w:p w14:paraId="1FA888B4" w14:textId="77777777" w:rsidR="00D3348B" w:rsidRDefault="00D3348B"/>
    <w:p w14:paraId="1F912833" w14:textId="77777777" w:rsidR="00D3348B" w:rsidRPr="00627411" w:rsidRDefault="00D3348B" w:rsidP="00D3348B">
      <w:pPr>
        <w:spacing w:after="200" w:line="276" w:lineRule="auto"/>
        <w:contextualSpacing/>
        <w:rPr>
          <w:b/>
          <w:i/>
        </w:rPr>
      </w:pPr>
      <w:r w:rsidRPr="00627411">
        <w:rPr>
          <w:b/>
          <w:i/>
        </w:rPr>
        <w:t xml:space="preserve">Observation 4: </w:t>
      </w:r>
      <w:r>
        <w:rPr>
          <w:b/>
          <w:i/>
        </w:rPr>
        <w:t>In order to make the current specification SFI suitable for sub-bands indication, the</w:t>
      </w:r>
      <w:r w:rsidRPr="00627411">
        <w:rPr>
          <w:b/>
          <w:i/>
        </w:rPr>
        <w:t xml:space="preserve"> following fields </w:t>
      </w:r>
      <w:r>
        <w:rPr>
          <w:b/>
          <w:i/>
        </w:rPr>
        <w:t>may need to includes in the current SFI indication;</w:t>
      </w:r>
    </w:p>
    <w:p w14:paraId="1EBFF8F5" w14:textId="77777777" w:rsidR="00D3348B" w:rsidRPr="00627411" w:rsidRDefault="00D3348B" w:rsidP="00D3348B">
      <w:pPr>
        <w:pStyle w:val="ListParagraph"/>
        <w:numPr>
          <w:ilvl w:val="0"/>
          <w:numId w:val="18"/>
        </w:numPr>
        <w:spacing w:after="200" w:line="276" w:lineRule="auto"/>
        <w:contextualSpacing/>
        <w:rPr>
          <w:rFonts w:ascii="Times New Roman" w:hAnsi="Times New Roman"/>
          <w:b/>
          <w:i/>
        </w:rPr>
      </w:pPr>
      <w:r>
        <w:rPr>
          <w:rFonts w:ascii="Times New Roman" w:hAnsi="Times New Roman"/>
          <w:b/>
          <w:i/>
        </w:rPr>
        <w:t>Indication of the s</w:t>
      </w:r>
      <w:r w:rsidRPr="00627411">
        <w:rPr>
          <w:rFonts w:ascii="Times New Roman" w:hAnsi="Times New Roman"/>
          <w:b/>
          <w:i/>
        </w:rPr>
        <w:t>tarting of</w:t>
      </w:r>
      <w:r>
        <w:rPr>
          <w:rFonts w:ascii="Times New Roman" w:hAnsi="Times New Roman"/>
          <w:b/>
          <w:i/>
        </w:rPr>
        <w:t xml:space="preserve"> </w:t>
      </w:r>
      <w:r w:rsidRPr="00627411">
        <w:rPr>
          <w:rFonts w:ascii="Times New Roman" w:hAnsi="Times New Roman"/>
          <w:b/>
          <w:i/>
        </w:rPr>
        <w:t>RBs</w:t>
      </w:r>
      <w:r>
        <w:rPr>
          <w:rFonts w:ascii="Times New Roman" w:hAnsi="Times New Roman"/>
          <w:b/>
          <w:i/>
        </w:rPr>
        <w:t xml:space="preserve"> of</w:t>
      </w:r>
      <w:r w:rsidRPr="00627411">
        <w:rPr>
          <w:rFonts w:ascii="Times New Roman" w:hAnsi="Times New Roman"/>
          <w:b/>
          <w:i/>
        </w:rPr>
        <w:t xml:space="preserve"> </w:t>
      </w:r>
      <w:r>
        <w:rPr>
          <w:rFonts w:ascii="Times New Roman" w:hAnsi="Times New Roman"/>
          <w:b/>
          <w:i/>
        </w:rPr>
        <w:t xml:space="preserve">the </w:t>
      </w:r>
      <w:r w:rsidRPr="00627411">
        <w:rPr>
          <w:rFonts w:ascii="Times New Roman" w:hAnsi="Times New Roman"/>
          <w:b/>
          <w:i/>
        </w:rPr>
        <w:t xml:space="preserve">opposite </w:t>
      </w:r>
      <w:r>
        <w:rPr>
          <w:rFonts w:ascii="Times New Roman" w:hAnsi="Times New Roman"/>
          <w:b/>
          <w:i/>
        </w:rPr>
        <w:t>transmission sub-band</w:t>
      </w:r>
    </w:p>
    <w:p w14:paraId="45BE8CF8" w14:textId="77777777" w:rsidR="00D3348B" w:rsidRPr="00627411" w:rsidRDefault="00D3348B" w:rsidP="00D3348B">
      <w:pPr>
        <w:pStyle w:val="ListParagraph"/>
        <w:numPr>
          <w:ilvl w:val="0"/>
          <w:numId w:val="18"/>
        </w:numPr>
        <w:spacing w:after="200" w:line="276" w:lineRule="auto"/>
        <w:contextualSpacing/>
        <w:rPr>
          <w:rFonts w:ascii="Times New Roman" w:hAnsi="Times New Roman"/>
          <w:b/>
          <w:i/>
        </w:rPr>
      </w:pPr>
      <w:r>
        <w:rPr>
          <w:rFonts w:ascii="Times New Roman" w:hAnsi="Times New Roman"/>
          <w:b/>
          <w:i/>
        </w:rPr>
        <w:t>Indication of the number of</w:t>
      </w:r>
      <w:r w:rsidRPr="00627411">
        <w:rPr>
          <w:rFonts w:ascii="Times New Roman" w:hAnsi="Times New Roman"/>
          <w:b/>
          <w:i/>
        </w:rPr>
        <w:t xml:space="preserve"> </w:t>
      </w:r>
      <w:r>
        <w:rPr>
          <w:rFonts w:ascii="Times New Roman" w:hAnsi="Times New Roman"/>
          <w:b/>
          <w:i/>
        </w:rPr>
        <w:t>RBs of the opposite transmission sub-band</w:t>
      </w:r>
    </w:p>
    <w:p w14:paraId="3A32E840" w14:textId="77777777" w:rsidR="00D3348B" w:rsidRPr="00D3348B" w:rsidRDefault="00D3348B" w:rsidP="00D3348B">
      <w:pPr>
        <w:pStyle w:val="ListParagraph"/>
        <w:numPr>
          <w:ilvl w:val="0"/>
          <w:numId w:val="18"/>
        </w:numPr>
        <w:spacing w:after="200" w:line="276" w:lineRule="auto"/>
        <w:contextualSpacing/>
        <w:rPr>
          <w:rFonts w:ascii="Times New Roman" w:hAnsi="Times New Roman"/>
          <w:b/>
          <w:i/>
        </w:rPr>
      </w:pPr>
      <w:r>
        <w:rPr>
          <w:rFonts w:ascii="Times New Roman" w:hAnsi="Times New Roman"/>
          <w:b/>
          <w:i/>
        </w:rPr>
        <w:t xml:space="preserve">Indication of the RBs of </w:t>
      </w:r>
      <w:r w:rsidRPr="00627411">
        <w:rPr>
          <w:rFonts w:ascii="Times New Roman" w:hAnsi="Times New Roman"/>
          <w:b/>
          <w:i/>
        </w:rPr>
        <w:t>Guard Band</w:t>
      </w:r>
    </w:p>
    <w:p w14:paraId="4E04B724" w14:textId="77777777" w:rsidR="00D3348B" w:rsidRDefault="00D3348B" w:rsidP="00D3348B">
      <w:pPr>
        <w:rPr>
          <w:b/>
          <w:i/>
          <w:lang w:val="fi-FI"/>
        </w:rPr>
      </w:pPr>
      <w:r w:rsidRPr="00183A5C">
        <w:rPr>
          <w:b/>
          <w:i/>
          <w:lang w:val="fi-FI"/>
        </w:rPr>
        <w:t>Observation</w:t>
      </w:r>
      <w:r>
        <w:rPr>
          <w:b/>
          <w:i/>
          <w:lang w:val="fi-FI"/>
        </w:rPr>
        <w:t xml:space="preserve"> 5</w:t>
      </w:r>
      <w:r w:rsidRPr="00183A5C">
        <w:rPr>
          <w:b/>
          <w:i/>
          <w:lang w:val="fi-FI"/>
        </w:rPr>
        <w:t>: Re-using the existing conventional TDD configuration for SBFD</w:t>
      </w:r>
      <w:r>
        <w:rPr>
          <w:b/>
          <w:i/>
          <w:lang w:val="fi-FI"/>
        </w:rPr>
        <w:t xml:space="preserve"> </w:t>
      </w:r>
      <w:r w:rsidRPr="00183A5C">
        <w:rPr>
          <w:b/>
          <w:i/>
          <w:lang w:val="fi-FI"/>
        </w:rPr>
        <w:t xml:space="preserve">operation may </w:t>
      </w:r>
      <w:r>
        <w:rPr>
          <w:b/>
          <w:i/>
          <w:lang w:val="fi-FI"/>
        </w:rPr>
        <w:t xml:space="preserve">encounter the following issues </w:t>
      </w:r>
    </w:p>
    <w:p w14:paraId="25F2BC64" w14:textId="77777777" w:rsidR="00D3348B" w:rsidRPr="00183A5C" w:rsidRDefault="00D3348B" w:rsidP="00D3348B">
      <w:pPr>
        <w:pStyle w:val="ListParagraph"/>
        <w:numPr>
          <w:ilvl w:val="0"/>
          <w:numId w:val="23"/>
        </w:numPr>
        <w:rPr>
          <w:rFonts w:ascii="Times New Roman" w:hAnsi="Times New Roman"/>
          <w:b/>
          <w:i/>
          <w:sz w:val="22"/>
          <w:szCs w:val="22"/>
          <w:lang w:val="fi-FI"/>
        </w:rPr>
      </w:pPr>
      <w:r w:rsidRPr="00183A5C">
        <w:rPr>
          <w:rFonts w:ascii="Times New Roman" w:hAnsi="Times New Roman"/>
          <w:b/>
          <w:i/>
          <w:sz w:val="22"/>
          <w:szCs w:val="22"/>
          <w:lang w:val="fi-FI"/>
        </w:rPr>
        <w:t xml:space="preserve">Increas the higher layer singlaings </w:t>
      </w:r>
    </w:p>
    <w:p w14:paraId="6C3219C6" w14:textId="77777777" w:rsidR="00D3348B" w:rsidRDefault="00D3348B" w:rsidP="00D3348B">
      <w:pPr>
        <w:pStyle w:val="ListParagraph"/>
        <w:numPr>
          <w:ilvl w:val="0"/>
          <w:numId w:val="23"/>
        </w:numPr>
        <w:rPr>
          <w:rFonts w:ascii="Times New Roman" w:hAnsi="Times New Roman"/>
          <w:b/>
          <w:i/>
          <w:sz w:val="22"/>
          <w:szCs w:val="22"/>
          <w:lang w:val="fi-FI"/>
        </w:rPr>
      </w:pPr>
      <w:r w:rsidRPr="00183A5C">
        <w:rPr>
          <w:rFonts w:ascii="Times New Roman" w:hAnsi="Times New Roman"/>
          <w:b/>
          <w:i/>
          <w:sz w:val="22"/>
          <w:szCs w:val="22"/>
          <w:lang w:val="fi-FI"/>
        </w:rPr>
        <w:t>Increase the gNB complexity in handling of collisin btween SSB and UL sub-band tranmission</w:t>
      </w:r>
    </w:p>
    <w:p w14:paraId="5913ABC7" w14:textId="77777777" w:rsidR="00D3348B" w:rsidRDefault="00D3348B" w:rsidP="00D3348B">
      <w:pPr>
        <w:rPr>
          <w:b/>
          <w:i/>
          <w:lang w:val="fi-FI"/>
        </w:rPr>
      </w:pPr>
      <w:r>
        <w:rPr>
          <w:b/>
          <w:i/>
          <w:lang w:val="fi-FI"/>
        </w:rPr>
        <w:t xml:space="preserve">Observation 6: Static configuration and dynamic indication and activation/de-activation of DL/UL sub-bands to the UE may </w:t>
      </w:r>
    </w:p>
    <w:p w14:paraId="62B1CC08" w14:textId="77777777" w:rsidR="00D3348B" w:rsidRPr="00F30B9F" w:rsidRDefault="00D3348B" w:rsidP="00D3348B">
      <w:pPr>
        <w:pStyle w:val="ListParagraph"/>
        <w:numPr>
          <w:ilvl w:val="0"/>
          <w:numId w:val="27"/>
        </w:numPr>
        <w:rPr>
          <w:rFonts w:ascii="Times New Roman" w:hAnsi="Times New Roman"/>
          <w:b/>
          <w:i/>
          <w:sz w:val="22"/>
          <w:szCs w:val="22"/>
          <w:lang w:val="fi-FI"/>
        </w:rPr>
      </w:pPr>
      <w:r w:rsidRPr="00F30B9F">
        <w:rPr>
          <w:rFonts w:ascii="Times New Roman" w:hAnsi="Times New Roman"/>
          <w:b/>
          <w:i/>
          <w:sz w:val="22"/>
          <w:szCs w:val="22"/>
          <w:lang w:val="fi-FI"/>
        </w:rPr>
        <w:t xml:space="preserve">Reduce the higher layer signlaing </w:t>
      </w:r>
    </w:p>
    <w:p w14:paraId="59ED2778" w14:textId="77777777" w:rsidR="00D3348B" w:rsidRDefault="00D3348B" w:rsidP="00D3348B">
      <w:pPr>
        <w:pStyle w:val="ListParagraph"/>
        <w:numPr>
          <w:ilvl w:val="0"/>
          <w:numId w:val="27"/>
        </w:numPr>
        <w:rPr>
          <w:rFonts w:ascii="Times New Roman" w:hAnsi="Times New Roman"/>
          <w:b/>
          <w:i/>
          <w:sz w:val="22"/>
          <w:szCs w:val="22"/>
          <w:lang w:val="fi-FI"/>
        </w:rPr>
      </w:pPr>
      <w:r w:rsidRPr="00F30B9F">
        <w:rPr>
          <w:rFonts w:ascii="Times New Roman" w:hAnsi="Times New Roman"/>
          <w:b/>
          <w:i/>
          <w:sz w:val="22"/>
          <w:szCs w:val="22"/>
          <w:lang w:val="fi-FI"/>
        </w:rPr>
        <w:t xml:space="preserve">Increase the flexibility of gNB to handle the collision of SSB and UL sub-band trasnmission </w:t>
      </w:r>
    </w:p>
    <w:p w14:paraId="7A101B41" w14:textId="77777777" w:rsidR="00D3348B" w:rsidRPr="00D3348B" w:rsidRDefault="00D3348B" w:rsidP="00D3348B">
      <w:pPr>
        <w:rPr>
          <w:b/>
          <w:i/>
          <w:lang w:val="fi-FI"/>
        </w:rPr>
      </w:pPr>
    </w:p>
    <w:p w14:paraId="56F285B2" w14:textId="77777777" w:rsidR="00D3348B" w:rsidRDefault="00D3348B" w:rsidP="00D3348B">
      <w:pPr>
        <w:rPr>
          <w:b/>
          <w:i/>
        </w:rPr>
      </w:pPr>
      <w:r w:rsidRPr="00FC0142">
        <w:rPr>
          <w:b/>
          <w:i/>
        </w:rPr>
        <w:t>Observation</w:t>
      </w:r>
      <w:r>
        <w:rPr>
          <w:b/>
          <w:i/>
        </w:rPr>
        <w:t xml:space="preserve"> 7</w:t>
      </w:r>
      <w:r w:rsidRPr="00FC0142">
        <w:rPr>
          <w:b/>
          <w:i/>
        </w:rPr>
        <w:t>: The UL sub-bands in DL or flexibl</w:t>
      </w:r>
      <w:r>
        <w:rPr>
          <w:b/>
          <w:i/>
        </w:rPr>
        <w:t>e slots/symbols in the inner carriers or inner RBs of a TDD band</w:t>
      </w:r>
      <w:r w:rsidRPr="00FC0142">
        <w:rPr>
          <w:b/>
          <w:i/>
        </w:rPr>
        <w:t xml:space="preserve"> may </w:t>
      </w:r>
      <w:r>
        <w:rPr>
          <w:b/>
          <w:i/>
        </w:rPr>
        <w:t xml:space="preserve">create double fold </w:t>
      </w:r>
      <w:r w:rsidRPr="00FC0142">
        <w:rPr>
          <w:b/>
          <w:i/>
        </w:rPr>
        <w:t>gNB self-interference</w:t>
      </w:r>
      <w:r>
        <w:rPr>
          <w:b/>
          <w:i/>
        </w:rPr>
        <w:t xml:space="preserve">. </w:t>
      </w:r>
    </w:p>
    <w:p w14:paraId="30FFEBE3" w14:textId="77777777" w:rsidR="00D3348B" w:rsidRPr="00FC0142" w:rsidRDefault="00D3348B" w:rsidP="00D3348B">
      <w:pPr>
        <w:rPr>
          <w:b/>
          <w:i/>
        </w:rPr>
      </w:pPr>
      <w:r w:rsidRPr="00FC0142">
        <w:rPr>
          <w:b/>
          <w:i/>
        </w:rPr>
        <w:t>Observation</w:t>
      </w:r>
      <w:r>
        <w:rPr>
          <w:b/>
          <w:i/>
        </w:rPr>
        <w:t xml:space="preserve"> 8</w:t>
      </w:r>
      <w:r w:rsidRPr="00FC0142">
        <w:rPr>
          <w:b/>
          <w:i/>
        </w:rPr>
        <w:t xml:space="preserve">: The UL sub-bands in DL or flexible slots/symbols in the edge RBs may reduce the gNB self-interference. </w:t>
      </w:r>
    </w:p>
    <w:p w14:paraId="65091E5B" w14:textId="77777777" w:rsidR="00D3348B" w:rsidRPr="00D3348B" w:rsidRDefault="00D3348B">
      <w:pPr>
        <w:rPr>
          <w:b/>
          <w:i/>
        </w:rPr>
      </w:pPr>
      <w:r w:rsidRPr="00FC0142">
        <w:rPr>
          <w:b/>
          <w:i/>
        </w:rPr>
        <w:t>Observation</w:t>
      </w:r>
      <w:r>
        <w:rPr>
          <w:b/>
          <w:i/>
        </w:rPr>
        <w:t xml:space="preserve"> 9</w:t>
      </w:r>
      <w:r w:rsidRPr="00FC0142">
        <w:rPr>
          <w:b/>
          <w:i/>
        </w:rPr>
        <w:t>: Less number of sub-bands within a TDD band may reduce the gNB self-interference.</w:t>
      </w:r>
    </w:p>
    <w:p w14:paraId="29DE806C" w14:textId="77777777" w:rsidR="00D3348B" w:rsidRPr="004E2BCA" w:rsidRDefault="00D3348B" w:rsidP="00D3348B">
      <w:pPr>
        <w:rPr>
          <w:b/>
          <w:i/>
        </w:rPr>
      </w:pPr>
      <w:r w:rsidRPr="004E2BCA">
        <w:rPr>
          <w:b/>
          <w:i/>
        </w:rPr>
        <w:t>Observation</w:t>
      </w:r>
      <w:r>
        <w:rPr>
          <w:b/>
          <w:i/>
        </w:rPr>
        <w:t xml:space="preserve"> 10</w:t>
      </w:r>
      <w:r w:rsidRPr="004E2BCA">
        <w:rPr>
          <w:b/>
          <w:i/>
        </w:rPr>
        <w:t xml:space="preserve">: </w:t>
      </w:r>
      <w:r>
        <w:rPr>
          <w:b/>
          <w:i/>
        </w:rPr>
        <w:t>The following scenarios may create gNB to gNB and UE to UE c</w:t>
      </w:r>
      <w:r w:rsidRPr="004E2BCA">
        <w:rPr>
          <w:b/>
          <w:i/>
        </w:rPr>
        <w:t>o-chan</w:t>
      </w:r>
      <w:r>
        <w:rPr>
          <w:b/>
          <w:i/>
        </w:rPr>
        <w:t>nel intra sub-band interference;</w:t>
      </w:r>
    </w:p>
    <w:p w14:paraId="57F17045" w14:textId="77777777" w:rsidR="00D3348B" w:rsidRPr="004E2BCA" w:rsidRDefault="00D3348B" w:rsidP="00D3348B">
      <w:pPr>
        <w:pStyle w:val="ListParagraph"/>
        <w:numPr>
          <w:ilvl w:val="0"/>
          <w:numId w:val="28"/>
        </w:numPr>
        <w:rPr>
          <w:rFonts w:ascii="Times New Roman" w:hAnsi="Times New Roman"/>
          <w:b/>
          <w:bCs/>
          <w:i/>
          <w:sz w:val="22"/>
          <w:szCs w:val="22"/>
        </w:rPr>
      </w:pPr>
      <w:r w:rsidRPr="004E2BCA">
        <w:rPr>
          <w:rFonts w:ascii="Times New Roman" w:hAnsi="Times New Roman"/>
          <w:b/>
          <w:bCs/>
          <w:i/>
          <w:sz w:val="22"/>
          <w:szCs w:val="22"/>
        </w:rPr>
        <w:lastRenderedPageBreak/>
        <w:t>Allocating different bandwidth to the UL to UL and DL to DL sub-bands among nei</w:t>
      </w:r>
      <w:r>
        <w:rPr>
          <w:rFonts w:ascii="Times New Roman" w:hAnsi="Times New Roman"/>
          <w:b/>
          <w:bCs/>
          <w:i/>
          <w:sz w:val="22"/>
          <w:szCs w:val="22"/>
        </w:rPr>
        <w:t>ghbor</w:t>
      </w:r>
      <w:r w:rsidRPr="004E2BCA">
        <w:rPr>
          <w:rFonts w:ascii="Times New Roman" w:hAnsi="Times New Roman"/>
          <w:b/>
          <w:bCs/>
          <w:i/>
          <w:sz w:val="22"/>
          <w:szCs w:val="22"/>
        </w:rPr>
        <w:t xml:space="preserve"> gNBs </w:t>
      </w:r>
    </w:p>
    <w:p w14:paraId="646CFA61" w14:textId="77777777" w:rsidR="00D3348B" w:rsidRPr="004E2BCA" w:rsidRDefault="00D3348B" w:rsidP="00D3348B">
      <w:pPr>
        <w:pStyle w:val="ListParagraph"/>
        <w:numPr>
          <w:ilvl w:val="0"/>
          <w:numId w:val="28"/>
        </w:numPr>
        <w:rPr>
          <w:b/>
          <w:i/>
        </w:rPr>
      </w:pPr>
      <w:r w:rsidRPr="004E2BCA">
        <w:rPr>
          <w:rFonts w:ascii="Times New Roman" w:hAnsi="Times New Roman"/>
          <w:b/>
          <w:bCs/>
          <w:i/>
          <w:sz w:val="22"/>
          <w:szCs w:val="22"/>
        </w:rPr>
        <w:t>Allocation of dissimilar sub-bands to UL and DL transmission between neighbor gNBs</w:t>
      </w:r>
    </w:p>
    <w:p w14:paraId="43CE49FB" w14:textId="77777777" w:rsidR="00D3348B" w:rsidRPr="004E2BCA" w:rsidRDefault="00D3348B" w:rsidP="00D3348B">
      <w:pPr>
        <w:pStyle w:val="ListParagraph"/>
        <w:numPr>
          <w:ilvl w:val="0"/>
          <w:numId w:val="28"/>
        </w:numPr>
        <w:rPr>
          <w:b/>
          <w:i/>
        </w:rPr>
      </w:pPr>
      <w:r w:rsidRPr="004E2BCA">
        <w:rPr>
          <w:rFonts w:ascii="Times New Roman" w:hAnsi="Times New Roman"/>
          <w:b/>
          <w:bCs/>
          <w:i/>
          <w:sz w:val="22"/>
          <w:szCs w:val="22"/>
        </w:rPr>
        <w:t>Allocation of dissimilar quantity of sub-bands to UL and DL transmission between neighbor</w:t>
      </w:r>
    </w:p>
    <w:p w14:paraId="5BF90DDB" w14:textId="77777777" w:rsidR="00D3348B" w:rsidRPr="004E2BCA" w:rsidRDefault="00D3348B" w:rsidP="00D3348B">
      <w:pPr>
        <w:pStyle w:val="ListParagraph"/>
        <w:numPr>
          <w:ilvl w:val="0"/>
          <w:numId w:val="28"/>
        </w:numPr>
        <w:rPr>
          <w:b/>
          <w:i/>
        </w:rPr>
      </w:pPr>
      <w:r w:rsidRPr="004E2BCA">
        <w:rPr>
          <w:rFonts w:ascii="Times New Roman" w:hAnsi="Times New Roman"/>
          <w:b/>
          <w:bCs/>
          <w:i/>
          <w:sz w:val="22"/>
          <w:szCs w:val="22"/>
        </w:rPr>
        <w:t>Configuration of different numbers of sub-bands between neighbor gNBs</w:t>
      </w:r>
    </w:p>
    <w:p w14:paraId="7C956512" w14:textId="77777777" w:rsidR="00D3348B" w:rsidRDefault="00D3348B"/>
    <w:p w14:paraId="0A534D91" w14:textId="77777777" w:rsidR="00D93494" w:rsidRPr="00B70197" w:rsidRDefault="00D93494"/>
    <w:p w14:paraId="38D3680D" w14:textId="77777777" w:rsidR="00D3348B" w:rsidRPr="00CB29F4" w:rsidRDefault="00D3348B" w:rsidP="00D3348B">
      <w:pPr>
        <w:rPr>
          <w:b/>
        </w:rPr>
      </w:pPr>
      <w:r w:rsidRPr="00CB29F4">
        <w:rPr>
          <w:b/>
        </w:rPr>
        <w:t xml:space="preserve">Proposal 1: </w:t>
      </w:r>
      <w:r>
        <w:rPr>
          <w:b/>
        </w:rPr>
        <w:t xml:space="preserve">Support </w:t>
      </w:r>
      <w:r w:rsidRPr="00CB29F4">
        <w:rPr>
          <w:b/>
        </w:rPr>
        <w:t>RB</w:t>
      </w:r>
      <w:r>
        <w:rPr>
          <w:b/>
        </w:rPr>
        <w:t xml:space="preserve"> based </w:t>
      </w:r>
      <w:r w:rsidRPr="00CB29F4">
        <w:rPr>
          <w:b/>
        </w:rPr>
        <w:t>granularity</w:t>
      </w:r>
      <w:r>
        <w:rPr>
          <w:b/>
        </w:rPr>
        <w:t xml:space="preserve"> for a sub-band</w:t>
      </w:r>
      <w:r w:rsidRPr="00CB29F4">
        <w:rPr>
          <w:b/>
        </w:rPr>
        <w:t xml:space="preserve">. </w:t>
      </w:r>
    </w:p>
    <w:p w14:paraId="214B934A" w14:textId="77777777" w:rsidR="00D3348B" w:rsidRDefault="00D3348B" w:rsidP="00D3348B">
      <w:pPr>
        <w:rPr>
          <w:b/>
        </w:rPr>
      </w:pPr>
      <w:r w:rsidRPr="00CB29F4">
        <w:rPr>
          <w:b/>
        </w:rPr>
        <w:t>Proposal</w:t>
      </w:r>
      <w:r>
        <w:rPr>
          <w:b/>
        </w:rPr>
        <w:t xml:space="preserve"> 2</w:t>
      </w:r>
      <w:r w:rsidRPr="00CB29F4">
        <w:rPr>
          <w:b/>
        </w:rPr>
        <w:t xml:space="preserve">: </w:t>
      </w:r>
      <w:r>
        <w:rPr>
          <w:b/>
        </w:rPr>
        <w:t xml:space="preserve">Consider a </w:t>
      </w:r>
      <w:r w:rsidRPr="00CB29F4">
        <w:rPr>
          <w:b/>
        </w:rPr>
        <w:t xml:space="preserve">configurable bandwidth </w:t>
      </w:r>
      <w:r>
        <w:rPr>
          <w:b/>
        </w:rPr>
        <w:t xml:space="preserve">of DL and UL sub-bands. </w:t>
      </w:r>
    </w:p>
    <w:p w14:paraId="6B5E4C2E" w14:textId="77777777" w:rsidR="00D3348B" w:rsidRDefault="00D3348B" w:rsidP="00D3348B">
      <w:pPr>
        <w:rPr>
          <w:b/>
        </w:rPr>
      </w:pPr>
      <w:r>
        <w:rPr>
          <w:b/>
        </w:rPr>
        <w:t>Proposal 3: Consider a</w:t>
      </w:r>
      <w:r w:rsidRPr="00CB29F4">
        <w:rPr>
          <w:b/>
        </w:rPr>
        <w:t xml:space="preserve"> defin</w:t>
      </w:r>
      <w:r>
        <w:rPr>
          <w:b/>
        </w:rPr>
        <w:t>ed</w:t>
      </w:r>
      <w:r w:rsidRPr="00CB29F4">
        <w:rPr>
          <w:b/>
        </w:rPr>
        <w:t xml:space="preserve"> minimum and maximum range of number</w:t>
      </w:r>
      <w:r>
        <w:rPr>
          <w:b/>
        </w:rPr>
        <w:t>s</w:t>
      </w:r>
      <w:r w:rsidRPr="00CB29F4">
        <w:rPr>
          <w:b/>
        </w:rPr>
        <w:t xml:space="preserve"> of sub-bands within a TDD band. </w:t>
      </w:r>
    </w:p>
    <w:p w14:paraId="1B9D79CC" w14:textId="77777777" w:rsidR="00D3348B" w:rsidRPr="009C4788" w:rsidRDefault="00D3348B" w:rsidP="00D3348B">
      <w:pPr>
        <w:rPr>
          <w:b/>
        </w:rPr>
      </w:pPr>
      <w:r w:rsidRPr="009C4788">
        <w:rPr>
          <w:b/>
        </w:rPr>
        <w:t>Proposal</w:t>
      </w:r>
      <w:r>
        <w:rPr>
          <w:b/>
        </w:rPr>
        <w:t xml:space="preserve"> 4</w:t>
      </w:r>
      <w:r w:rsidRPr="009C4788">
        <w:rPr>
          <w:b/>
        </w:rPr>
        <w:t>: It is up to the gNB implementation whether to select the inner carrier</w:t>
      </w:r>
      <w:r>
        <w:rPr>
          <w:b/>
        </w:rPr>
        <w:t xml:space="preserve">s or outer carriers of a TDD band </w:t>
      </w:r>
      <w:r w:rsidRPr="009C4788">
        <w:rPr>
          <w:b/>
        </w:rPr>
        <w:t>for a</w:t>
      </w:r>
      <w:r>
        <w:rPr>
          <w:b/>
        </w:rPr>
        <w:t>n opposite direction</w:t>
      </w:r>
      <w:r w:rsidRPr="009C4788">
        <w:rPr>
          <w:b/>
        </w:rPr>
        <w:t xml:space="preserve"> sub-band</w:t>
      </w:r>
      <w:r>
        <w:rPr>
          <w:b/>
        </w:rPr>
        <w:t>s in DL, UL or flexible slots</w:t>
      </w:r>
      <w:r w:rsidRPr="009C4788">
        <w:rPr>
          <w:b/>
        </w:rPr>
        <w:t xml:space="preserve">. </w:t>
      </w:r>
    </w:p>
    <w:p w14:paraId="03564EF8" w14:textId="77777777" w:rsidR="00D3348B" w:rsidRDefault="00D3348B" w:rsidP="00D3348B">
      <w:pPr>
        <w:rPr>
          <w:b/>
        </w:rPr>
      </w:pPr>
      <w:r w:rsidRPr="007A3232">
        <w:rPr>
          <w:b/>
        </w:rPr>
        <w:t>Proposal</w:t>
      </w:r>
      <w:r>
        <w:rPr>
          <w:b/>
        </w:rPr>
        <w:t xml:space="preserve"> 5</w:t>
      </w:r>
      <w:r w:rsidRPr="007A3232">
        <w:rPr>
          <w:b/>
        </w:rPr>
        <w:t xml:space="preserve">: Support the </w:t>
      </w:r>
      <w:r>
        <w:rPr>
          <w:b/>
        </w:rPr>
        <w:t>following:</w:t>
      </w:r>
    </w:p>
    <w:p w14:paraId="21203AFD" w14:textId="77777777" w:rsidR="00D3348B" w:rsidRPr="005101C4" w:rsidRDefault="00D3348B" w:rsidP="00D3348B">
      <w:pPr>
        <w:pStyle w:val="ListParagraph"/>
        <w:numPr>
          <w:ilvl w:val="0"/>
          <w:numId w:val="21"/>
        </w:numPr>
        <w:rPr>
          <w:rFonts w:ascii="Times New Roman" w:hAnsi="Times New Roman"/>
          <w:b/>
          <w:sz w:val="22"/>
          <w:szCs w:val="22"/>
        </w:rPr>
      </w:pPr>
      <w:r w:rsidRPr="005101C4">
        <w:rPr>
          <w:rFonts w:ascii="Times New Roman" w:hAnsi="Times New Roman"/>
          <w:b/>
          <w:sz w:val="22"/>
          <w:szCs w:val="22"/>
        </w:rPr>
        <w:t>UL sub-bands in DL or Flexible slots/symbols</w:t>
      </w:r>
    </w:p>
    <w:p w14:paraId="6C83CCE8" w14:textId="77777777" w:rsidR="00D3348B" w:rsidRPr="00BE536C" w:rsidRDefault="00D3348B" w:rsidP="00D3348B">
      <w:pPr>
        <w:pStyle w:val="ListParagraph"/>
        <w:numPr>
          <w:ilvl w:val="0"/>
          <w:numId w:val="21"/>
        </w:numPr>
        <w:rPr>
          <w:rFonts w:ascii="Times New Roman" w:hAnsi="Times New Roman"/>
          <w:b/>
          <w:sz w:val="22"/>
          <w:szCs w:val="22"/>
        </w:rPr>
      </w:pPr>
      <w:r w:rsidRPr="005101C4">
        <w:rPr>
          <w:rFonts w:ascii="Times New Roman" w:hAnsi="Times New Roman"/>
          <w:b/>
          <w:sz w:val="22"/>
          <w:szCs w:val="22"/>
        </w:rPr>
        <w:t>DL sub-bands in UL or Flexible slots/symbols.</w:t>
      </w:r>
    </w:p>
    <w:p w14:paraId="1758C7AF" w14:textId="77777777" w:rsidR="00D3348B" w:rsidRDefault="00D3348B" w:rsidP="00D3348B">
      <w:pPr>
        <w:rPr>
          <w:b/>
        </w:rPr>
      </w:pPr>
    </w:p>
    <w:p w14:paraId="43F15187" w14:textId="77777777" w:rsidR="00D3348B" w:rsidRDefault="00D3348B" w:rsidP="00D3348B">
      <w:pPr>
        <w:rPr>
          <w:b/>
        </w:rPr>
      </w:pPr>
      <w:r w:rsidRPr="00D3348B">
        <w:rPr>
          <w:b/>
        </w:rPr>
        <w:t xml:space="preserve">Proposal 6: study an alternative method of SBFD configuration, where RRC static configuration can be used to configure a pool of sub-bands to all the SBFD capable UEs in a cell and DCI or MAC CE can be used to indicate and activate/de-activate the DL/UL sub-bands to one or more UEs in a cell. </w:t>
      </w:r>
    </w:p>
    <w:p w14:paraId="1BD1706D" w14:textId="77777777" w:rsidR="00D3348B" w:rsidRPr="00491861" w:rsidRDefault="00D3348B" w:rsidP="00D3348B">
      <w:pPr>
        <w:rPr>
          <w:b/>
        </w:rPr>
      </w:pPr>
      <w:r>
        <w:rPr>
          <w:b/>
        </w:rPr>
        <w:t>Proposal 7</w:t>
      </w:r>
      <w:r w:rsidRPr="00491861">
        <w:rPr>
          <w:b/>
        </w:rPr>
        <w:t>: To avoid the intra sub-band interference in SBFD operation the neighbor’s gNB shall:</w:t>
      </w:r>
    </w:p>
    <w:p w14:paraId="4CD2CAE8" w14:textId="77777777" w:rsidR="00D3348B" w:rsidRPr="00491861" w:rsidRDefault="00D3348B" w:rsidP="00D3348B">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Keep the same bandwidth of UL to UL and DL to DL sub-bands among the neighbor gNBs</w:t>
      </w:r>
    </w:p>
    <w:p w14:paraId="4DBF00CB" w14:textId="77777777" w:rsidR="00D3348B" w:rsidRPr="00491861" w:rsidRDefault="00D3348B" w:rsidP="00D3348B">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Assign alike sub-bands to UL and DL transmission among the neighbor gNBs </w:t>
      </w:r>
    </w:p>
    <w:p w14:paraId="338E55C5" w14:textId="77777777" w:rsidR="00D3348B" w:rsidRPr="00491861" w:rsidRDefault="00D3348B" w:rsidP="00D3348B">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Allocate similar quantity of sub-bands to DL and UL transmission among the neighbor gNBs </w:t>
      </w:r>
    </w:p>
    <w:p w14:paraId="767D413A" w14:textId="77777777" w:rsidR="00D3348B" w:rsidRPr="00491861" w:rsidRDefault="00D3348B" w:rsidP="00D3348B">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Configure similar numbers of sub-bands among the neighbor gNBs </w:t>
      </w:r>
    </w:p>
    <w:p w14:paraId="3E3C4608" w14:textId="77777777" w:rsidR="000E11F2" w:rsidRPr="00D3348B" w:rsidRDefault="000E11F2" w:rsidP="000E11F2">
      <w:pPr>
        <w:spacing w:line="276" w:lineRule="auto"/>
        <w:contextualSpacing/>
        <w:rPr>
          <w:b/>
          <w:i/>
        </w:rPr>
      </w:pPr>
    </w:p>
    <w:p w14:paraId="29577367" w14:textId="77777777" w:rsidR="00FF425C" w:rsidRDefault="00FF425C">
      <w:pPr>
        <w:rPr>
          <w:b/>
          <w:i/>
          <w:lang w:val="fi-FI" w:eastAsia="zh-CN"/>
        </w:rPr>
      </w:pPr>
    </w:p>
    <w:p w14:paraId="1AF30FBC" w14:textId="77777777" w:rsidR="00FF425C" w:rsidRDefault="00FF425C">
      <w:pPr>
        <w:rPr>
          <w:i/>
          <w:lang w:eastAsia="zh-CN"/>
        </w:rPr>
      </w:pPr>
    </w:p>
    <w:p w14:paraId="79AF668D" w14:textId="77777777"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14:paraId="58FE2575" w14:textId="77777777" w:rsidR="00CB72FA" w:rsidRDefault="00CB72FA" w:rsidP="00CB72FA">
      <w:pPr>
        <w:pStyle w:val="References"/>
      </w:pPr>
      <w:r>
        <w:t>Draft Report of 3GPP TSG RAN WG1 #109-e v0.3.0 (Online meeting</w:t>
      </w:r>
      <w:r w:rsidRPr="00104FF5">
        <w:t>,</w:t>
      </w:r>
      <w:r>
        <w:t xml:space="preserve"> 9</w:t>
      </w:r>
      <w:r w:rsidRPr="00CB72FA">
        <w:rPr>
          <w:vertAlign w:val="superscript"/>
        </w:rPr>
        <w:t>th</w:t>
      </w:r>
      <w:r>
        <w:t xml:space="preserve"> – 20</w:t>
      </w:r>
      <w:r w:rsidRPr="00CB72FA">
        <w:rPr>
          <w:vertAlign w:val="superscript"/>
        </w:rPr>
        <w:t>th</w:t>
      </w:r>
      <w:r>
        <w:t xml:space="preserve"> May </w:t>
      </w:r>
      <w:r w:rsidRPr="00104FF5">
        <w:t>20</w:t>
      </w:r>
      <w:r>
        <w:t>22)</w:t>
      </w:r>
    </w:p>
    <w:p w14:paraId="28EFEB9F" w14:textId="77777777" w:rsidR="00CB72FA" w:rsidRDefault="00CB72FA" w:rsidP="00CB72FA">
      <w:pPr>
        <w:pStyle w:val="References"/>
        <w:numPr>
          <w:ilvl w:val="0"/>
          <w:numId w:val="0"/>
        </w:numPr>
        <w:tabs>
          <w:tab w:val="left" w:pos="1778"/>
        </w:tabs>
        <w:ind w:left="360"/>
      </w:pPr>
    </w:p>
    <w:sectPr w:rsidR="00CB72FA">
      <w:footerReference w:type="default" r:id="rId3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DEDEF" w14:textId="77777777" w:rsidR="00B746E0" w:rsidRDefault="00B746E0">
      <w:pPr>
        <w:spacing w:after="0"/>
      </w:pPr>
      <w:r>
        <w:separator/>
      </w:r>
    </w:p>
  </w:endnote>
  <w:endnote w:type="continuationSeparator" w:id="0">
    <w:p w14:paraId="72C9FF23" w14:textId="77777777" w:rsidR="00B746E0" w:rsidRDefault="00B746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14:paraId="067F2A2C" w14:textId="7B5DFC69" w:rsidR="00303CE7" w:rsidRDefault="00303CE7">
        <w:pPr>
          <w:pStyle w:val="Footer"/>
          <w:jc w:val="center"/>
        </w:pPr>
        <w:r>
          <w:fldChar w:fldCharType="begin"/>
        </w:r>
        <w:r>
          <w:instrText xml:space="preserve"> PAGE   \* MERGEFORMAT </w:instrText>
        </w:r>
        <w:r>
          <w:fldChar w:fldCharType="separate"/>
        </w:r>
        <w:r w:rsidR="00124A70">
          <w:rPr>
            <w:noProof/>
          </w:rPr>
          <w:t>1</w:t>
        </w:r>
        <w:r>
          <w:fldChar w:fldCharType="end"/>
        </w:r>
      </w:p>
    </w:sdtContent>
  </w:sdt>
  <w:p w14:paraId="57818657" w14:textId="77777777" w:rsidR="00303CE7" w:rsidRDefault="00303C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39E31" w14:textId="77777777" w:rsidR="00B746E0" w:rsidRDefault="00B746E0">
      <w:pPr>
        <w:spacing w:after="0"/>
      </w:pPr>
      <w:r>
        <w:separator/>
      </w:r>
    </w:p>
  </w:footnote>
  <w:footnote w:type="continuationSeparator" w:id="0">
    <w:p w14:paraId="5660AE25" w14:textId="77777777" w:rsidR="00B746E0" w:rsidRDefault="00B746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1" w15:restartNumberingAfterBreak="0">
    <w:nsid w:val="001E2E9A"/>
    <w:multiLevelType w:val="multilevel"/>
    <w:tmpl w:val="001E2E9A"/>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04617D"/>
    <w:multiLevelType w:val="hybridMultilevel"/>
    <w:tmpl w:val="84C4D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236FF"/>
    <w:multiLevelType w:val="multilevel"/>
    <w:tmpl w:val="46C8CB8A"/>
    <w:lvl w:ilvl="0">
      <w:start w:val="5"/>
      <w:numFmt w:val="decimal"/>
      <w:lvlText w:val="%1"/>
      <w:lvlJc w:val="left"/>
      <w:pPr>
        <w:ind w:left="660" w:hanging="660"/>
      </w:pPr>
      <w:rPr>
        <w:rFonts w:hint="default"/>
      </w:rPr>
    </w:lvl>
    <w:lvl w:ilvl="1">
      <w:start w:val="1"/>
      <w:numFmt w:val="decimal"/>
      <w:lvlText w:val="%1.%2"/>
      <w:lvlJc w:val="left"/>
      <w:pPr>
        <w:ind w:left="720" w:hanging="660"/>
      </w:pPr>
      <w:rPr>
        <w:rFonts w:hint="default"/>
      </w:rPr>
    </w:lvl>
    <w:lvl w:ilvl="2">
      <w:start w:val="2"/>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4" w15:restartNumberingAfterBreak="0">
    <w:nsid w:val="1BAB1858"/>
    <w:multiLevelType w:val="hybridMultilevel"/>
    <w:tmpl w:val="3F10C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6" w15:restartNumberingAfterBreak="0">
    <w:nsid w:val="209C3EBC"/>
    <w:multiLevelType w:val="hybridMultilevel"/>
    <w:tmpl w:val="E056CD3E"/>
    <w:lvl w:ilvl="0" w:tplc="52AAAA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E56E0F"/>
    <w:multiLevelType w:val="hybridMultilevel"/>
    <w:tmpl w:val="0E86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D66ED"/>
    <w:multiLevelType w:val="hybridMultilevel"/>
    <w:tmpl w:val="BFBAB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B7F02"/>
    <w:multiLevelType w:val="hybridMultilevel"/>
    <w:tmpl w:val="2C646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3136193F"/>
    <w:multiLevelType w:val="hybridMultilevel"/>
    <w:tmpl w:val="792CF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CEE2C00"/>
    <w:multiLevelType w:val="hybridMultilevel"/>
    <w:tmpl w:val="552A9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4FDF5D6B"/>
    <w:multiLevelType w:val="hybridMultilevel"/>
    <w:tmpl w:val="E056CD3E"/>
    <w:lvl w:ilvl="0" w:tplc="52AAAA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A46748"/>
    <w:multiLevelType w:val="multilevel"/>
    <w:tmpl w:val="58A467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1F1DCF"/>
    <w:multiLevelType w:val="hybridMultilevel"/>
    <w:tmpl w:val="76C6F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96B2C"/>
    <w:multiLevelType w:val="hybridMultilevel"/>
    <w:tmpl w:val="6A48A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867ED9"/>
    <w:multiLevelType w:val="hybridMultilevel"/>
    <w:tmpl w:val="437C7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DB0CCE"/>
    <w:multiLevelType w:val="multilevel"/>
    <w:tmpl w:val="566608C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E4604D"/>
    <w:multiLevelType w:val="hybridMultilevel"/>
    <w:tmpl w:val="43882C1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9619EE"/>
    <w:multiLevelType w:val="hybridMultilevel"/>
    <w:tmpl w:val="2C646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321807"/>
    <w:multiLevelType w:val="multilevel"/>
    <w:tmpl w:val="D9F646FE"/>
    <w:lvl w:ilvl="0">
      <w:start w:val="5"/>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2"/>
  </w:num>
  <w:num w:numId="2">
    <w:abstractNumId w:val="13"/>
  </w:num>
  <w:num w:numId="3">
    <w:abstractNumId w:val="15"/>
  </w:num>
  <w:num w:numId="4">
    <w:abstractNumId w:val="10"/>
  </w:num>
  <w:num w:numId="5">
    <w:abstractNumId w:val="5"/>
  </w:num>
  <w:num w:numId="6">
    <w:abstractNumId w:val="17"/>
  </w:num>
  <w:num w:numId="7">
    <w:abstractNumId w:val="1"/>
  </w:num>
  <w:num w:numId="8">
    <w:abstractNumId w:val="22"/>
  </w:num>
  <w:num w:numId="9">
    <w:abstractNumId w:val="12"/>
  </w:num>
  <w:num w:numId="10">
    <w:abstractNumId w:val="12"/>
  </w:num>
  <w:num w:numId="11">
    <w:abstractNumId w:val="0"/>
  </w:num>
  <w:num w:numId="12">
    <w:abstractNumId w:val="24"/>
  </w:num>
  <w:num w:numId="13">
    <w:abstractNumId w:val="21"/>
  </w:num>
  <w:num w:numId="14">
    <w:abstractNumId w:val="25"/>
  </w:num>
  <w:num w:numId="15">
    <w:abstractNumId w:val="3"/>
  </w:num>
  <w:num w:numId="16">
    <w:abstractNumId w:val="23"/>
  </w:num>
  <w:num w:numId="17">
    <w:abstractNumId w:val="16"/>
  </w:num>
  <w:num w:numId="18">
    <w:abstractNumId w:val="4"/>
  </w:num>
  <w:num w:numId="19">
    <w:abstractNumId w:val="11"/>
  </w:num>
  <w:num w:numId="20">
    <w:abstractNumId w:val="19"/>
  </w:num>
  <w:num w:numId="21">
    <w:abstractNumId w:val="20"/>
  </w:num>
  <w:num w:numId="22">
    <w:abstractNumId w:val="7"/>
  </w:num>
  <w:num w:numId="23">
    <w:abstractNumId w:val="14"/>
  </w:num>
  <w:num w:numId="24">
    <w:abstractNumId w:val="9"/>
  </w:num>
  <w:num w:numId="25">
    <w:abstractNumId w:val="18"/>
  </w:num>
  <w:num w:numId="26">
    <w:abstractNumId w:val="8"/>
  </w:num>
  <w:num w:numId="27">
    <w:abstractNumId w:val="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346"/>
    <w:rsid w:val="00006E5A"/>
    <w:rsid w:val="000072B6"/>
    <w:rsid w:val="00007813"/>
    <w:rsid w:val="000109E6"/>
    <w:rsid w:val="00011F67"/>
    <w:rsid w:val="00012712"/>
    <w:rsid w:val="00012862"/>
    <w:rsid w:val="000128E6"/>
    <w:rsid w:val="000149E6"/>
    <w:rsid w:val="00015EFB"/>
    <w:rsid w:val="000165E2"/>
    <w:rsid w:val="00016DFD"/>
    <w:rsid w:val="000172BE"/>
    <w:rsid w:val="00017D8A"/>
    <w:rsid w:val="00020EB8"/>
    <w:rsid w:val="00022BDB"/>
    <w:rsid w:val="00023388"/>
    <w:rsid w:val="00023425"/>
    <w:rsid w:val="000241BE"/>
    <w:rsid w:val="000242F2"/>
    <w:rsid w:val="00025150"/>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77AE"/>
    <w:rsid w:val="0004023E"/>
    <w:rsid w:val="0004024B"/>
    <w:rsid w:val="00041C57"/>
    <w:rsid w:val="000434B7"/>
    <w:rsid w:val="000435E4"/>
    <w:rsid w:val="00044AB4"/>
    <w:rsid w:val="00044F91"/>
    <w:rsid w:val="00046796"/>
    <w:rsid w:val="000467FD"/>
    <w:rsid w:val="00046AAF"/>
    <w:rsid w:val="00047225"/>
    <w:rsid w:val="00047E60"/>
    <w:rsid w:val="00052AD2"/>
    <w:rsid w:val="00052E0B"/>
    <w:rsid w:val="000530DF"/>
    <w:rsid w:val="000532AA"/>
    <w:rsid w:val="00054E0C"/>
    <w:rsid w:val="0005541D"/>
    <w:rsid w:val="000565C8"/>
    <w:rsid w:val="00057DC8"/>
    <w:rsid w:val="0006106C"/>
    <w:rsid w:val="000612E1"/>
    <w:rsid w:val="000614FE"/>
    <w:rsid w:val="00061D60"/>
    <w:rsid w:val="0006531B"/>
    <w:rsid w:val="00065D38"/>
    <w:rsid w:val="00067CF5"/>
    <w:rsid w:val="00067DD1"/>
    <w:rsid w:val="00070397"/>
    <w:rsid w:val="00070447"/>
    <w:rsid w:val="000706E7"/>
    <w:rsid w:val="00070B2C"/>
    <w:rsid w:val="00070C5E"/>
    <w:rsid w:val="00070EF8"/>
    <w:rsid w:val="000710FE"/>
    <w:rsid w:val="00071192"/>
    <w:rsid w:val="000713A7"/>
    <w:rsid w:val="00072A80"/>
    <w:rsid w:val="000731A0"/>
    <w:rsid w:val="000733B1"/>
    <w:rsid w:val="000736C1"/>
    <w:rsid w:val="00073797"/>
    <w:rsid w:val="00073DEC"/>
    <w:rsid w:val="000745AA"/>
    <w:rsid w:val="00074E86"/>
    <w:rsid w:val="0007521B"/>
    <w:rsid w:val="00076097"/>
    <w:rsid w:val="00076541"/>
    <w:rsid w:val="000772F4"/>
    <w:rsid w:val="000776EB"/>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6356"/>
    <w:rsid w:val="00096785"/>
    <w:rsid w:val="00097C99"/>
    <w:rsid w:val="000A0F14"/>
    <w:rsid w:val="000A1441"/>
    <w:rsid w:val="000A1A06"/>
    <w:rsid w:val="000A1B60"/>
    <w:rsid w:val="000A21B4"/>
    <w:rsid w:val="000A2CC7"/>
    <w:rsid w:val="000A2ED6"/>
    <w:rsid w:val="000A3156"/>
    <w:rsid w:val="000A4205"/>
    <w:rsid w:val="000A4292"/>
    <w:rsid w:val="000A4A19"/>
    <w:rsid w:val="000A4FE8"/>
    <w:rsid w:val="000A5446"/>
    <w:rsid w:val="000A56DD"/>
    <w:rsid w:val="000A6351"/>
    <w:rsid w:val="000A63D6"/>
    <w:rsid w:val="000A70C3"/>
    <w:rsid w:val="000A7B38"/>
    <w:rsid w:val="000B0343"/>
    <w:rsid w:val="000B2985"/>
    <w:rsid w:val="000B2C88"/>
    <w:rsid w:val="000B3342"/>
    <w:rsid w:val="000B3AA2"/>
    <w:rsid w:val="000B51FA"/>
    <w:rsid w:val="000B5905"/>
    <w:rsid w:val="000B5975"/>
    <w:rsid w:val="000B6E2C"/>
    <w:rsid w:val="000B76C5"/>
    <w:rsid w:val="000B7A10"/>
    <w:rsid w:val="000C02FB"/>
    <w:rsid w:val="000C115D"/>
    <w:rsid w:val="000C1461"/>
    <w:rsid w:val="000C1535"/>
    <w:rsid w:val="000C252B"/>
    <w:rsid w:val="000C2FBD"/>
    <w:rsid w:val="000C3B0C"/>
    <w:rsid w:val="000C422D"/>
    <w:rsid w:val="000C4ADF"/>
    <w:rsid w:val="000C5F91"/>
    <w:rsid w:val="000C602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380"/>
    <w:rsid w:val="000E18DF"/>
    <w:rsid w:val="000E21F8"/>
    <w:rsid w:val="000E499F"/>
    <w:rsid w:val="000E53C0"/>
    <w:rsid w:val="000E59A0"/>
    <w:rsid w:val="000E62E2"/>
    <w:rsid w:val="000E7A84"/>
    <w:rsid w:val="000F1004"/>
    <w:rsid w:val="000F1167"/>
    <w:rsid w:val="000F15BC"/>
    <w:rsid w:val="000F180A"/>
    <w:rsid w:val="000F1C92"/>
    <w:rsid w:val="000F2EEE"/>
    <w:rsid w:val="000F3697"/>
    <w:rsid w:val="000F5F90"/>
    <w:rsid w:val="000F7F58"/>
    <w:rsid w:val="00100128"/>
    <w:rsid w:val="00100FF3"/>
    <w:rsid w:val="001026CA"/>
    <w:rsid w:val="001043C2"/>
    <w:rsid w:val="001043E1"/>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982"/>
    <w:rsid w:val="00120B13"/>
    <w:rsid w:val="00124A70"/>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57D"/>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4DAB"/>
    <w:rsid w:val="00165B87"/>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A5C"/>
    <w:rsid w:val="00183EA5"/>
    <w:rsid w:val="00183EE6"/>
    <w:rsid w:val="0018588A"/>
    <w:rsid w:val="00186FB5"/>
    <w:rsid w:val="00187252"/>
    <w:rsid w:val="0019033B"/>
    <w:rsid w:val="0019053D"/>
    <w:rsid w:val="001905BB"/>
    <w:rsid w:val="00191C91"/>
    <w:rsid w:val="0019264D"/>
    <w:rsid w:val="00192DD9"/>
    <w:rsid w:val="00193CF5"/>
    <w:rsid w:val="00194339"/>
    <w:rsid w:val="00194848"/>
    <w:rsid w:val="0019500D"/>
    <w:rsid w:val="001958EA"/>
    <w:rsid w:val="00195E0E"/>
    <w:rsid w:val="001A180D"/>
    <w:rsid w:val="001A1BAC"/>
    <w:rsid w:val="001A23CE"/>
    <w:rsid w:val="001A2C89"/>
    <w:rsid w:val="001A33BB"/>
    <w:rsid w:val="001A673E"/>
    <w:rsid w:val="001A7763"/>
    <w:rsid w:val="001A7ED9"/>
    <w:rsid w:val="001B3964"/>
    <w:rsid w:val="001B433D"/>
    <w:rsid w:val="001B4452"/>
    <w:rsid w:val="001B466C"/>
    <w:rsid w:val="001B4F34"/>
    <w:rsid w:val="001B52EC"/>
    <w:rsid w:val="001B554A"/>
    <w:rsid w:val="001B6564"/>
    <w:rsid w:val="001B691A"/>
    <w:rsid w:val="001C02D8"/>
    <w:rsid w:val="001C04E3"/>
    <w:rsid w:val="001C0A80"/>
    <w:rsid w:val="001C0AC4"/>
    <w:rsid w:val="001C1C34"/>
    <w:rsid w:val="001C2378"/>
    <w:rsid w:val="001C2A8F"/>
    <w:rsid w:val="001C2E6E"/>
    <w:rsid w:val="001C39A1"/>
    <w:rsid w:val="001C3AE5"/>
    <w:rsid w:val="001C3EE9"/>
    <w:rsid w:val="001C3FA4"/>
    <w:rsid w:val="001C40F9"/>
    <w:rsid w:val="001C458B"/>
    <w:rsid w:val="001C5D4F"/>
    <w:rsid w:val="001C64C0"/>
    <w:rsid w:val="001C665D"/>
    <w:rsid w:val="001C66C6"/>
    <w:rsid w:val="001C69DA"/>
    <w:rsid w:val="001C6F06"/>
    <w:rsid w:val="001C7BCC"/>
    <w:rsid w:val="001D1B4E"/>
    <w:rsid w:val="001D2360"/>
    <w:rsid w:val="001D3109"/>
    <w:rsid w:val="001D332E"/>
    <w:rsid w:val="001D5033"/>
    <w:rsid w:val="001D5C88"/>
    <w:rsid w:val="001D6567"/>
    <w:rsid w:val="001D695C"/>
    <w:rsid w:val="001D6FD9"/>
    <w:rsid w:val="001D780E"/>
    <w:rsid w:val="001E02E4"/>
    <w:rsid w:val="001E05C3"/>
    <w:rsid w:val="001E0AD3"/>
    <w:rsid w:val="001E2552"/>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EC7"/>
    <w:rsid w:val="002024C7"/>
    <w:rsid w:val="0020349A"/>
    <w:rsid w:val="002034B4"/>
    <w:rsid w:val="00204032"/>
    <w:rsid w:val="00204BAD"/>
    <w:rsid w:val="00204D60"/>
    <w:rsid w:val="002052E4"/>
    <w:rsid w:val="00205627"/>
    <w:rsid w:val="002056D0"/>
    <w:rsid w:val="00210691"/>
    <w:rsid w:val="00210696"/>
    <w:rsid w:val="00210860"/>
    <w:rsid w:val="00210B6A"/>
    <w:rsid w:val="00211FE3"/>
    <w:rsid w:val="00212CB6"/>
    <w:rsid w:val="00212E37"/>
    <w:rsid w:val="002140FF"/>
    <w:rsid w:val="00214657"/>
    <w:rsid w:val="002206E0"/>
    <w:rsid w:val="00220894"/>
    <w:rsid w:val="00224952"/>
    <w:rsid w:val="00224DD2"/>
    <w:rsid w:val="00225A6A"/>
    <w:rsid w:val="00225AC7"/>
    <w:rsid w:val="00225ACC"/>
    <w:rsid w:val="00226637"/>
    <w:rsid w:val="0022756D"/>
    <w:rsid w:val="00231C25"/>
    <w:rsid w:val="00231C6F"/>
    <w:rsid w:val="00232A90"/>
    <w:rsid w:val="00234151"/>
    <w:rsid w:val="00234F8C"/>
    <w:rsid w:val="00235542"/>
    <w:rsid w:val="002369B0"/>
    <w:rsid w:val="00236AD8"/>
    <w:rsid w:val="00237C82"/>
    <w:rsid w:val="002401F5"/>
    <w:rsid w:val="00240E54"/>
    <w:rsid w:val="00242C26"/>
    <w:rsid w:val="002451C5"/>
    <w:rsid w:val="00245F1F"/>
    <w:rsid w:val="0024663B"/>
    <w:rsid w:val="00246EA0"/>
    <w:rsid w:val="00247103"/>
    <w:rsid w:val="00250067"/>
    <w:rsid w:val="002516DE"/>
    <w:rsid w:val="00251F81"/>
    <w:rsid w:val="0025257B"/>
    <w:rsid w:val="00252BE0"/>
    <w:rsid w:val="002531AD"/>
    <w:rsid w:val="00253588"/>
    <w:rsid w:val="002546F4"/>
    <w:rsid w:val="002551D0"/>
    <w:rsid w:val="00255374"/>
    <w:rsid w:val="00257BF4"/>
    <w:rsid w:val="00260003"/>
    <w:rsid w:val="0026035D"/>
    <w:rsid w:val="002606D6"/>
    <w:rsid w:val="00261C98"/>
    <w:rsid w:val="0026248E"/>
    <w:rsid w:val="00262914"/>
    <w:rsid w:val="00263220"/>
    <w:rsid w:val="002647BF"/>
    <w:rsid w:val="002647D5"/>
    <w:rsid w:val="00265032"/>
    <w:rsid w:val="002651FB"/>
    <w:rsid w:val="0026538C"/>
    <w:rsid w:val="00265624"/>
    <w:rsid w:val="00265781"/>
    <w:rsid w:val="00266B13"/>
    <w:rsid w:val="00270728"/>
    <w:rsid w:val="00270B9F"/>
    <w:rsid w:val="00270D42"/>
    <w:rsid w:val="0027195D"/>
    <w:rsid w:val="00272A05"/>
    <w:rsid w:val="00272B03"/>
    <w:rsid w:val="002733E2"/>
    <w:rsid w:val="00273CA8"/>
    <w:rsid w:val="002750B1"/>
    <w:rsid w:val="00275BB7"/>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59F0"/>
    <w:rsid w:val="002A5E54"/>
    <w:rsid w:val="002A63BF"/>
    <w:rsid w:val="002A6432"/>
    <w:rsid w:val="002A6F25"/>
    <w:rsid w:val="002A6FD3"/>
    <w:rsid w:val="002B0799"/>
    <w:rsid w:val="002B0A7D"/>
    <w:rsid w:val="002B1981"/>
    <w:rsid w:val="002B1A69"/>
    <w:rsid w:val="002B1CC1"/>
    <w:rsid w:val="002B2723"/>
    <w:rsid w:val="002B2AC2"/>
    <w:rsid w:val="002B303A"/>
    <w:rsid w:val="002B44E7"/>
    <w:rsid w:val="002B4F64"/>
    <w:rsid w:val="002B538E"/>
    <w:rsid w:val="002B5DCA"/>
    <w:rsid w:val="002B6BDC"/>
    <w:rsid w:val="002B6CCC"/>
    <w:rsid w:val="002B6DB8"/>
    <w:rsid w:val="002B75B0"/>
    <w:rsid w:val="002B7EAF"/>
    <w:rsid w:val="002C099C"/>
    <w:rsid w:val="002C0B74"/>
    <w:rsid w:val="002C0C8B"/>
    <w:rsid w:val="002C0CBB"/>
    <w:rsid w:val="002C1201"/>
    <w:rsid w:val="002C1460"/>
    <w:rsid w:val="002C20F2"/>
    <w:rsid w:val="002C38B2"/>
    <w:rsid w:val="002C3F9C"/>
    <w:rsid w:val="002C568E"/>
    <w:rsid w:val="002C5AFA"/>
    <w:rsid w:val="002C7C79"/>
    <w:rsid w:val="002D0439"/>
    <w:rsid w:val="002D11B7"/>
    <w:rsid w:val="002D3BBC"/>
    <w:rsid w:val="002D438A"/>
    <w:rsid w:val="002D5738"/>
    <w:rsid w:val="002D5E53"/>
    <w:rsid w:val="002D60ED"/>
    <w:rsid w:val="002E0319"/>
    <w:rsid w:val="002E1606"/>
    <w:rsid w:val="002E179B"/>
    <w:rsid w:val="002E1C9E"/>
    <w:rsid w:val="002E257B"/>
    <w:rsid w:val="002E3C65"/>
    <w:rsid w:val="002E3F5B"/>
    <w:rsid w:val="002E4362"/>
    <w:rsid w:val="002E626B"/>
    <w:rsid w:val="002E63D9"/>
    <w:rsid w:val="002E640E"/>
    <w:rsid w:val="002F07F2"/>
    <w:rsid w:val="002F0C28"/>
    <w:rsid w:val="002F0E75"/>
    <w:rsid w:val="002F11E9"/>
    <w:rsid w:val="002F3CDE"/>
    <w:rsid w:val="002F423C"/>
    <w:rsid w:val="002F5937"/>
    <w:rsid w:val="002F5DD6"/>
    <w:rsid w:val="002F5FEA"/>
    <w:rsid w:val="002F6359"/>
    <w:rsid w:val="002F63E7"/>
    <w:rsid w:val="002F71D0"/>
    <w:rsid w:val="002F7BE3"/>
    <w:rsid w:val="002F7E6A"/>
    <w:rsid w:val="00300165"/>
    <w:rsid w:val="003010CF"/>
    <w:rsid w:val="00303440"/>
    <w:rsid w:val="00303CE7"/>
    <w:rsid w:val="00304D9B"/>
    <w:rsid w:val="00305FF9"/>
    <w:rsid w:val="00306B15"/>
    <w:rsid w:val="00306E6B"/>
    <w:rsid w:val="003100C8"/>
    <w:rsid w:val="00310426"/>
    <w:rsid w:val="00311161"/>
    <w:rsid w:val="00312400"/>
    <w:rsid w:val="00312739"/>
    <w:rsid w:val="00312D10"/>
    <w:rsid w:val="003133FC"/>
    <w:rsid w:val="00315FAB"/>
    <w:rsid w:val="003178DA"/>
    <w:rsid w:val="00317DB8"/>
    <w:rsid w:val="00320618"/>
    <w:rsid w:val="0032100B"/>
    <w:rsid w:val="00321BD7"/>
    <w:rsid w:val="0032260F"/>
    <w:rsid w:val="003228DA"/>
    <w:rsid w:val="00323486"/>
    <w:rsid w:val="00323D6B"/>
    <w:rsid w:val="00326194"/>
    <w:rsid w:val="00326957"/>
    <w:rsid w:val="00326AE2"/>
    <w:rsid w:val="00331426"/>
    <w:rsid w:val="0033171D"/>
    <w:rsid w:val="00331FC3"/>
    <w:rsid w:val="00332303"/>
    <w:rsid w:val="00332E75"/>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47ED3"/>
    <w:rsid w:val="00350108"/>
    <w:rsid w:val="00350762"/>
    <w:rsid w:val="003507C4"/>
    <w:rsid w:val="00350D94"/>
    <w:rsid w:val="003519A1"/>
    <w:rsid w:val="00352480"/>
    <w:rsid w:val="003530D2"/>
    <w:rsid w:val="0035331A"/>
    <w:rsid w:val="003534E1"/>
    <w:rsid w:val="003548D8"/>
    <w:rsid w:val="003554CA"/>
    <w:rsid w:val="003561A1"/>
    <w:rsid w:val="00360232"/>
    <w:rsid w:val="003602E0"/>
    <w:rsid w:val="00360D01"/>
    <w:rsid w:val="00360F3F"/>
    <w:rsid w:val="00362569"/>
    <w:rsid w:val="003636CD"/>
    <w:rsid w:val="0036487C"/>
    <w:rsid w:val="00365411"/>
    <w:rsid w:val="00365505"/>
    <w:rsid w:val="00365FA2"/>
    <w:rsid w:val="00366212"/>
    <w:rsid w:val="00366878"/>
    <w:rsid w:val="00366C69"/>
    <w:rsid w:val="003672DE"/>
    <w:rsid w:val="00367441"/>
    <w:rsid w:val="003679CC"/>
    <w:rsid w:val="00367B1D"/>
    <w:rsid w:val="00370E4F"/>
    <w:rsid w:val="00371215"/>
    <w:rsid w:val="00371A4F"/>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57FD"/>
    <w:rsid w:val="00395F62"/>
    <w:rsid w:val="003970A2"/>
    <w:rsid w:val="003977E5"/>
    <w:rsid w:val="00397C1D"/>
    <w:rsid w:val="003A180F"/>
    <w:rsid w:val="003A18DD"/>
    <w:rsid w:val="003A20C8"/>
    <w:rsid w:val="003A2C29"/>
    <w:rsid w:val="003A2EC3"/>
    <w:rsid w:val="003A36F2"/>
    <w:rsid w:val="003A3D39"/>
    <w:rsid w:val="003A3EC7"/>
    <w:rsid w:val="003A40B4"/>
    <w:rsid w:val="003A64C0"/>
    <w:rsid w:val="003A7607"/>
    <w:rsid w:val="003A7834"/>
    <w:rsid w:val="003B0B5B"/>
    <w:rsid w:val="003B0E79"/>
    <w:rsid w:val="003B19A2"/>
    <w:rsid w:val="003B1DF2"/>
    <w:rsid w:val="003B21B4"/>
    <w:rsid w:val="003B3575"/>
    <w:rsid w:val="003B43BA"/>
    <w:rsid w:val="003B4647"/>
    <w:rsid w:val="003B4CF0"/>
    <w:rsid w:val="003B50BC"/>
    <w:rsid w:val="003B5198"/>
    <w:rsid w:val="003B5D97"/>
    <w:rsid w:val="003B63A4"/>
    <w:rsid w:val="003B68FE"/>
    <w:rsid w:val="003B6D7D"/>
    <w:rsid w:val="003B7D39"/>
    <w:rsid w:val="003B7D7E"/>
    <w:rsid w:val="003C0611"/>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A97"/>
    <w:rsid w:val="003D0FC3"/>
    <w:rsid w:val="003D2C1D"/>
    <w:rsid w:val="003D2C34"/>
    <w:rsid w:val="003D3DDD"/>
    <w:rsid w:val="003D4547"/>
    <w:rsid w:val="003D5CBF"/>
    <w:rsid w:val="003D66D2"/>
    <w:rsid w:val="003D6DB7"/>
    <w:rsid w:val="003E07AE"/>
    <w:rsid w:val="003E089C"/>
    <w:rsid w:val="003E10E2"/>
    <w:rsid w:val="003E14FC"/>
    <w:rsid w:val="003E2976"/>
    <w:rsid w:val="003E40FD"/>
    <w:rsid w:val="003E4858"/>
    <w:rsid w:val="003E4917"/>
    <w:rsid w:val="003E4A6B"/>
    <w:rsid w:val="003E6316"/>
    <w:rsid w:val="003E6884"/>
    <w:rsid w:val="003E6AC5"/>
    <w:rsid w:val="003E7D7B"/>
    <w:rsid w:val="003F0096"/>
    <w:rsid w:val="003F0850"/>
    <w:rsid w:val="003F0D12"/>
    <w:rsid w:val="003F0D31"/>
    <w:rsid w:val="003F160C"/>
    <w:rsid w:val="003F324F"/>
    <w:rsid w:val="003F33BC"/>
    <w:rsid w:val="003F3D4E"/>
    <w:rsid w:val="003F477E"/>
    <w:rsid w:val="003F52BA"/>
    <w:rsid w:val="003F6CD2"/>
    <w:rsid w:val="003F788D"/>
    <w:rsid w:val="0040126E"/>
    <w:rsid w:val="004020D4"/>
    <w:rsid w:val="004021B6"/>
    <w:rsid w:val="004047C4"/>
    <w:rsid w:val="0040570B"/>
    <w:rsid w:val="00405EDB"/>
    <w:rsid w:val="00405FB1"/>
    <w:rsid w:val="00406460"/>
    <w:rsid w:val="00406992"/>
    <w:rsid w:val="00407E4F"/>
    <w:rsid w:val="00412461"/>
    <w:rsid w:val="00412546"/>
    <w:rsid w:val="00413053"/>
    <w:rsid w:val="0041319C"/>
    <w:rsid w:val="004137B6"/>
    <w:rsid w:val="00413A54"/>
    <w:rsid w:val="00413C10"/>
    <w:rsid w:val="00413CD9"/>
    <w:rsid w:val="00413F9A"/>
    <w:rsid w:val="004140CA"/>
    <w:rsid w:val="00414C65"/>
    <w:rsid w:val="004158D1"/>
    <w:rsid w:val="00415D76"/>
    <w:rsid w:val="00416665"/>
    <w:rsid w:val="00416A67"/>
    <w:rsid w:val="00416ACB"/>
    <w:rsid w:val="004173F2"/>
    <w:rsid w:val="00421752"/>
    <w:rsid w:val="00421B0E"/>
    <w:rsid w:val="00421DCF"/>
    <w:rsid w:val="00422341"/>
    <w:rsid w:val="00423641"/>
    <w:rsid w:val="00423C4D"/>
    <w:rsid w:val="00426266"/>
    <w:rsid w:val="00426A84"/>
    <w:rsid w:val="00427DC7"/>
    <w:rsid w:val="00430A2D"/>
    <w:rsid w:val="00430B53"/>
    <w:rsid w:val="00431505"/>
    <w:rsid w:val="00431AF0"/>
    <w:rsid w:val="00431B15"/>
    <w:rsid w:val="0043213A"/>
    <w:rsid w:val="00432796"/>
    <w:rsid w:val="004330F4"/>
    <w:rsid w:val="00433590"/>
    <w:rsid w:val="0043393D"/>
    <w:rsid w:val="004344C7"/>
    <w:rsid w:val="00434F83"/>
    <w:rsid w:val="00435274"/>
    <w:rsid w:val="004352AD"/>
    <w:rsid w:val="0043545D"/>
    <w:rsid w:val="00435FE2"/>
    <w:rsid w:val="00436E2F"/>
    <w:rsid w:val="00436EAB"/>
    <w:rsid w:val="00444A93"/>
    <w:rsid w:val="004460E9"/>
    <w:rsid w:val="004461D9"/>
    <w:rsid w:val="00446AC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2173"/>
    <w:rsid w:val="004646B4"/>
    <w:rsid w:val="00464A88"/>
    <w:rsid w:val="00464E06"/>
    <w:rsid w:val="004650F1"/>
    <w:rsid w:val="004651A0"/>
    <w:rsid w:val="00465935"/>
    <w:rsid w:val="00466532"/>
    <w:rsid w:val="00466C53"/>
    <w:rsid w:val="00467488"/>
    <w:rsid w:val="00467A55"/>
    <w:rsid w:val="0047083E"/>
    <w:rsid w:val="00470D12"/>
    <w:rsid w:val="00470EB5"/>
    <w:rsid w:val="0047286B"/>
    <w:rsid w:val="00472E27"/>
    <w:rsid w:val="00474220"/>
    <w:rsid w:val="004752D3"/>
    <w:rsid w:val="004754E1"/>
    <w:rsid w:val="00475CE0"/>
    <w:rsid w:val="00476827"/>
    <w:rsid w:val="00476BD4"/>
    <w:rsid w:val="00477C35"/>
    <w:rsid w:val="00480033"/>
    <w:rsid w:val="00480988"/>
    <w:rsid w:val="00480E05"/>
    <w:rsid w:val="0048270A"/>
    <w:rsid w:val="00482BBE"/>
    <w:rsid w:val="00483A12"/>
    <w:rsid w:val="00484A77"/>
    <w:rsid w:val="0048540F"/>
    <w:rsid w:val="00485970"/>
    <w:rsid w:val="00485C0D"/>
    <w:rsid w:val="00486575"/>
    <w:rsid w:val="004866D0"/>
    <w:rsid w:val="00486936"/>
    <w:rsid w:val="004873B3"/>
    <w:rsid w:val="00491861"/>
    <w:rsid w:val="00491D93"/>
    <w:rsid w:val="00494242"/>
    <w:rsid w:val="00494E8E"/>
    <w:rsid w:val="004955BC"/>
    <w:rsid w:val="00495D63"/>
    <w:rsid w:val="00495F26"/>
    <w:rsid w:val="0049648F"/>
    <w:rsid w:val="00496606"/>
    <w:rsid w:val="00496E6D"/>
    <w:rsid w:val="00496F05"/>
    <w:rsid w:val="00497370"/>
    <w:rsid w:val="004973A0"/>
    <w:rsid w:val="004A0F39"/>
    <w:rsid w:val="004A251F"/>
    <w:rsid w:val="004A3BF1"/>
    <w:rsid w:val="004A3E42"/>
    <w:rsid w:val="004A446C"/>
    <w:rsid w:val="004A4715"/>
    <w:rsid w:val="004A5046"/>
    <w:rsid w:val="004A565E"/>
    <w:rsid w:val="004A5DF3"/>
    <w:rsid w:val="004A6134"/>
    <w:rsid w:val="004A7092"/>
    <w:rsid w:val="004A74B2"/>
    <w:rsid w:val="004B1314"/>
    <w:rsid w:val="004B2570"/>
    <w:rsid w:val="004B29CC"/>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57F"/>
    <w:rsid w:val="004D27A4"/>
    <w:rsid w:val="004D382B"/>
    <w:rsid w:val="004D40CE"/>
    <w:rsid w:val="004D47B1"/>
    <w:rsid w:val="004D57A7"/>
    <w:rsid w:val="004D6F4D"/>
    <w:rsid w:val="004D6F95"/>
    <w:rsid w:val="004D72FE"/>
    <w:rsid w:val="004D7E91"/>
    <w:rsid w:val="004D7F94"/>
    <w:rsid w:val="004E003A"/>
    <w:rsid w:val="004E0768"/>
    <w:rsid w:val="004E1A31"/>
    <w:rsid w:val="004E2BCA"/>
    <w:rsid w:val="004E2DE0"/>
    <w:rsid w:val="004E4060"/>
    <w:rsid w:val="004E409A"/>
    <w:rsid w:val="004F0FB9"/>
    <w:rsid w:val="004F2F7E"/>
    <w:rsid w:val="004F32B5"/>
    <w:rsid w:val="004F39A8"/>
    <w:rsid w:val="004F407E"/>
    <w:rsid w:val="004F5479"/>
    <w:rsid w:val="004F64EB"/>
    <w:rsid w:val="004F7528"/>
    <w:rsid w:val="004F7BCA"/>
    <w:rsid w:val="004F7D89"/>
    <w:rsid w:val="00501981"/>
    <w:rsid w:val="00501A85"/>
    <w:rsid w:val="00501BB3"/>
    <w:rsid w:val="005021DD"/>
    <w:rsid w:val="005026CA"/>
    <w:rsid w:val="00502B72"/>
    <w:rsid w:val="00502EBF"/>
    <w:rsid w:val="00504BC1"/>
    <w:rsid w:val="00505134"/>
    <w:rsid w:val="005058E3"/>
    <w:rsid w:val="00505C04"/>
    <w:rsid w:val="005101C4"/>
    <w:rsid w:val="00510D69"/>
    <w:rsid w:val="0051113F"/>
    <w:rsid w:val="00511F15"/>
    <w:rsid w:val="00512563"/>
    <w:rsid w:val="0051318C"/>
    <w:rsid w:val="0051359A"/>
    <w:rsid w:val="005142CD"/>
    <w:rsid w:val="005142D3"/>
    <w:rsid w:val="005143C9"/>
    <w:rsid w:val="005151C3"/>
    <w:rsid w:val="005157A9"/>
    <w:rsid w:val="005173A7"/>
    <w:rsid w:val="005177E1"/>
    <w:rsid w:val="00520C0A"/>
    <w:rsid w:val="005215DB"/>
    <w:rsid w:val="005218B6"/>
    <w:rsid w:val="00521B01"/>
    <w:rsid w:val="00522589"/>
    <w:rsid w:val="00524545"/>
    <w:rsid w:val="0052477A"/>
    <w:rsid w:val="00524E65"/>
    <w:rsid w:val="005255BF"/>
    <w:rsid w:val="005257DE"/>
    <w:rsid w:val="00525E29"/>
    <w:rsid w:val="00527200"/>
    <w:rsid w:val="00530157"/>
    <w:rsid w:val="00531EBE"/>
    <w:rsid w:val="00532F8B"/>
    <w:rsid w:val="00533737"/>
    <w:rsid w:val="00535597"/>
    <w:rsid w:val="00535B79"/>
    <w:rsid w:val="00535D7C"/>
    <w:rsid w:val="00536579"/>
    <w:rsid w:val="00536C1E"/>
    <w:rsid w:val="00537813"/>
    <w:rsid w:val="0054343A"/>
    <w:rsid w:val="00543974"/>
    <w:rsid w:val="00543EBF"/>
    <w:rsid w:val="00544ABA"/>
    <w:rsid w:val="0054593A"/>
    <w:rsid w:val="005467FB"/>
    <w:rsid w:val="00546AE9"/>
    <w:rsid w:val="00547989"/>
    <w:rsid w:val="005479D7"/>
    <w:rsid w:val="00550122"/>
    <w:rsid w:val="005508C1"/>
    <w:rsid w:val="00550F00"/>
    <w:rsid w:val="00551320"/>
    <w:rsid w:val="005518A4"/>
    <w:rsid w:val="00552768"/>
    <w:rsid w:val="00552935"/>
    <w:rsid w:val="00553127"/>
    <w:rsid w:val="005537D5"/>
    <w:rsid w:val="00554BDE"/>
    <w:rsid w:val="00554BE7"/>
    <w:rsid w:val="00556D68"/>
    <w:rsid w:val="00557173"/>
    <w:rsid w:val="005576A1"/>
    <w:rsid w:val="00557A64"/>
    <w:rsid w:val="005605C0"/>
    <w:rsid w:val="00560D23"/>
    <w:rsid w:val="005615D8"/>
    <w:rsid w:val="005626D6"/>
    <w:rsid w:val="00563602"/>
    <w:rsid w:val="005638D4"/>
    <w:rsid w:val="005647D5"/>
    <w:rsid w:val="005656ED"/>
    <w:rsid w:val="00566544"/>
    <w:rsid w:val="00566608"/>
    <w:rsid w:val="00566C83"/>
    <w:rsid w:val="00567B9A"/>
    <w:rsid w:val="005700FE"/>
    <w:rsid w:val="00570E24"/>
    <w:rsid w:val="00572760"/>
    <w:rsid w:val="00572815"/>
    <w:rsid w:val="005730F3"/>
    <w:rsid w:val="005743DE"/>
    <w:rsid w:val="00574F3F"/>
    <w:rsid w:val="00575008"/>
    <w:rsid w:val="0057562C"/>
    <w:rsid w:val="005759F6"/>
    <w:rsid w:val="00575E3E"/>
    <w:rsid w:val="005765F5"/>
    <w:rsid w:val="00576D6C"/>
    <w:rsid w:val="00577A2E"/>
    <w:rsid w:val="005800B3"/>
    <w:rsid w:val="00580E48"/>
    <w:rsid w:val="00580F0A"/>
    <w:rsid w:val="00581246"/>
    <w:rsid w:val="00582278"/>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688"/>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69F"/>
    <w:rsid w:val="005A305E"/>
    <w:rsid w:val="005A30BB"/>
    <w:rsid w:val="005A3887"/>
    <w:rsid w:val="005A6537"/>
    <w:rsid w:val="005A7C61"/>
    <w:rsid w:val="005B0542"/>
    <w:rsid w:val="005B2225"/>
    <w:rsid w:val="005B2799"/>
    <w:rsid w:val="005B2B77"/>
    <w:rsid w:val="005B3D4A"/>
    <w:rsid w:val="005B4D87"/>
    <w:rsid w:val="005B538D"/>
    <w:rsid w:val="005B7186"/>
    <w:rsid w:val="005B7DD1"/>
    <w:rsid w:val="005C00A0"/>
    <w:rsid w:val="005C28FA"/>
    <w:rsid w:val="005C372C"/>
    <w:rsid w:val="005C40F4"/>
    <w:rsid w:val="005C43BE"/>
    <w:rsid w:val="005C44F3"/>
    <w:rsid w:val="005C4A62"/>
    <w:rsid w:val="005C4BDD"/>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34A"/>
    <w:rsid w:val="005E35CC"/>
    <w:rsid w:val="005E371E"/>
    <w:rsid w:val="005E53F9"/>
    <w:rsid w:val="005E6E57"/>
    <w:rsid w:val="005E775D"/>
    <w:rsid w:val="005F0650"/>
    <w:rsid w:val="005F0A43"/>
    <w:rsid w:val="005F27BF"/>
    <w:rsid w:val="005F3F35"/>
    <w:rsid w:val="005F4171"/>
    <w:rsid w:val="005F46D6"/>
    <w:rsid w:val="005F4DD6"/>
    <w:rsid w:val="005F50D8"/>
    <w:rsid w:val="005F53A1"/>
    <w:rsid w:val="005F6B77"/>
    <w:rsid w:val="005F7487"/>
    <w:rsid w:val="005F7751"/>
    <w:rsid w:val="006002C7"/>
    <w:rsid w:val="00600F95"/>
    <w:rsid w:val="00601839"/>
    <w:rsid w:val="00602759"/>
    <w:rsid w:val="0060277A"/>
    <w:rsid w:val="00602B7C"/>
    <w:rsid w:val="00603312"/>
    <w:rsid w:val="00604DC7"/>
    <w:rsid w:val="00604E47"/>
    <w:rsid w:val="00605441"/>
    <w:rsid w:val="0060654D"/>
    <w:rsid w:val="00606970"/>
    <w:rsid w:val="00606A20"/>
    <w:rsid w:val="006072C6"/>
    <w:rsid w:val="00607A02"/>
    <w:rsid w:val="00607A2E"/>
    <w:rsid w:val="006130F7"/>
    <w:rsid w:val="00613AF8"/>
    <w:rsid w:val="00613D8E"/>
    <w:rsid w:val="006142E0"/>
    <w:rsid w:val="00615E74"/>
    <w:rsid w:val="00616112"/>
    <w:rsid w:val="006205CA"/>
    <w:rsid w:val="00621E22"/>
    <w:rsid w:val="00621F53"/>
    <w:rsid w:val="00622E2A"/>
    <w:rsid w:val="00623089"/>
    <w:rsid w:val="0062308E"/>
    <w:rsid w:val="00623175"/>
    <w:rsid w:val="006234C4"/>
    <w:rsid w:val="006244C9"/>
    <w:rsid w:val="006245F6"/>
    <w:rsid w:val="0062475D"/>
    <w:rsid w:val="0062495F"/>
    <w:rsid w:val="0062660B"/>
    <w:rsid w:val="00626AD1"/>
    <w:rsid w:val="00627411"/>
    <w:rsid w:val="006304BC"/>
    <w:rsid w:val="00630DCE"/>
    <w:rsid w:val="006310F0"/>
    <w:rsid w:val="0063120A"/>
    <w:rsid w:val="0063150B"/>
    <w:rsid w:val="00631585"/>
    <w:rsid w:val="00632126"/>
    <w:rsid w:val="0063454B"/>
    <w:rsid w:val="00634ACF"/>
    <w:rsid w:val="00634C10"/>
    <w:rsid w:val="00635035"/>
    <w:rsid w:val="0063580D"/>
    <w:rsid w:val="00635CAE"/>
    <w:rsid w:val="00637240"/>
    <w:rsid w:val="00640A80"/>
    <w:rsid w:val="00640F77"/>
    <w:rsid w:val="00643660"/>
    <w:rsid w:val="00650139"/>
    <w:rsid w:val="00651100"/>
    <w:rsid w:val="00652756"/>
    <w:rsid w:val="00652AD8"/>
    <w:rsid w:val="00652B79"/>
    <w:rsid w:val="006533C3"/>
    <w:rsid w:val="00654068"/>
    <w:rsid w:val="00654B38"/>
    <w:rsid w:val="00654B83"/>
    <w:rsid w:val="00655061"/>
    <w:rsid w:val="0065510C"/>
    <w:rsid w:val="00655B63"/>
    <w:rsid w:val="00656FDC"/>
    <w:rsid w:val="006571F6"/>
    <w:rsid w:val="00657FA0"/>
    <w:rsid w:val="006618CC"/>
    <w:rsid w:val="00662111"/>
    <w:rsid w:val="00662118"/>
    <w:rsid w:val="006638AD"/>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69A"/>
    <w:rsid w:val="00677DFE"/>
    <w:rsid w:val="006806A3"/>
    <w:rsid w:val="006806A6"/>
    <w:rsid w:val="00680C79"/>
    <w:rsid w:val="00681211"/>
    <w:rsid w:val="00681B36"/>
    <w:rsid w:val="00682E14"/>
    <w:rsid w:val="0068436C"/>
    <w:rsid w:val="0068545E"/>
    <w:rsid w:val="00685FD4"/>
    <w:rsid w:val="00686612"/>
    <w:rsid w:val="0068661E"/>
    <w:rsid w:val="006879EF"/>
    <w:rsid w:val="00690A49"/>
    <w:rsid w:val="00690BB6"/>
    <w:rsid w:val="006912EC"/>
    <w:rsid w:val="00691B30"/>
    <w:rsid w:val="00693E1F"/>
    <w:rsid w:val="00693ECB"/>
    <w:rsid w:val="00694797"/>
    <w:rsid w:val="00695175"/>
    <w:rsid w:val="00695887"/>
    <w:rsid w:val="00696E01"/>
    <w:rsid w:val="00697733"/>
    <w:rsid w:val="006A1EDA"/>
    <w:rsid w:val="006A254E"/>
    <w:rsid w:val="006A2C30"/>
    <w:rsid w:val="006A301C"/>
    <w:rsid w:val="006A3E2B"/>
    <w:rsid w:val="006A4224"/>
    <w:rsid w:val="006A593F"/>
    <w:rsid w:val="006A6C86"/>
    <w:rsid w:val="006A6E17"/>
    <w:rsid w:val="006A7264"/>
    <w:rsid w:val="006B120D"/>
    <w:rsid w:val="006B17E7"/>
    <w:rsid w:val="006B19E8"/>
    <w:rsid w:val="006B1A8A"/>
    <w:rsid w:val="006B1FD5"/>
    <w:rsid w:val="006B1FEF"/>
    <w:rsid w:val="006B3A29"/>
    <w:rsid w:val="006B460C"/>
    <w:rsid w:val="006B555A"/>
    <w:rsid w:val="006B5A00"/>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021"/>
    <w:rsid w:val="006D48FC"/>
    <w:rsid w:val="006D62BC"/>
    <w:rsid w:val="006D6450"/>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08B2"/>
    <w:rsid w:val="006F1064"/>
    <w:rsid w:val="006F1A51"/>
    <w:rsid w:val="006F1EB7"/>
    <w:rsid w:val="006F52E5"/>
    <w:rsid w:val="006F6066"/>
    <w:rsid w:val="006F6850"/>
    <w:rsid w:val="006F707E"/>
    <w:rsid w:val="007001DC"/>
    <w:rsid w:val="0070048C"/>
    <w:rsid w:val="007025CB"/>
    <w:rsid w:val="007034AA"/>
    <w:rsid w:val="00703C9D"/>
    <w:rsid w:val="0070490C"/>
    <w:rsid w:val="00705C38"/>
    <w:rsid w:val="00705F2D"/>
    <w:rsid w:val="00706465"/>
    <w:rsid w:val="0070695A"/>
    <w:rsid w:val="0070782D"/>
    <w:rsid w:val="007109C2"/>
    <w:rsid w:val="00711340"/>
    <w:rsid w:val="00711D7C"/>
    <w:rsid w:val="00712C42"/>
    <w:rsid w:val="007136D0"/>
    <w:rsid w:val="00713DE4"/>
    <w:rsid w:val="00714C47"/>
    <w:rsid w:val="00715485"/>
    <w:rsid w:val="00716462"/>
    <w:rsid w:val="0072040B"/>
    <w:rsid w:val="00721084"/>
    <w:rsid w:val="00721262"/>
    <w:rsid w:val="00721D9B"/>
    <w:rsid w:val="00722121"/>
    <w:rsid w:val="007224B9"/>
    <w:rsid w:val="00722F94"/>
    <w:rsid w:val="00723AA7"/>
    <w:rsid w:val="0072432E"/>
    <w:rsid w:val="007246B9"/>
    <w:rsid w:val="007258FB"/>
    <w:rsid w:val="00726036"/>
    <w:rsid w:val="00726279"/>
    <w:rsid w:val="007269CB"/>
    <w:rsid w:val="00726A9B"/>
    <w:rsid w:val="00727530"/>
    <w:rsid w:val="007313FE"/>
    <w:rsid w:val="00731E7C"/>
    <w:rsid w:val="007329EF"/>
    <w:rsid w:val="007330CD"/>
    <w:rsid w:val="0073327A"/>
    <w:rsid w:val="00734EBE"/>
    <w:rsid w:val="00735504"/>
    <w:rsid w:val="007369A0"/>
    <w:rsid w:val="00736DD8"/>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08DB"/>
    <w:rsid w:val="00751091"/>
    <w:rsid w:val="00751B83"/>
    <w:rsid w:val="007524ED"/>
    <w:rsid w:val="00752975"/>
    <w:rsid w:val="00754359"/>
    <w:rsid w:val="00754411"/>
    <w:rsid w:val="00754BD9"/>
    <w:rsid w:val="00754E7A"/>
    <w:rsid w:val="0075540C"/>
    <w:rsid w:val="00755DB1"/>
    <w:rsid w:val="007574FC"/>
    <w:rsid w:val="00760975"/>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43A"/>
    <w:rsid w:val="00775507"/>
    <w:rsid w:val="007756DF"/>
    <w:rsid w:val="00775F76"/>
    <w:rsid w:val="00776AEA"/>
    <w:rsid w:val="00777BA0"/>
    <w:rsid w:val="007803BD"/>
    <w:rsid w:val="007811DC"/>
    <w:rsid w:val="00781D16"/>
    <w:rsid w:val="007820FA"/>
    <w:rsid w:val="0078285F"/>
    <w:rsid w:val="00782CEF"/>
    <w:rsid w:val="00783207"/>
    <w:rsid w:val="00783E1D"/>
    <w:rsid w:val="0078483B"/>
    <w:rsid w:val="00784EED"/>
    <w:rsid w:val="00785900"/>
    <w:rsid w:val="00786958"/>
    <w:rsid w:val="00786E71"/>
    <w:rsid w:val="0079162F"/>
    <w:rsid w:val="00792788"/>
    <w:rsid w:val="00794924"/>
    <w:rsid w:val="007A0BC2"/>
    <w:rsid w:val="007A1F44"/>
    <w:rsid w:val="007A23FF"/>
    <w:rsid w:val="007A2564"/>
    <w:rsid w:val="007A295B"/>
    <w:rsid w:val="007A3232"/>
    <w:rsid w:val="007A3424"/>
    <w:rsid w:val="007A35EF"/>
    <w:rsid w:val="007A43A2"/>
    <w:rsid w:val="007A4D04"/>
    <w:rsid w:val="007A6736"/>
    <w:rsid w:val="007A74B1"/>
    <w:rsid w:val="007A7857"/>
    <w:rsid w:val="007A7983"/>
    <w:rsid w:val="007A7A96"/>
    <w:rsid w:val="007B03AF"/>
    <w:rsid w:val="007B0909"/>
    <w:rsid w:val="007B1543"/>
    <w:rsid w:val="007B1AC0"/>
    <w:rsid w:val="007B270A"/>
    <w:rsid w:val="007B2D3B"/>
    <w:rsid w:val="007B51FB"/>
    <w:rsid w:val="007B52CD"/>
    <w:rsid w:val="007B7DC1"/>
    <w:rsid w:val="007B7EDB"/>
    <w:rsid w:val="007C19AD"/>
    <w:rsid w:val="007C3598"/>
    <w:rsid w:val="007C3FA8"/>
    <w:rsid w:val="007C4296"/>
    <w:rsid w:val="007C6479"/>
    <w:rsid w:val="007C68DA"/>
    <w:rsid w:val="007C7F34"/>
    <w:rsid w:val="007D229A"/>
    <w:rsid w:val="007D2C5F"/>
    <w:rsid w:val="007D2F44"/>
    <w:rsid w:val="007D2F4D"/>
    <w:rsid w:val="007D4178"/>
    <w:rsid w:val="007D4D33"/>
    <w:rsid w:val="007D7175"/>
    <w:rsid w:val="007E1369"/>
    <w:rsid w:val="007E1A1B"/>
    <w:rsid w:val="007E1A88"/>
    <w:rsid w:val="007E3EE7"/>
    <w:rsid w:val="007E4C88"/>
    <w:rsid w:val="007E4E99"/>
    <w:rsid w:val="007E585E"/>
    <w:rsid w:val="007E64CB"/>
    <w:rsid w:val="007E7DDF"/>
    <w:rsid w:val="007E7EAA"/>
    <w:rsid w:val="007F11C8"/>
    <w:rsid w:val="007F1CFB"/>
    <w:rsid w:val="007F220B"/>
    <w:rsid w:val="007F27DD"/>
    <w:rsid w:val="007F3374"/>
    <w:rsid w:val="007F5DEF"/>
    <w:rsid w:val="007F6880"/>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46EA"/>
    <w:rsid w:val="0081581D"/>
    <w:rsid w:val="008172BE"/>
    <w:rsid w:val="00817B71"/>
    <w:rsid w:val="0082000B"/>
    <w:rsid w:val="00820244"/>
    <w:rsid w:val="008218B9"/>
    <w:rsid w:val="008221B3"/>
    <w:rsid w:val="0082248E"/>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DDE"/>
    <w:rsid w:val="00835812"/>
    <w:rsid w:val="008359E0"/>
    <w:rsid w:val="008376F6"/>
    <w:rsid w:val="00837D5B"/>
    <w:rsid w:val="00840607"/>
    <w:rsid w:val="00841CD2"/>
    <w:rsid w:val="00842B77"/>
    <w:rsid w:val="0084309F"/>
    <w:rsid w:val="0084341D"/>
    <w:rsid w:val="00845542"/>
    <w:rsid w:val="00845C12"/>
    <w:rsid w:val="008469D9"/>
    <w:rsid w:val="00846DC0"/>
    <w:rsid w:val="008474A7"/>
    <w:rsid w:val="008506B6"/>
    <w:rsid w:val="00850AE0"/>
    <w:rsid w:val="008524D2"/>
    <w:rsid w:val="00852E19"/>
    <w:rsid w:val="008542D4"/>
    <w:rsid w:val="00856833"/>
    <w:rsid w:val="00856840"/>
    <w:rsid w:val="00857932"/>
    <w:rsid w:val="00860407"/>
    <w:rsid w:val="0086087C"/>
    <w:rsid w:val="00860D8E"/>
    <w:rsid w:val="00862406"/>
    <w:rsid w:val="0086275E"/>
    <w:rsid w:val="00864440"/>
    <w:rsid w:val="00864483"/>
    <w:rsid w:val="00864D76"/>
    <w:rsid w:val="008650FC"/>
    <w:rsid w:val="00866EB3"/>
    <w:rsid w:val="0086701A"/>
    <w:rsid w:val="00867BD2"/>
    <w:rsid w:val="00870522"/>
    <w:rsid w:val="00870C98"/>
    <w:rsid w:val="008712FD"/>
    <w:rsid w:val="008716A1"/>
    <w:rsid w:val="00872D3F"/>
    <w:rsid w:val="008733E4"/>
    <w:rsid w:val="00873F15"/>
    <w:rsid w:val="00874096"/>
    <w:rsid w:val="00874683"/>
    <w:rsid w:val="00874CD7"/>
    <w:rsid w:val="008756A4"/>
    <w:rsid w:val="00875F73"/>
    <w:rsid w:val="00880F30"/>
    <w:rsid w:val="008827DA"/>
    <w:rsid w:val="00882F73"/>
    <w:rsid w:val="008833E8"/>
    <w:rsid w:val="00883484"/>
    <w:rsid w:val="00884879"/>
    <w:rsid w:val="008850AE"/>
    <w:rsid w:val="00887B48"/>
    <w:rsid w:val="00890B1C"/>
    <w:rsid w:val="0089176E"/>
    <w:rsid w:val="008917E0"/>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612"/>
    <w:rsid w:val="008B289C"/>
    <w:rsid w:val="008B2A76"/>
    <w:rsid w:val="008B389D"/>
    <w:rsid w:val="008B3C5C"/>
    <w:rsid w:val="008B3FA3"/>
    <w:rsid w:val="008B5299"/>
    <w:rsid w:val="008B5A5F"/>
    <w:rsid w:val="008B5AB0"/>
    <w:rsid w:val="008B6054"/>
    <w:rsid w:val="008B7B08"/>
    <w:rsid w:val="008C13F0"/>
    <w:rsid w:val="008C1CFD"/>
    <w:rsid w:val="008C1F26"/>
    <w:rsid w:val="008C2A3A"/>
    <w:rsid w:val="008C2D39"/>
    <w:rsid w:val="008C4C7E"/>
    <w:rsid w:val="008C590D"/>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A38"/>
    <w:rsid w:val="008F0C91"/>
    <w:rsid w:val="008F0F84"/>
    <w:rsid w:val="008F1014"/>
    <w:rsid w:val="008F11C9"/>
    <w:rsid w:val="008F23D8"/>
    <w:rsid w:val="008F2FD5"/>
    <w:rsid w:val="008F37E5"/>
    <w:rsid w:val="008F3998"/>
    <w:rsid w:val="008F48C2"/>
    <w:rsid w:val="008F5840"/>
    <w:rsid w:val="008F5EEF"/>
    <w:rsid w:val="008F6262"/>
    <w:rsid w:val="008F66FE"/>
    <w:rsid w:val="008F72CC"/>
    <w:rsid w:val="008F72CD"/>
    <w:rsid w:val="00900885"/>
    <w:rsid w:val="00902140"/>
    <w:rsid w:val="00902F51"/>
    <w:rsid w:val="00903802"/>
    <w:rsid w:val="0090696D"/>
    <w:rsid w:val="00906CD6"/>
    <w:rsid w:val="00906E4D"/>
    <w:rsid w:val="00906F31"/>
    <w:rsid w:val="009078B3"/>
    <w:rsid w:val="00907A77"/>
    <w:rsid w:val="00907E00"/>
    <w:rsid w:val="009107E7"/>
    <w:rsid w:val="0091088D"/>
    <w:rsid w:val="00910FC9"/>
    <w:rsid w:val="009117DC"/>
    <w:rsid w:val="009124BD"/>
    <w:rsid w:val="0091291A"/>
    <w:rsid w:val="00913612"/>
    <w:rsid w:val="0091366A"/>
    <w:rsid w:val="00913824"/>
    <w:rsid w:val="00915757"/>
    <w:rsid w:val="009159B3"/>
    <w:rsid w:val="00916181"/>
    <w:rsid w:val="009204C5"/>
    <w:rsid w:val="00920B56"/>
    <w:rsid w:val="00920D87"/>
    <w:rsid w:val="0092180D"/>
    <w:rsid w:val="00922258"/>
    <w:rsid w:val="009232C9"/>
    <w:rsid w:val="00923608"/>
    <w:rsid w:val="009238E5"/>
    <w:rsid w:val="00923F12"/>
    <w:rsid w:val="00924AF7"/>
    <w:rsid w:val="00924FF8"/>
    <w:rsid w:val="00925BA8"/>
    <w:rsid w:val="00926DA7"/>
    <w:rsid w:val="00927F8B"/>
    <w:rsid w:val="0093094D"/>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42A5"/>
    <w:rsid w:val="00944D44"/>
    <w:rsid w:val="00945180"/>
    <w:rsid w:val="0094590C"/>
    <w:rsid w:val="00946355"/>
    <w:rsid w:val="009468B7"/>
    <w:rsid w:val="0094724E"/>
    <w:rsid w:val="00947973"/>
    <w:rsid w:val="00947BE6"/>
    <w:rsid w:val="0095048D"/>
    <w:rsid w:val="00951ADB"/>
    <w:rsid w:val="0095380C"/>
    <w:rsid w:val="00953976"/>
    <w:rsid w:val="00954353"/>
    <w:rsid w:val="00955C0A"/>
    <w:rsid w:val="00955C4F"/>
    <w:rsid w:val="00960DA1"/>
    <w:rsid w:val="00964054"/>
    <w:rsid w:val="00964983"/>
    <w:rsid w:val="009657F1"/>
    <w:rsid w:val="00965DE9"/>
    <w:rsid w:val="0096625D"/>
    <w:rsid w:val="009709F8"/>
    <w:rsid w:val="0097258B"/>
    <w:rsid w:val="00972929"/>
    <w:rsid w:val="00972F91"/>
    <w:rsid w:val="00973827"/>
    <w:rsid w:val="00973991"/>
    <w:rsid w:val="009742D3"/>
    <w:rsid w:val="00974E52"/>
    <w:rsid w:val="009756F7"/>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1F0"/>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507"/>
    <w:rsid w:val="009A2DF9"/>
    <w:rsid w:val="009A3A86"/>
    <w:rsid w:val="009A4869"/>
    <w:rsid w:val="009A633B"/>
    <w:rsid w:val="009A6A6B"/>
    <w:rsid w:val="009B1EF9"/>
    <w:rsid w:val="009B26AC"/>
    <w:rsid w:val="009B37E2"/>
    <w:rsid w:val="009B4519"/>
    <w:rsid w:val="009B506B"/>
    <w:rsid w:val="009B57EF"/>
    <w:rsid w:val="009B5B85"/>
    <w:rsid w:val="009B7204"/>
    <w:rsid w:val="009C0074"/>
    <w:rsid w:val="009C0564"/>
    <w:rsid w:val="009C16D9"/>
    <w:rsid w:val="009C2685"/>
    <w:rsid w:val="009C2EEC"/>
    <w:rsid w:val="009C39BC"/>
    <w:rsid w:val="009C4788"/>
    <w:rsid w:val="009C4BC2"/>
    <w:rsid w:val="009C4D22"/>
    <w:rsid w:val="009C6F12"/>
    <w:rsid w:val="009C7320"/>
    <w:rsid w:val="009D0198"/>
    <w:rsid w:val="009D0729"/>
    <w:rsid w:val="009D0F66"/>
    <w:rsid w:val="009D18B3"/>
    <w:rsid w:val="009D1A06"/>
    <w:rsid w:val="009D1BA4"/>
    <w:rsid w:val="009D22E4"/>
    <w:rsid w:val="009D22F7"/>
    <w:rsid w:val="009D310C"/>
    <w:rsid w:val="009D319C"/>
    <w:rsid w:val="009D5BAB"/>
    <w:rsid w:val="009D6916"/>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27AD"/>
    <w:rsid w:val="009F3FB5"/>
    <w:rsid w:val="009F521F"/>
    <w:rsid w:val="009F553C"/>
    <w:rsid w:val="009F59F8"/>
    <w:rsid w:val="009F657C"/>
    <w:rsid w:val="00A005B0"/>
    <w:rsid w:val="00A01F17"/>
    <w:rsid w:val="00A022A5"/>
    <w:rsid w:val="00A03A22"/>
    <w:rsid w:val="00A03E62"/>
    <w:rsid w:val="00A04634"/>
    <w:rsid w:val="00A0543B"/>
    <w:rsid w:val="00A06119"/>
    <w:rsid w:val="00A07A48"/>
    <w:rsid w:val="00A108EE"/>
    <w:rsid w:val="00A10BB8"/>
    <w:rsid w:val="00A1200D"/>
    <w:rsid w:val="00A137E4"/>
    <w:rsid w:val="00A14813"/>
    <w:rsid w:val="00A1566A"/>
    <w:rsid w:val="00A15A97"/>
    <w:rsid w:val="00A165BF"/>
    <w:rsid w:val="00A169EC"/>
    <w:rsid w:val="00A17068"/>
    <w:rsid w:val="00A172E8"/>
    <w:rsid w:val="00A179FF"/>
    <w:rsid w:val="00A20696"/>
    <w:rsid w:val="00A21A36"/>
    <w:rsid w:val="00A22473"/>
    <w:rsid w:val="00A25294"/>
    <w:rsid w:val="00A254EE"/>
    <w:rsid w:val="00A25BE7"/>
    <w:rsid w:val="00A27008"/>
    <w:rsid w:val="00A27CDF"/>
    <w:rsid w:val="00A309C6"/>
    <w:rsid w:val="00A30D13"/>
    <w:rsid w:val="00A314F9"/>
    <w:rsid w:val="00A319D0"/>
    <w:rsid w:val="00A32316"/>
    <w:rsid w:val="00A33172"/>
    <w:rsid w:val="00A3432B"/>
    <w:rsid w:val="00A346BA"/>
    <w:rsid w:val="00A347B0"/>
    <w:rsid w:val="00A34C67"/>
    <w:rsid w:val="00A34D62"/>
    <w:rsid w:val="00A3611D"/>
    <w:rsid w:val="00A36339"/>
    <w:rsid w:val="00A366E4"/>
    <w:rsid w:val="00A370D8"/>
    <w:rsid w:val="00A419CF"/>
    <w:rsid w:val="00A4376F"/>
    <w:rsid w:val="00A4549F"/>
    <w:rsid w:val="00A45B9B"/>
    <w:rsid w:val="00A462FE"/>
    <w:rsid w:val="00A501C9"/>
    <w:rsid w:val="00A50506"/>
    <w:rsid w:val="00A52A4C"/>
    <w:rsid w:val="00A53A0D"/>
    <w:rsid w:val="00A53F55"/>
    <w:rsid w:val="00A5417B"/>
    <w:rsid w:val="00A54599"/>
    <w:rsid w:val="00A54B82"/>
    <w:rsid w:val="00A54E68"/>
    <w:rsid w:val="00A569D4"/>
    <w:rsid w:val="00A571CC"/>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5CE"/>
    <w:rsid w:val="00A7075B"/>
    <w:rsid w:val="00A71CE6"/>
    <w:rsid w:val="00A71D23"/>
    <w:rsid w:val="00A72761"/>
    <w:rsid w:val="00A7333A"/>
    <w:rsid w:val="00A73C7E"/>
    <w:rsid w:val="00A73D0D"/>
    <w:rsid w:val="00A74088"/>
    <w:rsid w:val="00A74A92"/>
    <w:rsid w:val="00A75CC1"/>
    <w:rsid w:val="00A75E88"/>
    <w:rsid w:val="00A772DF"/>
    <w:rsid w:val="00A775C7"/>
    <w:rsid w:val="00A80540"/>
    <w:rsid w:val="00A8056E"/>
    <w:rsid w:val="00A81752"/>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4366"/>
    <w:rsid w:val="00A957E7"/>
    <w:rsid w:val="00A963C7"/>
    <w:rsid w:val="00AA1626"/>
    <w:rsid w:val="00AA1C25"/>
    <w:rsid w:val="00AA36C4"/>
    <w:rsid w:val="00AA3CD1"/>
    <w:rsid w:val="00AA3DB7"/>
    <w:rsid w:val="00AA51F5"/>
    <w:rsid w:val="00AA57A7"/>
    <w:rsid w:val="00AA5BF7"/>
    <w:rsid w:val="00AA5E3B"/>
    <w:rsid w:val="00AA68B4"/>
    <w:rsid w:val="00AB0543"/>
    <w:rsid w:val="00AB0AC9"/>
    <w:rsid w:val="00AB185A"/>
    <w:rsid w:val="00AB1BA7"/>
    <w:rsid w:val="00AB1E04"/>
    <w:rsid w:val="00AB1ED4"/>
    <w:rsid w:val="00AB29CF"/>
    <w:rsid w:val="00AB3113"/>
    <w:rsid w:val="00AB348A"/>
    <w:rsid w:val="00AB3F38"/>
    <w:rsid w:val="00AB43EC"/>
    <w:rsid w:val="00AB4BF4"/>
    <w:rsid w:val="00AB5ADF"/>
    <w:rsid w:val="00AB5DE1"/>
    <w:rsid w:val="00AB5E57"/>
    <w:rsid w:val="00AB725F"/>
    <w:rsid w:val="00AC0705"/>
    <w:rsid w:val="00AC109B"/>
    <w:rsid w:val="00AC2291"/>
    <w:rsid w:val="00AC3396"/>
    <w:rsid w:val="00AC48CA"/>
    <w:rsid w:val="00AC53D0"/>
    <w:rsid w:val="00AC74DA"/>
    <w:rsid w:val="00AC7A2B"/>
    <w:rsid w:val="00AC7C25"/>
    <w:rsid w:val="00AD0A51"/>
    <w:rsid w:val="00AD0B37"/>
    <w:rsid w:val="00AD106A"/>
    <w:rsid w:val="00AD11F7"/>
    <w:rsid w:val="00AD1DB7"/>
    <w:rsid w:val="00AD2852"/>
    <w:rsid w:val="00AD3147"/>
    <w:rsid w:val="00AD3976"/>
    <w:rsid w:val="00AD418B"/>
    <w:rsid w:val="00AD48E8"/>
    <w:rsid w:val="00AD4D2A"/>
    <w:rsid w:val="00AD542F"/>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25D5"/>
    <w:rsid w:val="00AF3DBB"/>
    <w:rsid w:val="00AF3E74"/>
    <w:rsid w:val="00AF496E"/>
    <w:rsid w:val="00AF5194"/>
    <w:rsid w:val="00AF53EF"/>
    <w:rsid w:val="00AF73C3"/>
    <w:rsid w:val="00AF795C"/>
    <w:rsid w:val="00AF7D94"/>
    <w:rsid w:val="00B00752"/>
    <w:rsid w:val="00B026C1"/>
    <w:rsid w:val="00B02B9C"/>
    <w:rsid w:val="00B0353B"/>
    <w:rsid w:val="00B040B2"/>
    <w:rsid w:val="00B10558"/>
    <w:rsid w:val="00B10B8D"/>
    <w:rsid w:val="00B11F2F"/>
    <w:rsid w:val="00B147F5"/>
    <w:rsid w:val="00B14A7B"/>
    <w:rsid w:val="00B156A9"/>
    <w:rsid w:val="00B15F83"/>
    <w:rsid w:val="00B160FF"/>
    <w:rsid w:val="00B16322"/>
    <w:rsid w:val="00B1662E"/>
    <w:rsid w:val="00B16A6F"/>
    <w:rsid w:val="00B17C06"/>
    <w:rsid w:val="00B17D7E"/>
    <w:rsid w:val="00B221DF"/>
    <w:rsid w:val="00B22C0D"/>
    <w:rsid w:val="00B234C8"/>
    <w:rsid w:val="00B23AF4"/>
    <w:rsid w:val="00B23C15"/>
    <w:rsid w:val="00B25274"/>
    <w:rsid w:val="00B25762"/>
    <w:rsid w:val="00B25B40"/>
    <w:rsid w:val="00B25FDE"/>
    <w:rsid w:val="00B26AB0"/>
    <w:rsid w:val="00B26AD2"/>
    <w:rsid w:val="00B26CA2"/>
    <w:rsid w:val="00B30B4E"/>
    <w:rsid w:val="00B30F48"/>
    <w:rsid w:val="00B31246"/>
    <w:rsid w:val="00B31C2F"/>
    <w:rsid w:val="00B326FF"/>
    <w:rsid w:val="00B335C3"/>
    <w:rsid w:val="00B33D12"/>
    <w:rsid w:val="00B340AA"/>
    <w:rsid w:val="00B34A9F"/>
    <w:rsid w:val="00B34B80"/>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AD5"/>
    <w:rsid w:val="00B466FE"/>
    <w:rsid w:val="00B51542"/>
    <w:rsid w:val="00B51D1D"/>
    <w:rsid w:val="00B5310E"/>
    <w:rsid w:val="00B54ACC"/>
    <w:rsid w:val="00B54DCB"/>
    <w:rsid w:val="00B55AC2"/>
    <w:rsid w:val="00B560C9"/>
    <w:rsid w:val="00B56533"/>
    <w:rsid w:val="00B56CFC"/>
    <w:rsid w:val="00B57777"/>
    <w:rsid w:val="00B57A17"/>
    <w:rsid w:val="00B61BE2"/>
    <w:rsid w:val="00B6258D"/>
    <w:rsid w:val="00B6266F"/>
    <w:rsid w:val="00B62E0B"/>
    <w:rsid w:val="00B63C32"/>
    <w:rsid w:val="00B643B6"/>
    <w:rsid w:val="00B64434"/>
    <w:rsid w:val="00B66491"/>
    <w:rsid w:val="00B70197"/>
    <w:rsid w:val="00B711CE"/>
    <w:rsid w:val="00B71DC8"/>
    <w:rsid w:val="00B73476"/>
    <w:rsid w:val="00B746C6"/>
    <w:rsid w:val="00B746E0"/>
    <w:rsid w:val="00B74EC2"/>
    <w:rsid w:val="00B75C3E"/>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75C7"/>
    <w:rsid w:val="00B90D10"/>
    <w:rsid w:val="00B90FE5"/>
    <w:rsid w:val="00B919AD"/>
    <w:rsid w:val="00B91A2B"/>
    <w:rsid w:val="00B93204"/>
    <w:rsid w:val="00B9346A"/>
    <w:rsid w:val="00B94E17"/>
    <w:rsid w:val="00B957FE"/>
    <w:rsid w:val="00B95F02"/>
    <w:rsid w:val="00B96BEF"/>
    <w:rsid w:val="00B96FC0"/>
    <w:rsid w:val="00B97260"/>
    <w:rsid w:val="00B97A69"/>
    <w:rsid w:val="00BA0632"/>
    <w:rsid w:val="00BA0AAA"/>
    <w:rsid w:val="00BA0DFB"/>
    <w:rsid w:val="00BA15D2"/>
    <w:rsid w:val="00BA2FEF"/>
    <w:rsid w:val="00BA46A7"/>
    <w:rsid w:val="00BA6C5F"/>
    <w:rsid w:val="00BB0ADB"/>
    <w:rsid w:val="00BB1548"/>
    <w:rsid w:val="00BB1CE7"/>
    <w:rsid w:val="00BB2FD3"/>
    <w:rsid w:val="00BB2FDF"/>
    <w:rsid w:val="00BB2FFF"/>
    <w:rsid w:val="00BB3F65"/>
    <w:rsid w:val="00BB4E6A"/>
    <w:rsid w:val="00BB53EE"/>
    <w:rsid w:val="00BB5920"/>
    <w:rsid w:val="00BB5FCB"/>
    <w:rsid w:val="00BB604B"/>
    <w:rsid w:val="00BC00EC"/>
    <w:rsid w:val="00BC08C5"/>
    <w:rsid w:val="00BC12FB"/>
    <w:rsid w:val="00BC1C3C"/>
    <w:rsid w:val="00BC307F"/>
    <w:rsid w:val="00BC3159"/>
    <w:rsid w:val="00BC3257"/>
    <w:rsid w:val="00BC3283"/>
    <w:rsid w:val="00BC39DB"/>
    <w:rsid w:val="00BC3A32"/>
    <w:rsid w:val="00BC3B07"/>
    <w:rsid w:val="00BC46EF"/>
    <w:rsid w:val="00BC6FD6"/>
    <w:rsid w:val="00BD008E"/>
    <w:rsid w:val="00BD2F3B"/>
    <w:rsid w:val="00BD3372"/>
    <w:rsid w:val="00BD3BEB"/>
    <w:rsid w:val="00BD410F"/>
    <w:rsid w:val="00BD462A"/>
    <w:rsid w:val="00BD50AA"/>
    <w:rsid w:val="00BD5135"/>
    <w:rsid w:val="00BD557D"/>
    <w:rsid w:val="00BD70F9"/>
    <w:rsid w:val="00BD7291"/>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536C"/>
    <w:rsid w:val="00BE55F1"/>
    <w:rsid w:val="00BE5FC4"/>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8F9"/>
    <w:rsid w:val="00BF7B3C"/>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EDB"/>
    <w:rsid w:val="00C16001"/>
    <w:rsid w:val="00C164C4"/>
    <w:rsid w:val="00C16C30"/>
    <w:rsid w:val="00C17C22"/>
    <w:rsid w:val="00C20A00"/>
    <w:rsid w:val="00C21673"/>
    <w:rsid w:val="00C21C17"/>
    <w:rsid w:val="00C21C7A"/>
    <w:rsid w:val="00C2208F"/>
    <w:rsid w:val="00C23130"/>
    <w:rsid w:val="00C255A5"/>
    <w:rsid w:val="00C2584B"/>
    <w:rsid w:val="00C25942"/>
    <w:rsid w:val="00C25DD9"/>
    <w:rsid w:val="00C2663F"/>
    <w:rsid w:val="00C26A2B"/>
    <w:rsid w:val="00C26DB8"/>
    <w:rsid w:val="00C32FD4"/>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D4"/>
    <w:rsid w:val="00C54D71"/>
    <w:rsid w:val="00C563F5"/>
    <w:rsid w:val="00C56498"/>
    <w:rsid w:val="00C570F7"/>
    <w:rsid w:val="00C60CE8"/>
    <w:rsid w:val="00C623FE"/>
    <w:rsid w:val="00C62810"/>
    <w:rsid w:val="00C62CD5"/>
    <w:rsid w:val="00C636E6"/>
    <w:rsid w:val="00C639D6"/>
    <w:rsid w:val="00C63F8E"/>
    <w:rsid w:val="00C647FB"/>
    <w:rsid w:val="00C654E0"/>
    <w:rsid w:val="00C65BFF"/>
    <w:rsid w:val="00C65C5D"/>
    <w:rsid w:val="00C67EAB"/>
    <w:rsid w:val="00C70DFF"/>
    <w:rsid w:val="00C7235E"/>
    <w:rsid w:val="00C727B6"/>
    <w:rsid w:val="00C73B4F"/>
    <w:rsid w:val="00C75A6B"/>
    <w:rsid w:val="00C763B6"/>
    <w:rsid w:val="00C7644F"/>
    <w:rsid w:val="00C768F6"/>
    <w:rsid w:val="00C80073"/>
    <w:rsid w:val="00C80DEA"/>
    <w:rsid w:val="00C81D67"/>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3CDD"/>
    <w:rsid w:val="00CA403B"/>
    <w:rsid w:val="00CA4F50"/>
    <w:rsid w:val="00CA505A"/>
    <w:rsid w:val="00CA59DD"/>
    <w:rsid w:val="00CB008E"/>
    <w:rsid w:val="00CB01FA"/>
    <w:rsid w:val="00CB0737"/>
    <w:rsid w:val="00CB097A"/>
    <w:rsid w:val="00CB26EC"/>
    <w:rsid w:val="00CB29F4"/>
    <w:rsid w:val="00CB2D2A"/>
    <w:rsid w:val="00CB5978"/>
    <w:rsid w:val="00CB5B1E"/>
    <w:rsid w:val="00CB683C"/>
    <w:rsid w:val="00CB72FA"/>
    <w:rsid w:val="00CB7346"/>
    <w:rsid w:val="00CB787A"/>
    <w:rsid w:val="00CC0C4A"/>
    <w:rsid w:val="00CC17F0"/>
    <w:rsid w:val="00CC1853"/>
    <w:rsid w:val="00CC1FAE"/>
    <w:rsid w:val="00CC3A23"/>
    <w:rsid w:val="00CC6A93"/>
    <w:rsid w:val="00CC737C"/>
    <w:rsid w:val="00CC7C88"/>
    <w:rsid w:val="00CD087D"/>
    <w:rsid w:val="00CD08A3"/>
    <w:rsid w:val="00CD0F5D"/>
    <w:rsid w:val="00CD199E"/>
    <w:rsid w:val="00CD1C0B"/>
    <w:rsid w:val="00CD239A"/>
    <w:rsid w:val="00CD3555"/>
    <w:rsid w:val="00CD42DC"/>
    <w:rsid w:val="00CD5512"/>
    <w:rsid w:val="00CD6D73"/>
    <w:rsid w:val="00CD6E3D"/>
    <w:rsid w:val="00CD71AB"/>
    <w:rsid w:val="00CE0109"/>
    <w:rsid w:val="00CE1856"/>
    <w:rsid w:val="00CE1FC5"/>
    <w:rsid w:val="00CE29AB"/>
    <w:rsid w:val="00CE46E5"/>
    <w:rsid w:val="00CE485A"/>
    <w:rsid w:val="00CE5279"/>
    <w:rsid w:val="00CE57B1"/>
    <w:rsid w:val="00CE5A78"/>
    <w:rsid w:val="00CE78AE"/>
    <w:rsid w:val="00CE7AD3"/>
    <w:rsid w:val="00CE7E62"/>
    <w:rsid w:val="00CF051E"/>
    <w:rsid w:val="00CF195E"/>
    <w:rsid w:val="00CF19DA"/>
    <w:rsid w:val="00CF1C7F"/>
    <w:rsid w:val="00CF1CC0"/>
    <w:rsid w:val="00CF1EEA"/>
    <w:rsid w:val="00CF24F8"/>
    <w:rsid w:val="00CF2653"/>
    <w:rsid w:val="00CF4247"/>
    <w:rsid w:val="00CF5263"/>
    <w:rsid w:val="00CF60B5"/>
    <w:rsid w:val="00CF73BF"/>
    <w:rsid w:val="00D004FA"/>
    <w:rsid w:val="00D01440"/>
    <w:rsid w:val="00D01B21"/>
    <w:rsid w:val="00D01DDD"/>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6F8"/>
    <w:rsid w:val="00D2685C"/>
    <w:rsid w:val="00D268E2"/>
    <w:rsid w:val="00D26A3B"/>
    <w:rsid w:val="00D27248"/>
    <w:rsid w:val="00D302FD"/>
    <w:rsid w:val="00D3038A"/>
    <w:rsid w:val="00D3098D"/>
    <w:rsid w:val="00D30D4B"/>
    <w:rsid w:val="00D31A02"/>
    <w:rsid w:val="00D3323C"/>
    <w:rsid w:val="00D33456"/>
    <w:rsid w:val="00D3348B"/>
    <w:rsid w:val="00D3396F"/>
    <w:rsid w:val="00D33D4D"/>
    <w:rsid w:val="00D34A0B"/>
    <w:rsid w:val="00D36234"/>
    <w:rsid w:val="00D36371"/>
    <w:rsid w:val="00D437D8"/>
    <w:rsid w:val="00D44944"/>
    <w:rsid w:val="00D44994"/>
    <w:rsid w:val="00D45DF3"/>
    <w:rsid w:val="00D46174"/>
    <w:rsid w:val="00D46A05"/>
    <w:rsid w:val="00D47DD0"/>
    <w:rsid w:val="00D50183"/>
    <w:rsid w:val="00D51D12"/>
    <w:rsid w:val="00D5362B"/>
    <w:rsid w:val="00D53722"/>
    <w:rsid w:val="00D55072"/>
    <w:rsid w:val="00D551B5"/>
    <w:rsid w:val="00D555B3"/>
    <w:rsid w:val="00D5566A"/>
    <w:rsid w:val="00D56DB2"/>
    <w:rsid w:val="00D5747F"/>
    <w:rsid w:val="00D57495"/>
    <w:rsid w:val="00D574FA"/>
    <w:rsid w:val="00D6045E"/>
    <w:rsid w:val="00D60C8D"/>
    <w:rsid w:val="00D61374"/>
    <w:rsid w:val="00D6168A"/>
    <w:rsid w:val="00D616A5"/>
    <w:rsid w:val="00D61738"/>
    <w:rsid w:val="00D61FF0"/>
    <w:rsid w:val="00D6211D"/>
    <w:rsid w:val="00D62C97"/>
    <w:rsid w:val="00D63517"/>
    <w:rsid w:val="00D63B75"/>
    <w:rsid w:val="00D6584E"/>
    <w:rsid w:val="00D659B1"/>
    <w:rsid w:val="00D66E18"/>
    <w:rsid w:val="00D6734D"/>
    <w:rsid w:val="00D679CF"/>
    <w:rsid w:val="00D679D3"/>
    <w:rsid w:val="00D70CC3"/>
    <w:rsid w:val="00D7356F"/>
    <w:rsid w:val="00D73587"/>
    <w:rsid w:val="00D73EBB"/>
    <w:rsid w:val="00D751FB"/>
    <w:rsid w:val="00D754D6"/>
    <w:rsid w:val="00D761AA"/>
    <w:rsid w:val="00D76FAE"/>
    <w:rsid w:val="00D777D7"/>
    <w:rsid w:val="00D80AB8"/>
    <w:rsid w:val="00D81792"/>
    <w:rsid w:val="00D819B1"/>
    <w:rsid w:val="00D81E78"/>
    <w:rsid w:val="00D82494"/>
    <w:rsid w:val="00D82919"/>
    <w:rsid w:val="00D83AE9"/>
    <w:rsid w:val="00D854A3"/>
    <w:rsid w:val="00D857B8"/>
    <w:rsid w:val="00D86351"/>
    <w:rsid w:val="00D87175"/>
    <w:rsid w:val="00D87ABF"/>
    <w:rsid w:val="00D90CD3"/>
    <w:rsid w:val="00D919E6"/>
    <w:rsid w:val="00D91BE1"/>
    <w:rsid w:val="00D92C29"/>
    <w:rsid w:val="00D93494"/>
    <w:rsid w:val="00D936E2"/>
    <w:rsid w:val="00D95104"/>
    <w:rsid w:val="00D95600"/>
    <w:rsid w:val="00D95805"/>
    <w:rsid w:val="00D9683C"/>
    <w:rsid w:val="00D97884"/>
    <w:rsid w:val="00DA0A7F"/>
    <w:rsid w:val="00DA16E4"/>
    <w:rsid w:val="00DA1C31"/>
    <w:rsid w:val="00DA20BC"/>
    <w:rsid w:val="00DA2ED7"/>
    <w:rsid w:val="00DA31B6"/>
    <w:rsid w:val="00DA3E7A"/>
    <w:rsid w:val="00DA430C"/>
    <w:rsid w:val="00DA615D"/>
    <w:rsid w:val="00DA6598"/>
    <w:rsid w:val="00DA6C0F"/>
    <w:rsid w:val="00DA6C79"/>
    <w:rsid w:val="00DA702F"/>
    <w:rsid w:val="00DA7571"/>
    <w:rsid w:val="00DA7F8A"/>
    <w:rsid w:val="00DB0176"/>
    <w:rsid w:val="00DB0404"/>
    <w:rsid w:val="00DB0AF7"/>
    <w:rsid w:val="00DB11F8"/>
    <w:rsid w:val="00DB18F8"/>
    <w:rsid w:val="00DB1F2A"/>
    <w:rsid w:val="00DB297F"/>
    <w:rsid w:val="00DB3153"/>
    <w:rsid w:val="00DB317A"/>
    <w:rsid w:val="00DB3B82"/>
    <w:rsid w:val="00DB485D"/>
    <w:rsid w:val="00DB6FF5"/>
    <w:rsid w:val="00DB7BF5"/>
    <w:rsid w:val="00DC1070"/>
    <w:rsid w:val="00DC1327"/>
    <w:rsid w:val="00DC1350"/>
    <w:rsid w:val="00DC2D35"/>
    <w:rsid w:val="00DC2E02"/>
    <w:rsid w:val="00DC3237"/>
    <w:rsid w:val="00DC40EC"/>
    <w:rsid w:val="00DC41A4"/>
    <w:rsid w:val="00DC5672"/>
    <w:rsid w:val="00DC60A2"/>
    <w:rsid w:val="00DC63DD"/>
    <w:rsid w:val="00DC6600"/>
    <w:rsid w:val="00DC67BD"/>
    <w:rsid w:val="00DC6924"/>
    <w:rsid w:val="00DC71F2"/>
    <w:rsid w:val="00DD1B7A"/>
    <w:rsid w:val="00DD2025"/>
    <w:rsid w:val="00DD22EA"/>
    <w:rsid w:val="00DD23A0"/>
    <w:rsid w:val="00DD3EF5"/>
    <w:rsid w:val="00DD463F"/>
    <w:rsid w:val="00DD53FA"/>
    <w:rsid w:val="00DD5F42"/>
    <w:rsid w:val="00DD617B"/>
    <w:rsid w:val="00DE07A2"/>
    <w:rsid w:val="00DE0E59"/>
    <w:rsid w:val="00DE0F6C"/>
    <w:rsid w:val="00DE219B"/>
    <w:rsid w:val="00DE2CE1"/>
    <w:rsid w:val="00DE52E3"/>
    <w:rsid w:val="00DE7C00"/>
    <w:rsid w:val="00DF03E9"/>
    <w:rsid w:val="00DF03ED"/>
    <w:rsid w:val="00DF04EE"/>
    <w:rsid w:val="00DF0BF4"/>
    <w:rsid w:val="00DF1407"/>
    <w:rsid w:val="00DF179D"/>
    <w:rsid w:val="00DF1E9C"/>
    <w:rsid w:val="00DF30BF"/>
    <w:rsid w:val="00DF4572"/>
    <w:rsid w:val="00DF4658"/>
    <w:rsid w:val="00DF6C8B"/>
    <w:rsid w:val="00DF6F17"/>
    <w:rsid w:val="00DF7858"/>
    <w:rsid w:val="00DF78FA"/>
    <w:rsid w:val="00E002F1"/>
    <w:rsid w:val="00E0082C"/>
    <w:rsid w:val="00E01DAA"/>
    <w:rsid w:val="00E023E5"/>
    <w:rsid w:val="00E02432"/>
    <w:rsid w:val="00E03321"/>
    <w:rsid w:val="00E04022"/>
    <w:rsid w:val="00E0728F"/>
    <w:rsid w:val="00E0755C"/>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32D62"/>
    <w:rsid w:val="00E3373D"/>
    <w:rsid w:val="00E339DC"/>
    <w:rsid w:val="00E33E15"/>
    <w:rsid w:val="00E35F53"/>
    <w:rsid w:val="00E361B8"/>
    <w:rsid w:val="00E36A1B"/>
    <w:rsid w:val="00E429ED"/>
    <w:rsid w:val="00E4318A"/>
    <w:rsid w:val="00E43F37"/>
    <w:rsid w:val="00E450ED"/>
    <w:rsid w:val="00E45980"/>
    <w:rsid w:val="00E476BA"/>
    <w:rsid w:val="00E4791B"/>
    <w:rsid w:val="00E47E31"/>
    <w:rsid w:val="00E50A97"/>
    <w:rsid w:val="00E50AC6"/>
    <w:rsid w:val="00E50F86"/>
    <w:rsid w:val="00E51DDD"/>
    <w:rsid w:val="00E51FDD"/>
    <w:rsid w:val="00E52435"/>
    <w:rsid w:val="00E526B7"/>
    <w:rsid w:val="00E53122"/>
    <w:rsid w:val="00E5351B"/>
    <w:rsid w:val="00E53D5C"/>
    <w:rsid w:val="00E53FA9"/>
    <w:rsid w:val="00E5414C"/>
    <w:rsid w:val="00E547B3"/>
    <w:rsid w:val="00E55033"/>
    <w:rsid w:val="00E5733D"/>
    <w:rsid w:val="00E60A8F"/>
    <w:rsid w:val="00E61CC0"/>
    <w:rsid w:val="00E6277B"/>
    <w:rsid w:val="00E63554"/>
    <w:rsid w:val="00E64424"/>
    <w:rsid w:val="00E64C99"/>
    <w:rsid w:val="00E64CD3"/>
    <w:rsid w:val="00E671C9"/>
    <w:rsid w:val="00E6743F"/>
    <w:rsid w:val="00E6758E"/>
    <w:rsid w:val="00E67E23"/>
    <w:rsid w:val="00E70016"/>
    <w:rsid w:val="00E70BC7"/>
    <w:rsid w:val="00E70CC0"/>
    <w:rsid w:val="00E70FBC"/>
    <w:rsid w:val="00E72C01"/>
    <w:rsid w:val="00E741AC"/>
    <w:rsid w:val="00E75174"/>
    <w:rsid w:val="00E75EBA"/>
    <w:rsid w:val="00E763B4"/>
    <w:rsid w:val="00E7694C"/>
    <w:rsid w:val="00E77848"/>
    <w:rsid w:val="00E80514"/>
    <w:rsid w:val="00E80960"/>
    <w:rsid w:val="00E80E5B"/>
    <w:rsid w:val="00E816C5"/>
    <w:rsid w:val="00E81958"/>
    <w:rsid w:val="00E81CE0"/>
    <w:rsid w:val="00E81E7C"/>
    <w:rsid w:val="00E82104"/>
    <w:rsid w:val="00E8224D"/>
    <w:rsid w:val="00E8496E"/>
    <w:rsid w:val="00E8519F"/>
    <w:rsid w:val="00E8582E"/>
    <w:rsid w:val="00E85CC3"/>
    <w:rsid w:val="00E8644A"/>
    <w:rsid w:val="00E90279"/>
    <w:rsid w:val="00E90635"/>
    <w:rsid w:val="00E909A1"/>
    <w:rsid w:val="00E90BFF"/>
    <w:rsid w:val="00E91851"/>
    <w:rsid w:val="00E91F04"/>
    <w:rsid w:val="00E91F35"/>
    <w:rsid w:val="00E9441F"/>
    <w:rsid w:val="00E95BA6"/>
    <w:rsid w:val="00E97110"/>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B27"/>
    <w:rsid w:val="00EB1DA8"/>
    <w:rsid w:val="00EB4CFF"/>
    <w:rsid w:val="00EB5476"/>
    <w:rsid w:val="00EB70B0"/>
    <w:rsid w:val="00EB7633"/>
    <w:rsid w:val="00EB7736"/>
    <w:rsid w:val="00EC0454"/>
    <w:rsid w:val="00EC1BE5"/>
    <w:rsid w:val="00EC2E2D"/>
    <w:rsid w:val="00EC462B"/>
    <w:rsid w:val="00EC4723"/>
    <w:rsid w:val="00EC56E0"/>
    <w:rsid w:val="00EC6057"/>
    <w:rsid w:val="00EC6847"/>
    <w:rsid w:val="00EC7DB6"/>
    <w:rsid w:val="00ED0736"/>
    <w:rsid w:val="00ED162F"/>
    <w:rsid w:val="00ED2E52"/>
    <w:rsid w:val="00ED2FE0"/>
    <w:rsid w:val="00ED3024"/>
    <w:rsid w:val="00ED5FE4"/>
    <w:rsid w:val="00ED70F1"/>
    <w:rsid w:val="00ED71C5"/>
    <w:rsid w:val="00EE068B"/>
    <w:rsid w:val="00EE16FA"/>
    <w:rsid w:val="00EE3C42"/>
    <w:rsid w:val="00EE3D4F"/>
    <w:rsid w:val="00EE4720"/>
    <w:rsid w:val="00EE534D"/>
    <w:rsid w:val="00EE5560"/>
    <w:rsid w:val="00EE6F1E"/>
    <w:rsid w:val="00EF0348"/>
    <w:rsid w:val="00EF0FC2"/>
    <w:rsid w:val="00EF1A1B"/>
    <w:rsid w:val="00EF1F9C"/>
    <w:rsid w:val="00EF4366"/>
    <w:rsid w:val="00EF4422"/>
    <w:rsid w:val="00EF4CD6"/>
    <w:rsid w:val="00EF55A0"/>
    <w:rsid w:val="00EF63D1"/>
    <w:rsid w:val="00EF6513"/>
    <w:rsid w:val="00EF661D"/>
    <w:rsid w:val="00EF6683"/>
    <w:rsid w:val="00EF7002"/>
    <w:rsid w:val="00EF769B"/>
    <w:rsid w:val="00EF77E1"/>
    <w:rsid w:val="00F027BA"/>
    <w:rsid w:val="00F033A2"/>
    <w:rsid w:val="00F03E79"/>
    <w:rsid w:val="00F04A2E"/>
    <w:rsid w:val="00F0523B"/>
    <w:rsid w:val="00F0628D"/>
    <w:rsid w:val="00F06651"/>
    <w:rsid w:val="00F07767"/>
    <w:rsid w:val="00F07DE6"/>
    <w:rsid w:val="00F1012D"/>
    <w:rsid w:val="00F1056C"/>
    <w:rsid w:val="00F107F1"/>
    <w:rsid w:val="00F10FC1"/>
    <w:rsid w:val="00F112FD"/>
    <w:rsid w:val="00F11C5A"/>
    <w:rsid w:val="00F133A1"/>
    <w:rsid w:val="00F13ECD"/>
    <w:rsid w:val="00F155CE"/>
    <w:rsid w:val="00F16BF2"/>
    <w:rsid w:val="00F17AFE"/>
    <w:rsid w:val="00F17EAE"/>
    <w:rsid w:val="00F218D4"/>
    <w:rsid w:val="00F22122"/>
    <w:rsid w:val="00F2250A"/>
    <w:rsid w:val="00F244A7"/>
    <w:rsid w:val="00F24788"/>
    <w:rsid w:val="00F24B19"/>
    <w:rsid w:val="00F262C6"/>
    <w:rsid w:val="00F2640F"/>
    <w:rsid w:val="00F27C34"/>
    <w:rsid w:val="00F27E46"/>
    <w:rsid w:val="00F301C2"/>
    <w:rsid w:val="00F302E1"/>
    <w:rsid w:val="00F30B9F"/>
    <w:rsid w:val="00F30C22"/>
    <w:rsid w:val="00F31211"/>
    <w:rsid w:val="00F31B22"/>
    <w:rsid w:val="00F31B49"/>
    <w:rsid w:val="00F3233B"/>
    <w:rsid w:val="00F32F56"/>
    <w:rsid w:val="00F33D4F"/>
    <w:rsid w:val="00F3458E"/>
    <w:rsid w:val="00F34CD6"/>
    <w:rsid w:val="00F350C7"/>
    <w:rsid w:val="00F35873"/>
    <w:rsid w:val="00F35920"/>
    <w:rsid w:val="00F3654C"/>
    <w:rsid w:val="00F366A5"/>
    <w:rsid w:val="00F36C5F"/>
    <w:rsid w:val="00F37259"/>
    <w:rsid w:val="00F37CD4"/>
    <w:rsid w:val="00F405A4"/>
    <w:rsid w:val="00F417A8"/>
    <w:rsid w:val="00F41F05"/>
    <w:rsid w:val="00F42378"/>
    <w:rsid w:val="00F433BD"/>
    <w:rsid w:val="00F44EC5"/>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9C8"/>
    <w:rsid w:val="00F62DBF"/>
    <w:rsid w:val="00F641FC"/>
    <w:rsid w:val="00F647F7"/>
    <w:rsid w:val="00F6583C"/>
    <w:rsid w:val="00F6589A"/>
    <w:rsid w:val="00F65AC8"/>
    <w:rsid w:val="00F65CF2"/>
    <w:rsid w:val="00F65E76"/>
    <w:rsid w:val="00F662F1"/>
    <w:rsid w:val="00F6783E"/>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12C8"/>
    <w:rsid w:val="00F8132D"/>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77F2"/>
    <w:rsid w:val="00F97908"/>
    <w:rsid w:val="00F97B43"/>
    <w:rsid w:val="00FA07F8"/>
    <w:rsid w:val="00FA105C"/>
    <w:rsid w:val="00FA1475"/>
    <w:rsid w:val="00FA148A"/>
    <w:rsid w:val="00FA27C8"/>
    <w:rsid w:val="00FA3B76"/>
    <w:rsid w:val="00FA487C"/>
    <w:rsid w:val="00FA4D66"/>
    <w:rsid w:val="00FA5A4E"/>
    <w:rsid w:val="00FA7ED9"/>
    <w:rsid w:val="00FB0082"/>
    <w:rsid w:val="00FB0243"/>
    <w:rsid w:val="00FB1527"/>
    <w:rsid w:val="00FB2537"/>
    <w:rsid w:val="00FB33DC"/>
    <w:rsid w:val="00FB40A1"/>
    <w:rsid w:val="00FB4338"/>
    <w:rsid w:val="00FB477E"/>
    <w:rsid w:val="00FB4C9C"/>
    <w:rsid w:val="00FB6165"/>
    <w:rsid w:val="00FC0142"/>
    <w:rsid w:val="00FC0150"/>
    <w:rsid w:val="00FC03AB"/>
    <w:rsid w:val="00FC31C2"/>
    <w:rsid w:val="00FC3CD3"/>
    <w:rsid w:val="00FC4729"/>
    <w:rsid w:val="00FC4A8C"/>
    <w:rsid w:val="00FC53DB"/>
    <w:rsid w:val="00FC5C08"/>
    <w:rsid w:val="00FC5F24"/>
    <w:rsid w:val="00FC5FC2"/>
    <w:rsid w:val="00FC6177"/>
    <w:rsid w:val="00FC63D1"/>
    <w:rsid w:val="00FC7528"/>
    <w:rsid w:val="00FD00AD"/>
    <w:rsid w:val="00FD00C7"/>
    <w:rsid w:val="00FD0572"/>
    <w:rsid w:val="00FD0FD3"/>
    <w:rsid w:val="00FD1A97"/>
    <w:rsid w:val="00FD1B33"/>
    <w:rsid w:val="00FD2D7B"/>
    <w:rsid w:val="00FD33D3"/>
    <w:rsid w:val="00FD37F6"/>
    <w:rsid w:val="00FD4589"/>
    <w:rsid w:val="00FD473E"/>
    <w:rsid w:val="00FD4E76"/>
    <w:rsid w:val="00FD7DF9"/>
    <w:rsid w:val="00FE0B03"/>
    <w:rsid w:val="00FE0B51"/>
    <w:rsid w:val="00FE0B78"/>
    <w:rsid w:val="00FE0ED4"/>
    <w:rsid w:val="00FE15C3"/>
    <w:rsid w:val="00FE1EAB"/>
    <w:rsid w:val="00FE29AE"/>
    <w:rsid w:val="00FE3465"/>
    <w:rsid w:val="00FE348A"/>
    <w:rsid w:val="00FE50FF"/>
    <w:rsid w:val="00FE58F7"/>
    <w:rsid w:val="00FE67CF"/>
    <w:rsid w:val="00FE6D20"/>
    <w:rsid w:val="00FE6FB9"/>
    <w:rsid w:val="00FE7549"/>
    <w:rsid w:val="00FE7BCC"/>
    <w:rsid w:val="00FF03AA"/>
    <w:rsid w:val="00FF0632"/>
    <w:rsid w:val="00FF126D"/>
    <w:rsid w:val="00FF1BD8"/>
    <w:rsid w:val="00FF2310"/>
    <w:rsid w:val="00FF2E73"/>
    <w:rsid w:val="00FF30FB"/>
    <w:rsid w:val="00FF418F"/>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1359FB"/>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uiPriority w:val="9"/>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rPr>
      <w:sz w:val="24"/>
      <w:szCs w:val="24"/>
    </w:rPr>
  </w:style>
  <w:style w:type="paragraph" w:styleId="Heading8">
    <w:name w:val="heading 8"/>
    <w:basedOn w:val="Normal"/>
    <w:next w:val="Normal"/>
    <w:uiPriority w:val="9"/>
    <w:qFormat/>
    <w:pPr>
      <w:numPr>
        <w:ilvl w:val="7"/>
        <w:numId w:val="1"/>
      </w:numPr>
      <w:spacing w:before="240" w:after="60"/>
      <w:outlineLvl w:val="7"/>
    </w:pPr>
    <w:rPr>
      <w:i/>
      <w:iCs/>
      <w:sz w:val="24"/>
      <w:szCs w:val="24"/>
    </w:rPr>
  </w:style>
  <w:style w:type="paragraph" w:styleId="Heading9">
    <w:name w:val="heading 9"/>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Pr>
      <w:rFonts w:ascii="宋体" w:hAnsi="宋体"/>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qFormat/>
    <w:rPr>
      <w:rFonts w:eastAsia="宋体"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11"/>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465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4.vsdx"/><Relationship Id="rId26" Type="http://schemas.openxmlformats.org/officeDocument/2006/relationships/package" Target="embeddings/Microsoft_Visio___8.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__7.vsdx"/><Relationship Id="rId32" Type="http://schemas.openxmlformats.org/officeDocument/2006/relationships/package" Target="embeddings/Microsoft_Visio___1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9.vsdx"/><Relationship Id="rId10" Type="http://schemas.openxmlformats.org/officeDocument/2006/relationships/package" Target="embeddings/Microsoft_Visio___.vsdx"/><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image" Target="media/image10.emf"/><Relationship Id="rId30" Type="http://schemas.openxmlformats.org/officeDocument/2006/relationships/package" Target="embeddings/Microsoft_Visio___10.vsdx"/><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28204B-7268-4025-B020-7CAA9AB05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3450</Words>
  <Characters>19668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TCL</cp:lastModifiedBy>
  <cp:revision>2</cp:revision>
  <cp:lastPrinted>2007-06-18T22:08:00Z</cp:lastPrinted>
  <dcterms:created xsi:type="dcterms:W3CDTF">2022-08-12T04:43:00Z</dcterms:created>
  <dcterms:modified xsi:type="dcterms:W3CDTF">2022-08-12T04:43:00Z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