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ackground w:color="FFFFFF"/>
  <w:body>
    <w:p w:rsidRPr="0058100B" w:rsidR="008F35D9" w:rsidP="4989BE7F" w:rsidRDefault="006342FD" w14:paraId="25573D1B" w14:textId="77777777">
      <w:pPr>
        <w:tabs>
          <w:tab w:val="right" w:pos="9216"/>
        </w:tabs>
        <w:spacing w:after="0"/>
        <w:jc w:val="left"/>
        <w:rPr>
          <w:b/>
          <w:bCs/>
          <w:kern w:val="2"/>
          <w:sz w:val="24"/>
          <w:szCs w:val="24"/>
        </w:rPr>
      </w:pPr>
      <w:r w:rsidRPr="0058100B">
        <w:rPr>
          <w:b/>
          <w:bCs/>
          <w:kern w:val="2"/>
          <w:sz w:val="24"/>
          <w:szCs w:val="24"/>
        </w:rPr>
        <w:t>3GPP TSG RAN WG1 Meeting #</w:t>
      </w:r>
      <w:r w:rsidRPr="0058100B" w:rsidR="008F35D9">
        <w:rPr>
          <w:b/>
          <w:bCs/>
          <w:kern w:val="2"/>
          <w:sz w:val="24"/>
          <w:szCs w:val="24"/>
        </w:rPr>
        <w:t>110</w:t>
      </w:r>
    </w:p>
    <w:p w:rsidRPr="0058100B" w:rsidR="006D4AAD" w:rsidP="4989BE7F" w:rsidRDefault="008F35D9" w14:paraId="242130F3" w14:textId="562A5222">
      <w:pPr>
        <w:tabs>
          <w:tab w:val="right" w:pos="9216"/>
        </w:tabs>
        <w:spacing w:after="0"/>
        <w:jc w:val="left"/>
        <w:rPr>
          <w:b/>
          <w:bCs/>
          <w:sz w:val="24"/>
          <w:szCs w:val="24"/>
        </w:rPr>
      </w:pPr>
      <w:r w:rsidRPr="0058100B">
        <w:rPr>
          <w:b/>
          <w:kern w:val="2"/>
          <w:sz w:val="24"/>
          <w:szCs w:val="24"/>
        </w:rPr>
        <w:t>Toulouse, FR</w:t>
      </w:r>
      <w:r w:rsidRPr="0058100B" w:rsidR="006342FD">
        <w:rPr>
          <w:b/>
          <w:kern w:val="2"/>
          <w:sz w:val="24"/>
          <w:szCs w:val="24"/>
        </w:rPr>
        <w:tab/>
      </w:r>
      <w:r w:rsidRPr="00056695" w:rsidR="00056695">
        <w:rPr>
          <w:b/>
          <w:bCs/>
          <w:sz w:val="24"/>
          <w:szCs w:val="24"/>
        </w:rPr>
        <w:t>R1-2205812</w:t>
      </w:r>
    </w:p>
    <w:p w:rsidRPr="0058100B" w:rsidR="006D4AAD" w:rsidRDefault="00001423" w14:paraId="285F8FC7" w14:textId="7CDC8BEE">
      <w:pPr>
        <w:jc w:val="left"/>
        <w:rPr>
          <w:sz w:val="24"/>
          <w:szCs w:val="24"/>
        </w:rPr>
      </w:pPr>
      <w:r w:rsidRPr="0058100B">
        <w:rPr>
          <w:b/>
          <w:kern w:val="2"/>
          <w:sz w:val="24"/>
          <w:szCs w:val="24"/>
        </w:rPr>
        <w:t>August</w:t>
      </w:r>
      <w:r w:rsidRPr="0058100B" w:rsidR="006342FD">
        <w:rPr>
          <w:b/>
          <w:kern w:val="2"/>
          <w:sz w:val="24"/>
          <w:szCs w:val="24"/>
        </w:rPr>
        <w:t xml:space="preserve"> </w:t>
      </w:r>
      <w:r w:rsidRPr="0058100B" w:rsidR="00BC152E">
        <w:rPr>
          <w:b/>
          <w:kern w:val="2"/>
          <w:sz w:val="24"/>
          <w:szCs w:val="24"/>
        </w:rPr>
        <w:t>22</w:t>
      </w:r>
      <w:r w:rsidRPr="0058100B" w:rsidR="00BC152E">
        <w:rPr>
          <w:b/>
          <w:kern w:val="2"/>
          <w:sz w:val="24"/>
          <w:szCs w:val="24"/>
          <w:vertAlign w:val="superscript"/>
        </w:rPr>
        <w:t>nd</w:t>
      </w:r>
      <w:r w:rsidRPr="0058100B" w:rsidR="006342FD">
        <w:rPr>
          <w:b/>
          <w:kern w:val="2"/>
          <w:sz w:val="24"/>
          <w:szCs w:val="24"/>
        </w:rPr>
        <w:t xml:space="preserve"> – </w:t>
      </w:r>
      <w:r w:rsidRPr="0058100B">
        <w:rPr>
          <w:b/>
          <w:kern w:val="2"/>
          <w:sz w:val="24"/>
          <w:szCs w:val="24"/>
        </w:rPr>
        <w:t>August</w:t>
      </w:r>
      <w:r w:rsidRPr="0058100B" w:rsidR="006342FD">
        <w:rPr>
          <w:b/>
          <w:kern w:val="2"/>
          <w:sz w:val="24"/>
          <w:szCs w:val="24"/>
        </w:rPr>
        <w:t xml:space="preserve"> 2</w:t>
      </w:r>
      <w:r w:rsidRPr="0058100B">
        <w:rPr>
          <w:b/>
          <w:kern w:val="2"/>
          <w:sz w:val="24"/>
          <w:szCs w:val="24"/>
        </w:rPr>
        <w:t>6</w:t>
      </w:r>
      <w:r w:rsidRPr="0058100B" w:rsidR="006342FD">
        <w:rPr>
          <w:b/>
          <w:kern w:val="2"/>
          <w:sz w:val="24"/>
          <w:szCs w:val="24"/>
          <w:vertAlign w:val="superscript"/>
        </w:rPr>
        <w:t>th</w:t>
      </w:r>
      <w:r w:rsidRPr="0058100B" w:rsidR="006342FD">
        <w:rPr>
          <w:b/>
          <w:kern w:val="2"/>
          <w:sz w:val="24"/>
          <w:szCs w:val="24"/>
        </w:rPr>
        <w:t>, 2022</w:t>
      </w:r>
      <w:r w:rsidR="00205E48">
        <w:rPr>
          <w:b/>
          <w:kern w:val="2"/>
          <w:sz w:val="24"/>
          <w:szCs w:val="24"/>
        </w:rPr>
        <w:t xml:space="preserve"> </w:t>
      </w:r>
    </w:p>
    <w:p w:rsidRPr="00BD6F27" w:rsidR="006D4AAD" w:rsidRDefault="006D4AAD" w14:paraId="751B934A" w14:textId="77777777">
      <w:pPr>
        <w:pBdr>
          <w:top w:val="single" w:color="000000" w:sz="4" w:space="1"/>
          <w:left w:val="none" w:color="000000" w:sz="0" w:space="0"/>
          <w:bottom w:val="none" w:color="000000" w:sz="0" w:space="0"/>
          <w:right w:val="none" w:color="000000" w:sz="0" w:space="0"/>
        </w:pBdr>
        <w:spacing w:after="0"/>
        <w:jc w:val="left"/>
        <w:rPr>
          <w:b/>
          <w:kern w:val="2"/>
          <w:sz w:val="16"/>
          <w:szCs w:val="16"/>
        </w:rPr>
      </w:pPr>
    </w:p>
    <w:p w:rsidRPr="00BD6F27" w:rsidR="006D4AAD" w:rsidRDefault="006342FD" w14:paraId="3DEE8175" w14:textId="5452FA84">
      <w:pPr>
        <w:spacing w:after="60"/>
        <w:ind w:left="1555" w:hanging="1555"/>
        <w:jc w:val="left"/>
      </w:pPr>
      <w:r w:rsidRPr="00BD6F27">
        <w:rPr>
          <w:b/>
          <w:kern w:val="2"/>
        </w:rPr>
        <w:t>Agenda Item:</w:t>
      </w:r>
      <w:r w:rsidRPr="00BD6F27">
        <w:rPr>
          <w:b/>
          <w:kern w:val="2"/>
        </w:rPr>
        <w:tab/>
      </w:r>
      <w:r w:rsidRPr="00BD6F27">
        <w:rPr>
          <w:b/>
          <w:kern w:val="2"/>
        </w:rPr>
        <w:t>9.3.</w:t>
      </w:r>
      <w:r w:rsidR="008A0343">
        <w:rPr>
          <w:b/>
          <w:kern w:val="2"/>
        </w:rPr>
        <w:t>2</w:t>
      </w:r>
    </w:p>
    <w:p w:rsidRPr="00BD6F27" w:rsidR="006D4AAD" w:rsidRDefault="006342FD" w14:paraId="01E93DD9" w14:textId="27C9791B">
      <w:pPr>
        <w:spacing w:after="60"/>
        <w:ind w:left="1555" w:hanging="1555"/>
        <w:jc w:val="left"/>
      </w:pPr>
      <w:r w:rsidRPr="00BD6F27">
        <w:rPr>
          <w:b/>
          <w:kern w:val="2"/>
        </w:rPr>
        <w:t>Source:</w:t>
      </w:r>
      <w:r w:rsidRPr="00BD6F27">
        <w:rPr>
          <w:b/>
          <w:kern w:val="2"/>
        </w:rPr>
        <w:tab/>
      </w:r>
      <w:r w:rsidR="00921C72">
        <w:rPr>
          <w:b/>
          <w:kern w:val="2"/>
        </w:rPr>
        <w:t>Dell Technologies</w:t>
      </w:r>
    </w:p>
    <w:p w:rsidRPr="00BD6F27" w:rsidR="006D4AAD" w:rsidRDefault="006342FD" w14:paraId="6BF6673A" w14:textId="7099ABA6">
      <w:pPr>
        <w:spacing w:after="60"/>
        <w:ind w:left="1555" w:hanging="1555"/>
        <w:jc w:val="left"/>
      </w:pPr>
      <w:r w:rsidRPr="00BD6F27">
        <w:rPr>
          <w:b/>
          <w:kern w:val="2"/>
        </w:rPr>
        <w:t>Title:</w:t>
      </w:r>
      <w:r w:rsidRPr="00BD6F27">
        <w:rPr>
          <w:b/>
          <w:kern w:val="2"/>
        </w:rPr>
        <w:tab/>
      </w:r>
      <w:r w:rsidR="00EF2FC5">
        <w:rPr>
          <w:b/>
          <w:kern w:val="2"/>
        </w:rPr>
        <w:t>Discussion on NR sub-band full duplex</w:t>
      </w:r>
    </w:p>
    <w:p w:rsidRPr="00BD6F27" w:rsidR="006D4AAD" w:rsidRDefault="006342FD" w14:paraId="66E2FB28" w14:textId="7A7A11C0">
      <w:pPr>
        <w:spacing w:after="60"/>
        <w:ind w:left="1555" w:hanging="1555"/>
        <w:jc w:val="left"/>
      </w:pPr>
      <w:r w:rsidRPr="00BD6F27">
        <w:rPr>
          <w:b/>
          <w:kern w:val="2"/>
        </w:rPr>
        <w:t>Document for:</w:t>
      </w:r>
      <w:r w:rsidRPr="00BD6F27">
        <w:rPr>
          <w:b/>
          <w:kern w:val="2"/>
        </w:rPr>
        <w:tab/>
      </w:r>
      <w:r w:rsidRPr="00BD6F27">
        <w:rPr>
          <w:b/>
          <w:kern w:val="2"/>
        </w:rPr>
        <w:t xml:space="preserve">Discussion </w:t>
      </w:r>
      <w:r w:rsidR="00E75D95">
        <w:rPr>
          <w:b/>
          <w:kern w:val="2"/>
        </w:rPr>
        <w:t>and Decision</w:t>
      </w:r>
    </w:p>
    <w:p w:rsidRPr="00BD6F27" w:rsidR="006D4AAD" w:rsidRDefault="006D4AAD" w14:paraId="2CCA0B45" w14:textId="77777777">
      <w:pPr>
        <w:pBdr>
          <w:top w:val="none" w:color="000000" w:sz="0" w:space="0"/>
          <w:left w:val="none" w:color="000000" w:sz="0" w:space="0"/>
          <w:bottom w:val="single" w:color="000000" w:sz="4" w:space="1"/>
          <w:right w:val="none" w:color="000000" w:sz="0" w:space="0"/>
        </w:pBdr>
        <w:spacing w:after="0"/>
        <w:jc w:val="left"/>
        <w:rPr>
          <w:b/>
          <w:kern w:val="2"/>
          <w:sz w:val="16"/>
          <w:szCs w:val="16"/>
        </w:rPr>
      </w:pPr>
    </w:p>
    <w:p w:rsidRPr="00945F88" w:rsidR="006D4AAD" w:rsidRDefault="006342FD" w14:paraId="5E1F1275" w14:textId="77777777">
      <w:pPr>
        <w:pStyle w:val="Heading1"/>
        <w:rPr>
          <w:sz w:val="36"/>
          <w:szCs w:val="36"/>
        </w:rPr>
      </w:pPr>
      <w:bookmarkStart w:name="_Ref129681862" w:id="0"/>
      <w:bookmarkStart w:name="_Ref124589705" w:id="1"/>
      <w:r w:rsidRPr="00945F88">
        <w:rPr>
          <w:sz w:val="36"/>
          <w:szCs w:val="36"/>
        </w:rPr>
        <w:t>Introduction</w:t>
      </w:r>
      <w:bookmarkEnd w:id="0"/>
      <w:bookmarkEnd w:id="1"/>
    </w:p>
    <w:p w:rsidR="00F51AC1" w:rsidP="00C114D3" w:rsidRDefault="003509A4" w14:paraId="018BB96C" w14:textId="53F59568">
      <w:pPr>
        <w:rPr>
          <w:lang w:eastAsia="ko-KR"/>
        </w:rPr>
      </w:pPr>
      <w:bookmarkStart w:name="_Ref129681832" w:id="2"/>
      <w:r>
        <w:rPr>
          <w:lang w:eastAsia="ko-KR"/>
        </w:rPr>
        <w:t xml:space="preserve">A study item is approved on </w:t>
      </w:r>
      <w:r w:rsidR="006573B0">
        <w:rPr>
          <w:lang w:eastAsia="ko-KR"/>
        </w:rPr>
        <w:t>evolution</w:t>
      </w:r>
      <w:r>
        <w:rPr>
          <w:lang w:eastAsia="ko-KR"/>
        </w:rPr>
        <w:t xml:space="preserve"> of NR full duplex operation</w:t>
      </w:r>
      <w:r w:rsidR="002C0BF4">
        <w:rPr>
          <w:lang w:eastAsia="ko-KR"/>
        </w:rPr>
        <w:t xml:space="preserve"> </w:t>
      </w:r>
      <w:r w:rsidR="006573B0">
        <w:rPr>
          <w:lang w:eastAsia="ko-KR"/>
        </w:rPr>
        <w:t>during</w:t>
      </w:r>
      <w:r w:rsidR="002C0BF4">
        <w:rPr>
          <w:lang w:eastAsia="ko-KR"/>
        </w:rPr>
        <w:t xml:space="preserve"> RAN#94-e [1]</w:t>
      </w:r>
      <w:r w:rsidR="00491543">
        <w:rPr>
          <w:lang w:eastAsia="ko-KR"/>
        </w:rPr>
        <w:t>, with the following study objectives</w:t>
      </w:r>
      <w:r w:rsidR="002C0BF4">
        <w:rPr>
          <w:lang w:eastAsia="ko-KR"/>
        </w:rPr>
        <w:t>.</w:t>
      </w:r>
    </w:p>
    <w:tbl>
      <w:tblPr>
        <w:tblStyle w:val="TableGrid"/>
        <w:tblW w:w="0" w:type="auto"/>
        <w:tblLook w:val="04A0" w:firstRow="1" w:lastRow="0" w:firstColumn="1" w:lastColumn="0" w:noHBand="0" w:noVBand="1"/>
      </w:tblPr>
      <w:tblGrid>
        <w:gridCol w:w="9304"/>
      </w:tblGrid>
      <w:tr w:rsidR="00C114D3" w:rsidTr="42F9D5AC" w14:paraId="54C567F1" w14:textId="77777777">
        <w:tc>
          <w:tcPr>
            <w:tcW w:w="9629" w:type="dxa"/>
            <w:tcMar/>
          </w:tcPr>
          <w:p w:rsidRPr="009134F8" w:rsidR="00C114D3" w:rsidP="42F9D5AC" w:rsidRDefault="00C114D3" w14:paraId="25FF4548" w14:textId="2873492B">
            <w:pPr>
              <w:spacing w:after="180"/>
              <w:ind w:right="-99"/>
              <w:rPr>
                <w:rFonts w:eastAsia="DengXian"/>
                <w:i w:val="1"/>
                <w:iCs w:val="1"/>
                <w:sz w:val="20"/>
                <w:szCs w:val="20"/>
                <w:lang w:eastAsia="ko-KR"/>
              </w:rPr>
            </w:pPr>
            <w:r w:rsidRPr="42F9D5AC" w:rsidR="00C114D3">
              <w:rPr>
                <w:rFonts w:eastAsia="DengXian"/>
                <w:i w:val="1"/>
                <w:iCs w:val="1"/>
                <w:sz w:val="20"/>
                <w:szCs w:val="20"/>
                <w:lang w:eastAsia="ko-KR"/>
              </w:rPr>
              <w:t xml:space="preserve">In this study, the </w:t>
            </w:r>
            <w:r w:rsidRPr="42F9D5AC" w:rsidR="00C114D3">
              <w:rPr>
                <w:rFonts w:eastAsia="DengXian"/>
                <w:i w:val="1"/>
                <w:iCs w:val="1"/>
                <w:sz w:val="20"/>
                <w:szCs w:val="20"/>
                <w:lang w:eastAsia="ko-KR"/>
              </w:rPr>
              <w:t>following</w:t>
            </w:r>
            <w:r w:rsidRPr="42F9D5AC" w:rsidR="00C114D3">
              <w:rPr>
                <w:rFonts w:eastAsia="DengXian"/>
                <w:i w:val="1"/>
                <w:iCs w:val="1"/>
                <w:sz w:val="20"/>
                <w:szCs w:val="20"/>
                <w:lang w:eastAsia="ko-KR"/>
              </w:rPr>
              <w:t xml:space="preserve"> are assumed:</w:t>
            </w:r>
          </w:p>
          <w:p w:rsidRPr="001E06AA" w:rsidR="00C114D3" w:rsidP="00C114D3" w:rsidRDefault="00C114D3" w14:paraId="4D11B166" w14:textId="77777777">
            <w:pPr>
              <w:numPr>
                <w:ilvl w:val="0"/>
                <w:numId w:val="11"/>
              </w:numPr>
              <w:suppressAutoHyphens w:val="0"/>
              <w:snapToGrid/>
              <w:spacing w:after="180"/>
              <w:jc w:val="left"/>
              <w:rPr>
                <w:rFonts w:eastAsia="DengXian"/>
                <w:bCs/>
                <w:i/>
                <w:iCs/>
                <w:sz w:val="20"/>
                <w:lang w:eastAsia="ko-KR"/>
              </w:rPr>
            </w:pPr>
            <w:r w:rsidRPr="009134F8">
              <w:rPr>
                <w:bCs/>
                <w:i/>
                <w:iCs/>
                <w:sz w:val="20"/>
                <w:lang w:eastAsia="ko-KR"/>
              </w:rPr>
              <w:t xml:space="preserve">Duplex enhancement at the </w:t>
            </w:r>
            <w:r w:rsidRPr="001E06AA">
              <w:rPr>
                <w:bCs/>
                <w:i/>
                <w:iCs/>
                <w:sz w:val="20"/>
                <w:lang w:eastAsia="ko-KR"/>
              </w:rPr>
              <w:t>gNB side</w:t>
            </w:r>
          </w:p>
          <w:p w:rsidRPr="001E06AA" w:rsidR="00C114D3" w:rsidP="00C114D3" w:rsidRDefault="00C114D3" w14:paraId="3ACF7284" w14:textId="77777777">
            <w:pPr>
              <w:numPr>
                <w:ilvl w:val="0"/>
                <w:numId w:val="11"/>
              </w:numPr>
              <w:suppressAutoHyphens w:val="0"/>
              <w:snapToGrid/>
              <w:spacing w:after="180"/>
              <w:jc w:val="left"/>
              <w:rPr>
                <w:rFonts w:eastAsia="DengXian"/>
                <w:bCs/>
                <w:i/>
                <w:iCs/>
                <w:sz w:val="20"/>
                <w:lang w:eastAsia="ko-KR"/>
              </w:rPr>
            </w:pPr>
            <w:r w:rsidRPr="001E06AA">
              <w:rPr>
                <w:bCs/>
                <w:i/>
                <w:iCs/>
                <w:sz w:val="20"/>
                <w:lang w:eastAsia="ko-KR"/>
              </w:rPr>
              <w:t>Half duplex operation at the UE side</w:t>
            </w:r>
          </w:p>
          <w:p w:rsidRPr="001E06AA" w:rsidR="00C114D3" w:rsidP="009854AD" w:rsidRDefault="00C114D3" w14:paraId="30CAF2D9" w14:textId="270E3014">
            <w:pPr>
              <w:numPr>
                <w:ilvl w:val="0"/>
                <w:numId w:val="11"/>
              </w:numPr>
              <w:suppressAutoHyphens w:val="0"/>
              <w:snapToGrid/>
              <w:spacing w:after="180"/>
              <w:jc w:val="left"/>
              <w:rPr>
                <w:rFonts w:eastAsia="DengXian"/>
                <w:bCs/>
                <w:i/>
                <w:iCs/>
                <w:sz w:val="20"/>
                <w:lang w:eastAsia="ko-KR"/>
              </w:rPr>
            </w:pPr>
            <w:r w:rsidRPr="001E06AA">
              <w:rPr>
                <w:bCs/>
                <w:i/>
                <w:iCs/>
                <w:sz w:val="20"/>
                <w:lang w:eastAsia="ko-KR"/>
              </w:rPr>
              <w:t>No restriction on frequency ranges</w:t>
            </w:r>
          </w:p>
          <w:p w:rsidRPr="001E06AA" w:rsidR="00C114D3" w:rsidP="004D38FC" w:rsidRDefault="00C114D3" w14:paraId="74D34A2B" w14:textId="77777777">
            <w:pPr>
              <w:spacing w:after="180"/>
              <w:ind w:right="-99"/>
              <w:rPr>
                <w:rFonts w:eastAsia="DengXian"/>
                <w:bCs/>
                <w:i/>
                <w:iCs/>
                <w:sz w:val="20"/>
                <w:lang w:eastAsia="ko-KR"/>
              </w:rPr>
            </w:pPr>
            <w:r w:rsidRPr="001E06AA">
              <w:rPr>
                <w:rFonts w:hint="eastAsia" w:eastAsia="DengXian"/>
                <w:bCs/>
                <w:i/>
                <w:iCs/>
                <w:sz w:val="20"/>
                <w:lang w:eastAsia="ko-KR"/>
              </w:rPr>
              <w:t xml:space="preserve">The detailed objectives are as </w:t>
            </w:r>
            <w:r w:rsidRPr="001E06AA">
              <w:rPr>
                <w:rFonts w:eastAsia="DengXian"/>
                <w:bCs/>
                <w:i/>
                <w:iCs/>
                <w:sz w:val="20"/>
                <w:lang w:eastAsia="ko-KR"/>
              </w:rPr>
              <w:t>follows</w:t>
            </w:r>
            <w:r w:rsidRPr="001E06AA">
              <w:rPr>
                <w:rFonts w:hint="eastAsia" w:eastAsia="DengXian"/>
                <w:bCs/>
                <w:i/>
                <w:iCs/>
                <w:sz w:val="20"/>
                <w:lang w:eastAsia="ko-KR"/>
              </w:rPr>
              <w:t>:</w:t>
            </w:r>
          </w:p>
          <w:p w:rsidRPr="001B0E21" w:rsidR="00C114D3" w:rsidP="00C114D3" w:rsidRDefault="00C114D3" w14:paraId="68D13D91" w14:textId="77777777">
            <w:pPr>
              <w:numPr>
                <w:ilvl w:val="0"/>
                <w:numId w:val="9"/>
              </w:numPr>
              <w:suppressAutoHyphens w:val="0"/>
              <w:snapToGrid/>
              <w:spacing w:after="180"/>
              <w:jc w:val="left"/>
              <w:rPr>
                <w:rFonts w:eastAsia="DengXian"/>
                <w:b/>
                <w:bCs/>
                <w:i/>
                <w:iCs/>
                <w:sz w:val="20"/>
                <w:lang w:eastAsia="en-GB"/>
              </w:rPr>
            </w:pPr>
            <w:r w:rsidRPr="001B0E21">
              <w:rPr>
                <w:rFonts w:eastAsia="DengXian"/>
                <w:b/>
                <w:bCs/>
                <w:i/>
                <w:iCs/>
                <w:sz w:val="20"/>
                <w:lang w:eastAsia="en-GB"/>
              </w:rPr>
              <w:t>Identify applicable and relevant deployment scenarios (RAN1).</w:t>
            </w:r>
          </w:p>
          <w:p w:rsidRPr="001B0E21" w:rsidR="00C114D3" w:rsidP="00C114D3" w:rsidRDefault="00C114D3" w14:paraId="3E33DDE2" w14:textId="77777777">
            <w:pPr>
              <w:numPr>
                <w:ilvl w:val="0"/>
                <w:numId w:val="9"/>
              </w:numPr>
              <w:suppressAutoHyphens w:val="0"/>
              <w:snapToGrid/>
              <w:spacing w:after="180"/>
              <w:jc w:val="left"/>
              <w:rPr>
                <w:rFonts w:eastAsia="DengXian"/>
                <w:b/>
                <w:bCs/>
                <w:i/>
                <w:iCs/>
                <w:sz w:val="20"/>
                <w:lang w:eastAsia="en-GB"/>
              </w:rPr>
            </w:pPr>
            <w:r w:rsidRPr="001B0E21">
              <w:rPr>
                <w:rFonts w:eastAsia="DengXian"/>
                <w:b/>
                <w:bCs/>
                <w:i/>
                <w:iCs/>
                <w:sz w:val="20"/>
                <w:lang w:eastAsia="en-GB"/>
              </w:rPr>
              <w:t>Develop evaluation methodology for duplex enhancement (RAN1).</w:t>
            </w:r>
          </w:p>
          <w:p w:rsidRPr="001E06AA" w:rsidR="00C114D3" w:rsidP="00C114D3" w:rsidRDefault="00C114D3" w14:paraId="66D40AC1" w14:textId="77777777">
            <w:pPr>
              <w:numPr>
                <w:ilvl w:val="0"/>
                <w:numId w:val="9"/>
              </w:numPr>
              <w:suppressAutoHyphens w:val="0"/>
              <w:snapToGrid/>
              <w:spacing w:after="180"/>
              <w:jc w:val="left"/>
              <w:rPr>
                <w:rFonts w:eastAsia="DengXian"/>
                <w:i/>
                <w:iCs/>
                <w:sz w:val="20"/>
                <w:lang w:eastAsia="en-GB"/>
              </w:rPr>
            </w:pPr>
            <w:r w:rsidRPr="00F2612C">
              <w:rPr>
                <w:rFonts w:hint="eastAsia"/>
                <w:i/>
                <w:iCs/>
                <w:sz w:val="20"/>
                <w:highlight w:val="yellow"/>
                <w:lang w:eastAsia="ko-KR"/>
              </w:rPr>
              <w:t xml:space="preserve">Study </w:t>
            </w:r>
            <w:r w:rsidRPr="00F2612C">
              <w:rPr>
                <w:i/>
                <w:iCs/>
                <w:sz w:val="20"/>
                <w:highlight w:val="yellow"/>
                <w:lang w:eastAsia="ko-KR"/>
              </w:rPr>
              <w:t xml:space="preserve">the subband non-overlapping full duplex and </w:t>
            </w:r>
            <w:bookmarkStart w:name="_Hlk89796625" w:id="3"/>
            <w:r w:rsidRPr="00F2612C">
              <w:rPr>
                <w:i/>
                <w:iCs/>
                <w:sz w:val="20"/>
                <w:highlight w:val="yellow"/>
                <w:lang w:eastAsia="ko-KR"/>
              </w:rPr>
              <w:t xml:space="preserve">potential enhancements on </w:t>
            </w:r>
            <w:r w:rsidRPr="00F2612C">
              <w:rPr>
                <w:bCs/>
                <w:i/>
                <w:iCs/>
                <w:sz w:val="20"/>
                <w:highlight w:val="yellow"/>
                <w:lang w:eastAsia="ko-KR"/>
              </w:rPr>
              <w:t>dynamic/flexible TDD</w:t>
            </w:r>
            <w:bookmarkEnd w:id="3"/>
            <w:r w:rsidRPr="001E06AA">
              <w:rPr>
                <w:bCs/>
                <w:i/>
                <w:iCs/>
                <w:sz w:val="20"/>
                <w:lang w:eastAsia="ko-KR"/>
              </w:rPr>
              <w:t xml:space="preserve"> (RAN1, RAN4).</w:t>
            </w:r>
          </w:p>
          <w:p w:rsidRPr="001E06AA" w:rsidR="00C114D3" w:rsidP="00E57637" w:rsidRDefault="00C114D3" w14:paraId="6FAD7E47" w14:textId="77777777">
            <w:pPr>
              <w:numPr>
                <w:ilvl w:val="0"/>
                <w:numId w:val="13"/>
              </w:numPr>
              <w:suppressAutoHyphens w:val="0"/>
              <w:snapToGrid/>
              <w:spacing w:after="180"/>
              <w:contextualSpacing/>
              <w:jc w:val="left"/>
              <w:rPr>
                <w:bCs/>
                <w:i/>
                <w:iCs/>
                <w:sz w:val="20"/>
                <w:lang w:eastAsia="ko-KR"/>
              </w:rPr>
            </w:pPr>
            <w:r w:rsidRPr="001E06AA">
              <w:rPr>
                <w:bCs/>
                <w:i/>
                <w:iCs/>
                <w:sz w:val="20"/>
                <w:lang w:eastAsia="ko-KR"/>
              </w:rPr>
              <w:t>Identify possible schemes and evaluate their feasibility and performances (RAN1).</w:t>
            </w:r>
          </w:p>
          <w:p w:rsidRPr="001E06AA" w:rsidR="00C114D3" w:rsidP="00E57637" w:rsidRDefault="00C114D3" w14:paraId="6DD266C5" w14:textId="77777777">
            <w:pPr>
              <w:numPr>
                <w:ilvl w:val="0"/>
                <w:numId w:val="14"/>
              </w:numPr>
              <w:suppressAutoHyphens w:val="0"/>
              <w:snapToGrid/>
              <w:spacing w:after="180"/>
              <w:contextualSpacing/>
              <w:jc w:val="left"/>
              <w:rPr>
                <w:bCs/>
                <w:i/>
                <w:iCs/>
                <w:sz w:val="20"/>
                <w:lang w:eastAsia="ko-KR"/>
              </w:rPr>
            </w:pPr>
            <w:r w:rsidRPr="001E06AA">
              <w:rPr>
                <w:bCs/>
                <w:i/>
                <w:iCs/>
                <w:sz w:val="20"/>
                <w:lang w:eastAsia="ko-KR"/>
              </w:rPr>
              <w:t xml:space="preserve">Study inter-gNB and inter-UE CLI handling and identify solutions to manage them (RAN1). </w:t>
            </w:r>
          </w:p>
          <w:p w:rsidRPr="001E06AA" w:rsidR="00C114D3" w:rsidP="00E57637" w:rsidRDefault="00C114D3" w14:paraId="3BBD92DF" w14:textId="77777777">
            <w:pPr>
              <w:numPr>
                <w:ilvl w:val="1"/>
                <w:numId w:val="12"/>
              </w:numPr>
              <w:suppressAutoHyphens w:val="0"/>
              <w:snapToGrid/>
              <w:spacing w:after="180"/>
              <w:contextualSpacing/>
              <w:jc w:val="left"/>
              <w:rPr>
                <w:bCs/>
                <w:i/>
                <w:iCs/>
                <w:sz w:val="20"/>
                <w:lang w:eastAsia="ko-KR"/>
              </w:rPr>
            </w:pPr>
            <w:r w:rsidRPr="001E06AA">
              <w:rPr>
                <w:bCs/>
                <w:i/>
                <w:iCs/>
                <w:sz w:val="20"/>
                <w:lang w:eastAsia="ko-KR"/>
              </w:rPr>
              <w:t xml:space="preserve">Consider intra-subband CLI and inter-subband CLI in case of the </w:t>
            </w:r>
            <w:r w:rsidRPr="001E06AA">
              <w:rPr>
                <w:i/>
                <w:iCs/>
                <w:sz w:val="20"/>
                <w:lang w:eastAsia="ko-KR"/>
              </w:rPr>
              <w:t>subband non-overlapping full duplex</w:t>
            </w:r>
            <w:r w:rsidRPr="001E06AA">
              <w:rPr>
                <w:bCs/>
                <w:i/>
                <w:iCs/>
                <w:sz w:val="20"/>
                <w:lang w:eastAsia="ko-KR"/>
              </w:rPr>
              <w:t>.</w:t>
            </w:r>
          </w:p>
          <w:p w:rsidRPr="001E06AA" w:rsidR="007E42FA" w:rsidP="007E42FA" w:rsidRDefault="007E42FA" w14:paraId="76FF5DFE" w14:textId="77777777">
            <w:pPr>
              <w:suppressAutoHyphens w:val="0"/>
              <w:snapToGrid/>
              <w:spacing w:after="180"/>
              <w:ind w:left="1520"/>
              <w:contextualSpacing/>
              <w:jc w:val="left"/>
              <w:rPr>
                <w:bCs/>
                <w:i/>
                <w:iCs/>
                <w:sz w:val="20"/>
                <w:lang w:eastAsia="ko-KR"/>
              </w:rPr>
            </w:pPr>
          </w:p>
          <w:p w:rsidRPr="001E06AA" w:rsidR="00C114D3" w:rsidP="00E57637" w:rsidRDefault="00C114D3" w14:paraId="72B83FDD" w14:textId="77777777">
            <w:pPr>
              <w:numPr>
                <w:ilvl w:val="0"/>
                <w:numId w:val="15"/>
              </w:numPr>
              <w:suppressAutoHyphens w:val="0"/>
              <w:snapToGrid/>
              <w:spacing w:after="180"/>
              <w:contextualSpacing/>
              <w:jc w:val="left"/>
              <w:rPr>
                <w:bCs/>
                <w:i/>
                <w:iCs/>
                <w:sz w:val="20"/>
                <w:lang w:eastAsia="ko-KR"/>
              </w:rPr>
            </w:pPr>
            <w:r w:rsidRPr="001E06AA">
              <w:rPr>
                <w:bCs/>
                <w:i/>
                <w:iCs/>
                <w:sz w:val="20"/>
                <w:lang w:eastAsia="ko-KR"/>
              </w:rPr>
              <w:t>Study the performance of the identified schemes as well as the impact on legacy operation assuming their co-existence in co-channel and adjacent channels (RAN1).</w:t>
            </w:r>
          </w:p>
          <w:p w:rsidRPr="001E06AA" w:rsidR="003731DD" w:rsidP="003731DD" w:rsidRDefault="003731DD" w14:paraId="27850A7A" w14:textId="77777777">
            <w:pPr>
              <w:suppressAutoHyphens w:val="0"/>
              <w:snapToGrid/>
              <w:spacing w:after="180"/>
              <w:ind w:left="1080"/>
              <w:contextualSpacing/>
              <w:jc w:val="left"/>
              <w:rPr>
                <w:bCs/>
                <w:i/>
                <w:iCs/>
                <w:sz w:val="20"/>
                <w:lang w:eastAsia="ko-KR"/>
              </w:rPr>
            </w:pPr>
          </w:p>
          <w:p w:rsidRPr="001E06AA" w:rsidR="00C114D3" w:rsidP="00E57637" w:rsidRDefault="00C114D3" w14:paraId="2176ECBC" w14:textId="77777777">
            <w:pPr>
              <w:numPr>
                <w:ilvl w:val="0"/>
                <w:numId w:val="16"/>
              </w:numPr>
              <w:suppressAutoHyphens w:val="0"/>
              <w:snapToGrid/>
              <w:spacing w:after="180"/>
              <w:contextualSpacing/>
              <w:jc w:val="left"/>
              <w:rPr>
                <w:bCs/>
                <w:i/>
                <w:iCs/>
                <w:sz w:val="20"/>
                <w:lang w:eastAsia="ko-KR"/>
              </w:rPr>
            </w:pPr>
            <w:r w:rsidRPr="001E06AA">
              <w:rPr>
                <w:bCs/>
                <w:i/>
                <w:iCs/>
                <w:sz w:val="20"/>
                <w:lang w:eastAsia="ko-KR"/>
              </w:rPr>
              <w:t>Study the feasibility of and impact on RF requirements considering adjacent-channel co-existence with the legacy operation (RAN4).</w:t>
            </w:r>
          </w:p>
          <w:p w:rsidRPr="001E06AA" w:rsidR="003731DD" w:rsidP="003731DD" w:rsidRDefault="003731DD" w14:paraId="03BD49E7" w14:textId="77777777">
            <w:pPr>
              <w:suppressAutoHyphens w:val="0"/>
              <w:snapToGrid/>
              <w:spacing w:after="180"/>
              <w:ind w:left="1080"/>
              <w:contextualSpacing/>
              <w:jc w:val="left"/>
              <w:rPr>
                <w:bCs/>
                <w:i/>
                <w:iCs/>
                <w:sz w:val="20"/>
                <w:lang w:eastAsia="ko-KR"/>
              </w:rPr>
            </w:pPr>
          </w:p>
          <w:p w:rsidRPr="001E06AA" w:rsidR="00C114D3" w:rsidP="00E57637" w:rsidRDefault="00C114D3" w14:paraId="6A64AE0E" w14:textId="77777777">
            <w:pPr>
              <w:numPr>
                <w:ilvl w:val="0"/>
                <w:numId w:val="17"/>
              </w:numPr>
              <w:suppressAutoHyphens w:val="0"/>
              <w:snapToGrid/>
              <w:spacing w:after="180"/>
              <w:contextualSpacing/>
              <w:jc w:val="left"/>
              <w:rPr>
                <w:bCs/>
                <w:i/>
                <w:iCs/>
                <w:sz w:val="20"/>
                <w:lang w:eastAsia="ko-KR"/>
              </w:rPr>
            </w:pPr>
            <w:r w:rsidRPr="001E06AA">
              <w:rPr>
                <w:bCs/>
                <w:i/>
                <w:iCs/>
                <w:sz w:val="20"/>
                <w:lang w:eastAsia="ko-KR"/>
              </w:rPr>
              <w:t>Study the feasibility of and impact on RF requirements considering the self-interference, the inter-subband CLI, and the inter-operator CLI at gNB and the inter-subband CLI and inter-operator CLI at UE (RAN4).</w:t>
            </w:r>
          </w:p>
          <w:p w:rsidRPr="001E06AA" w:rsidR="007E42FA" w:rsidP="007E42FA" w:rsidRDefault="007E42FA" w14:paraId="73CF41E3" w14:textId="77777777">
            <w:pPr>
              <w:suppressAutoHyphens w:val="0"/>
              <w:snapToGrid/>
              <w:spacing w:after="180"/>
              <w:ind w:left="1080"/>
              <w:contextualSpacing/>
              <w:jc w:val="left"/>
              <w:rPr>
                <w:bCs/>
                <w:i/>
                <w:iCs/>
                <w:sz w:val="20"/>
                <w:lang w:eastAsia="ko-KR"/>
              </w:rPr>
            </w:pPr>
          </w:p>
          <w:p w:rsidRPr="009134F8" w:rsidR="00C114D3" w:rsidP="00E57637" w:rsidRDefault="00C114D3" w14:paraId="33762D0C" w14:textId="77777777">
            <w:pPr>
              <w:numPr>
                <w:ilvl w:val="0"/>
                <w:numId w:val="18"/>
              </w:numPr>
              <w:suppressAutoHyphens w:val="0"/>
              <w:snapToGrid/>
              <w:spacing w:after="180"/>
              <w:contextualSpacing/>
              <w:jc w:val="left"/>
              <w:rPr>
                <w:bCs/>
                <w:i/>
                <w:iCs/>
                <w:sz w:val="20"/>
                <w:lang w:eastAsia="ko-KR"/>
              </w:rPr>
            </w:pPr>
            <w:r w:rsidRPr="001E06AA">
              <w:rPr>
                <w:bCs/>
                <w:i/>
                <w:i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w:t>
            </w:r>
            <w:r w:rsidRPr="009134F8">
              <w:rPr>
                <w:bCs/>
                <w:i/>
                <w:iCs/>
                <w:sz w:val="20"/>
                <w:lang w:eastAsia="ko-KR"/>
              </w:rPr>
              <w:t>rence suppression.</w:t>
            </w:r>
          </w:p>
          <w:p w:rsidRPr="009134F8" w:rsidR="007E42FA" w:rsidP="007E42FA" w:rsidRDefault="007E42FA" w14:paraId="651CB3C8" w14:textId="77777777">
            <w:pPr>
              <w:suppressAutoHyphens w:val="0"/>
              <w:snapToGrid/>
              <w:spacing w:after="180"/>
              <w:ind w:left="1080"/>
              <w:contextualSpacing/>
              <w:jc w:val="left"/>
              <w:rPr>
                <w:bCs/>
                <w:i/>
                <w:iCs/>
                <w:sz w:val="20"/>
                <w:lang w:eastAsia="ko-KR"/>
              </w:rPr>
            </w:pPr>
          </w:p>
          <w:p w:rsidRPr="00E70AB6" w:rsidR="00C114D3" w:rsidP="00E57637" w:rsidRDefault="00C114D3" w14:paraId="57AAF6A8" w14:textId="77777777">
            <w:pPr>
              <w:numPr>
                <w:ilvl w:val="0"/>
                <w:numId w:val="19"/>
              </w:numPr>
              <w:suppressAutoHyphens w:val="0"/>
              <w:snapToGrid/>
              <w:spacing w:after="180"/>
              <w:contextualSpacing/>
              <w:jc w:val="left"/>
              <w:rPr>
                <w:rFonts w:eastAsia="DengXian"/>
                <w:sz w:val="20"/>
                <w:lang w:eastAsia="en-GB"/>
              </w:rPr>
            </w:pPr>
            <w:r w:rsidRPr="009134F8">
              <w:rPr>
                <w:rFonts w:eastAsia="DengXian"/>
                <w:i/>
                <w:iCs/>
                <w:sz w:val="20"/>
                <w:lang w:eastAsia="en-GB"/>
              </w:rPr>
              <w:t>Summarize the regulatory aspects that have to be considered for deploying the identified duplex enhancements in TDD unpaired spectrum (RAN4).</w:t>
            </w:r>
          </w:p>
        </w:tc>
      </w:tr>
    </w:tbl>
    <w:p w:rsidR="00C114D3" w:rsidRDefault="00C114D3" w14:paraId="04FBB4B3" w14:textId="77777777"/>
    <w:p w:rsidR="006B1CEC" w:rsidRDefault="00204729" w14:paraId="536938F6" w14:textId="1F207F98">
      <w:r>
        <w:t xml:space="preserve">In this contribution, we present our views on </w:t>
      </w:r>
      <w:r w:rsidR="00FF33C0">
        <w:t>potential enhancements</w:t>
      </w:r>
      <w:r w:rsidR="00DE68BE">
        <w:t xml:space="preserve"> of the sub-band full duplex (SBFD)</w:t>
      </w:r>
      <w:r w:rsidR="00FF33C0">
        <w:t xml:space="preserve">. </w:t>
      </w:r>
    </w:p>
    <w:p w:rsidR="00C92A0D" w:rsidRDefault="00C92A0D" w14:paraId="191FB2E2" w14:textId="77777777"/>
    <w:p w:rsidR="00C92A0D" w:rsidRDefault="00C92A0D" w14:paraId="52F1ADA9" w14:textId="77777777"/>
    <w:p w:rsidR="006E6521" w:rsidP="0023450F" w:rsidRDefault="006E6521" w14:paraId="61354935" w14:textId="77777777">
      <w:pPr>
        <w:pBdr>
          <w:bottom w:val="single" w:color="auto" w:sz="6" w:space="5"/>
        </w:pBdr>
      </w:pPr>
    </w:p>
    <w:p w:rsidRPr="002D478D" w:rsidR="00CF6E6E" w:rsidP="002D478D" w:rsidRDefault="00400ADB" w14:paraId="59031261" w14:textId="5639A6B8">
      <w:pPr>
        <w:pStyle w:val="Heading1"/>
        <w:rPr>
          <w:sz w:val="36"/>
          <w:szCs w:val="36"/>
        </w:rPr>
      </w:pPr>
      <w:r>
        <w:rPr>
          <w:sz w:val="36"/>
          <w:szCs w:val="36"/>
        </w:rPr>
        <w:t>Implementation of SBFD</w:t>
      </w:r>
    </w:p>
    <w:p w:rsidR="009A4702" w:rsidP="00D44628" w:rsidRDefault="009A4702" w14:paraId="3B8ECA0A" w14:textId="77777777">
      <w:pPr>
        <w:keepNext/>
        <w:rPr>
          <w:color w:val="000000" w:themeColor="text1"/>
        </w:rPr>
      </w:pPr>
    </w:p>
    <w:p w:rsidR="005A49F2" w:rsidP="00D44628" w:rsidRDefault="009F3E2F" w14:paraId="3653F92F" w14:textId="3B569C04">
      <w:pPr>
        <w:keepNext/>
        <w:rPr>
          <w:color w:val="000000" w:themeColor="text1"/>
        </w:rPr>
      </w:pPr>
      <w:r>
        <w:rPr>
          <w:color w:val="000000" w:themeColor="text1"/>
        </w:rPr>
        <w:t xml:space="preserve">In conventional dynamic TDD systems, </w:t>
      </w:r>
      <w:r w:rsidR="00FF0E47">
        <w:rPr>
          <w:color w:val="000000" w:themeColor="text1"/>
        </w:rPr>
        <w:t xml:space="preserve">the offered capacity is dynamically adapted to the asymmetric downlink and uplink traffic volumes. However, </w:t>
      </w:r>
      <w:r w:rsidR="005A49F2">
        <w:rPr>
          <w:color w:val="000000" w:themeColor="text1"/>
        </w:rPr>
        <w:t xml:space="preserve">there is always an </w:t>
      </w:r>
      <w:r w:rsidR="006352E2">
        <w:rPr>
          <w:color w:val="000000" w:themeColor="text1"/>
        </w:rPr>
        <w:t>exclusive</w:t>
      </w:r>
      <w:r w:rsidR="005A49F2">
        <w:rPr>
          <w:color w:val="000000" w:themeColor="text1"/>
        </w:rPr>
        <w:t xml:space="preserve"> </w:t>
      </w:r>
      <w:r w:rsidR="00FB57F9">
        <w:rPr>
          <w:color w:val="000000" w:themeColor="text1"/>
        </w:rPr>
        <w:t>transmission direction at a time</w:t>
      </w:r>
      <w:r w:rsidR="004160A2">
        <w:rPr>
          <w:color w:val="000000" w:themeColor="text1"/>
        </w:rPr>
        <w:t xml:space="preserve"> in a given TDD frame format. </w:t>
      </w:r>
      <w:r w:rsidR="009F7186">
        <w:rPr>
          <w:color w:val="000000" w:themeColor="text1"/>
        </w:rPr>
        <w:t xml:space="preserve">This may result in a lack of </w:t>
      </w:r>
      <w:r w:rsidR="008B02DD">
        <w:rPr>
          <w:color w:val="000000" w:themeColor="text1"/>
        </w:rPr>
        <w:t xml:space="preserve">availability </w:t>
      </w:r>
      <w:r w:rsidR="00CF2218">
        <w:rPr>
          <w:color w:val="000000" w:themeColor="text1"/>
        </w:rPr>
        <w:t>of</w:t>
      </w:r>
      <w:r w:rsidR="008B02DD">
        <w:rPr>
          <w:color w:val="000000" w:themeColor="text1"/>
        </w:rPr>
        <w:t xml:space="preserve"> </w:t>
      </w:r>
      <w:r w:rsidR="009F7186">
        <w:rPr>
          <w:color w:val="000000" w:themeColor="text1"/>
        </w:rPr>
        <w:t xml:space="preserve">fast transmission opportunities for either the uplink or downlink packets. </w:t>
      </w:r>
      <w:r w:rsidR="00465A90">
        <w:rPr>
          <w:color w:val="000000" w:themeColor="text1"/>
        </w:rPr>
        <w:t xml:space="preserve">Specifically for uplink direction, this results in a </w:t>
      </w:r>
      <w:r w:rsidR="000A2C22">
        <w:rPr>
          <w:color w:val="000000" w:themeColor="text1"/>
        </w:rPr>
        <w:t>degraded</w:t>
      </w:r>
      <w:r w:rsidR="00465A90">
        <w:rPr>
          <w:color w:val="000000" w:themeColor="text1"/>
        </w:rPr>
        <w:t xml:space="preserve"> uplink performance, increased uplink </w:t>
      </w:r>
      <w:r w:rsidR="000A2C22">
        <w:rPr>
          <w:color w:val="000000" w:themeColor="text1"/>
        </w:rPr>
        <w:t>latency</w:t>
      </w:r>
      <w:r w:rsidR="00465A90">
        <w:rPr>
          <w:color w:val="000000" w:themeColor="text1"/>
        </w:rPr>
        <w:t>, and reduced coverage</w:t>
      </w:r>
      <w:r w:rsidR="007E378F">
        <w:rPr>
          <w:color w:val="000000" w:themeColor="text1"/>
        </w:rPr>
        <w:t>, respectively</w:t>
      </w:r>
      <w:r w:rsidR="00465A90">
        <w:rPr>
          <w:color w:val="000000" w:themeColor="text1"/>
        </w:rPr>
        <w:t xml:space="preserve">. </w:t>
      </w:r>
    </w:p>
    <w:p w:rsidR="00CF6E6E" w:rsidP="00D44628" w:rsidRDefault="00AF382E" w14:paraId="1C6D52A9" w14:textId="6AE2D789">
      <w:pPr>
        <w:keepNext/>
        <w:rPr>
          <w:color w:val="000000" w:themeColor="text1"/>
        </w:rPr>
      </w:pPr>
      <w:r>
        <w:rPr>
          <w:color w:val="000000" w:themeColor="text1"/>
        </w:rPr>
        <w:t xml:space="preserve">Hence, </w:t>
      </w:r>
      <w:r w:rsidR="006B1825">
        <w:rPr>
          <w:color w:val="000000" w:themeColor="text1"/>
        </w:rPr>
        <w:t>sub-band full duplex (</w:t>
      </w:r>
      <w:r w:rsidR="00950A9F">
        <w:rPr>
          <w:color w:val="000000" w:themeColor="text1"/>
        </w:rPr>
        <w:t>SBFD</w:t>
      </w:r>
      <w:r w:rsidR="006B1825">
        <w:rPr>
          <w:color w:val="000000" w:themeColor="text1"/>
        </w:rPr>
        <w:t>)</w:t>
      </w:r>
      <w:r w:rsidR="00950A9F">
        <w:rPr>
          <w:color w:val="000000" w:themeColor="text1"/>
        </w:rPr>
        <w:t xml:space="preserve"> </w:t>
      </w:r>
      <w:r w:rsidR="009F3E2F">
        <w:rPr>
          <w:color w:val="000000" w:themeColor="text1"/>
        </w:rPr>
        <w:t xml:space="preserve">increases the number of </w:t>
      </w:r>
      <w:r w:rsidR="00EB080B">
        <w:rPr>
          <w:color w:val="000000" w:themeColor="text1"/>
        </w:rPr>
        <w:t xml:space="preserve">available </w:t>
      </w:r>
      <w:r w:rsidR="00301C67">
        <w:rPr>
          <w:color w:val="000000" w:themeColor="text1"/>
        </w:rPr>
        <w:t xml:space="preserve">bidirectional </w:t>
      </w:r>
      <w:r w:rsidR="009F3E2F">
        <w:rPr>
          <w:color w:val="000000" w:themeColor="text1"/>
        </w:rPr>
        <w:t>transmission oppor</w:t>
      </w:r>
      <w:r w:rsidR="00B01265">
        <w:rPr>
          <w:color w:val="000000" w:themeColor="text1"/>
        </w:rPr>
        <w:t xml:space="preserve">tunities </w:t>
      </w:r>
      <w:r w:rsidR="00301C67">
        <w:rPr>
          <w:color w:val="000000" w:themeColor="text1"/>
        </w:rPr>
        <w:t xml:space="preserve">withing a TDD frame. With SBFD, </w:t>
      </w:r>
      <w:r w:rsidR="00B15028">
        <w:rPr>
          <w:color w:val="000000" w:themeColor="text1"/>
        </w:rPr>
        <w:t xml:space="preserve">non-overlapping </w:t>
      </w:r>
      <w:r w:rsidR="0075153E">
        <w:rPr>
          <w:color w:val="000000" w:themeColor="text1"/>
        </w:rPr>
        <w:t xml:space="preserve">downlink </w:t>
      </w:r>
      <w:r w:rsidR="00B15028">
        <w:rPr>
          <w:color w:val="000000" w:themeColor="text1"/>
        </w:rPr>
        <w:t>sub-band</w:t>
      </w:r>
      <w:r w:rsidR="0075153E">
        <w:rPr>
          <w:color w:val="000000" w:themeColor="text1"/>
        </w:rPr>
        <w:t xml:space="preserve">s coexist during uplink slots and uplink sub-bands coexist </w:t>
      </w:r>
      <w:r w:rsidR="00BC6DCC">
        <w:rPr>
          <w:color w:val="000000" w:themeColor="text1"/>
        </w:rPr>
        <w:t>during corresponding downlink slots. This reduces the TDD buff</w:t>
      </w:r>
      <w:r w:rsidR="003E3713">
        <w:rPr>
          <w:color w:val="000000" w:themeColor="text1"/>
        </w:rPr>
        <w:t xml:space="preserve">ering delay due to the </w:t>
      </w:r>
      <w:r w:rsidR="000A44A4">
        <w:rPr>
          <w:color w:val="000000" w:themeColor="text1"/>
        </w:rPr>
        <w:t>exclusive</w:t>
      </w:r>
      <w:r w:rsidR="003E3713">
        <w:rPr>
          <w:color w:val="000000" w:themeColor="text1"/>
        </w:rPr>
        <w:t xml:space="preserve"> TDD transmission opportunity at a time. </w:t>
      </w:r>
      <w:r w:rsidR="000A44A4">
        <w:rPr>
          <w:color w:val="000000" w:themeColor="text1"/>
        </w:rPr>
        <w:t xml:space="preserve">As depicted by Fig. 1, </w:t>
      </w:r>
      <w:r w:rsidR="00631702">
        <w:rPr>
          <w:color w:val="000000" w:themeColor="text1"/>
        </w:rPr>
        <w:t xml:space="preserve">with SBFDs, gNB </w:t>
      </w:r>
      <w:r w:rsidR="00BE284B">
        <w:rPr>
          <w:color w:val="000000" w:themeColor="text1"/>
        </w:rPr>
        <w:t xml:space="preserve">can flexibility </w:t>
      </w:r>
      <w:r w:rsidR="003F67A8">
        <w:rPr>
          <w:color w:val="000000" w:themeColor="text1"/>
        </w:rPr>
        <w:t xml:space="preserve">adapt the SBFD sizes and locations according to the experienced </w:t>
      </w:r>
      <w:r w:rsidR="00B9228C">
        <w:rPr>
          <w:color w:val="000000" w:themeColor="text1"/>
        </w:rPr>
        <w:t>interference and available downlink and uplink traffic.</w:t>
      </w:r>
    </w:p>
    <w:p w:rsidR="002D478D" w:rsidP="00D44628" w:rsidRDefault="002D478D" w14:paraId="65985A0C" w14:textId="77777777">
      <w:pPr>
        <w:keepNext/>
        <w:rPr>
          <w:color w:val="000000" w:themeColor="text1"/>
        </w:rPr>
      </w:pPr>
    </w:p>
    <w:p w:rsidR="005E28EA" w:rsidP="005E28EA" w:rsidRDefault="009F20D4" w14:paraId="51EC3E3E" w14:textId="39AC3D3E">
      <w:pPr>
        <w:keepNext/>
        <w:jc w:val="center"/>
      </w:pPr>
      <w:r>
        <w:rPr>
          <w:noProof/>
        </w:rPr>
        <w:drawing>
          <wp:inline distT="0" distB="0" distL="0" distR="0" wp14:anchorId="15861C56" wp14:editId="54F9DC58">
            <wp:extent cx="5442969" cy="2914332"/>
            <wp:effectExtent l="0" t="0" r="0" b="0"/>
            <wp:docPr id="6" name="Picture 6"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47487" cy="2916751"/>
                    </a:xfrm>
                    <a:prstGeom prst="rect">
                      <a:avLst/>
                    </a:prstGeom>
                  </pic:spPr>
                </pic:pic>
              </a:graphicData>
            </a:graphic>
          </wp:inline>
        </w:drawing>
      </w:r>
    </w:p>
    <w:p w:rsidRPr="00CF1AA9" w:rsidR="00221596" w:rsidP="00221596" w:rsidRDefault="005E28EA" w14:paraId="5CD5E765" w14:textId="77777777">
      <w:pPr>
        <w:pStyle w:val="Caption"/>
        <w:jc w:val="center"/>
        <w:rPr>
          <w:i w:val="0"/>
          <w:iCs w:val="0"/>
          <w:color w:val="000000" w:themeColor="text1"/>
        </w:rPr>
      </w:pPr>
      <w:r w:rsidRPr="005E28EA">
        <w:rPr>
          <w:i w:val="0"/>
          <w:iCs w:val="0"/>
        </w:rPr>
        <w:t xml:space="preserve">Figure </w:t>
      </w:r>
      <w:r w:rsidRPr="005E28EA">
        <w:rPr>
          <w:i w:val="0"/>
          <w:iCs w:val="0"/>
        </w:rPr>
        <w:fldChar w:fldCharType="begin"/>
      </w:r>
      <w:r w:rsidRPr="005E28EA">
        <w:rPr>
          <w:i w:val="0"/>
          <w:iCs w:val="0"/>
        </w:rPr>
        <w:instrText xml:space="preserve"> SEQ Figure \* ARABIC </w:instrText>
      </w:r>
      <w:r w:rsidRPr="005E28EA">
        <w:rPr>
          <w:i w:val="0"/>
          <w:iCs w:val="0"/>
        </w:rPr>
        <w:fldChar w:fldCharType="separate"/>
      </w:r>
      <w:r w:rsidR="00CF1AA9">
        <w:rPr>
          <w:i w:val="0"/>
          <w:iCs w:val="0"/>
          <w:noProof/>
        </w:rPr>
        <w:t>1</w:t>
      </w:r>
      <w:r w:rsidRPr="005E28EA">
        <w:rPr>
          <w:i w:val="0"/>
          <w:iCs w:val="0"/>
        </w:rPr>
        <w:fldChar w:fldCharType="end"/>
      </w:r>
      <w:r w:rsidRPr="005E28EA">
        <w:rPr>
          <w:i w:val="0"/>
          <w:iCs w:val="0"/>
        </w:rPr>
        <w:t xml:space="preserve">: </w:t>
      </w:r>
      <w:r w:rsidRPr="00CF1AA9" w:rsidR="00221596">
        <w:rPr>
          <w:i w:val="0"/>
          <w:iCs w:val="0"/>
        </w:rPr>
        <w:t>NR sub-band full duplex.</w:t>
      </w:r>
    </w:p>
    <w:p w:rsidRPr="00CB7D07" w:rsidR="00F23F7C" w:rsidP="00CB7D07" w:rsidRDefault="00193AC3" w14:paraId="29503F7C" w14:textId="24CABA21">
      <w:pPr>
        <w:pStyle w:val="Caption"/>
        <w:rPr>
          <w:i w:val="0"/>
          <w:iCs w:val="0"/>
          <w:color w:val="000000" w:themeColor="text1"/>
        </w:rPr>
      </w:pPr>
      <w:r>
        <w:rPr>
          <w:i w:val="0"/>
          <w:iCs w:val="0"/>
          <w:color w:val="000000" w:themeColor="text1"/>
        </w:rPr>
        <w:t xml:space="preserve">Accordingly, </w:t>
      </w:r>
      <w:r w:rsidR="0023752D">
        <w:rPr>
          <w:i w:val="0"/>
          <w:iCs w:val="0"/>
          <w:color w:val="000000" w:themeColor="text1"/>
        </w:rPr>
        <w:t>SBFD has different use-cases in both downlink and uplink directions</w:t>
      </w:r>
      <w:r w:rsidR="002C4203">
        <w:rPr>
          <w:i w:val="0"/>
          <w:iCs w:val="0"/>
          <w:color w:val="000000" w:themeColor="text1"/>
        </w:rPr>
        <w:t xml:space="preserve">, </w:t>
      </w:r>
      <w:r w:rsidR="00AA76B9">
        <w:rPr>
          <w:i w:val="0"/>
          <w:iCs w:val="0"/>
          <w:color w:val="000000" w:themeColor="text1"/>
        </w:rPr>
        <w:t>where</w:t>
      </w:r>
      <w:r w:rsidR="002C4203">
        <w:rPr>
          <w:i w:val="0"/>
          <w:iCs w:val="0"/>
          <w:color w:val="000000" w:themeColor="text1"/>
        </w:rPr>
        <w:t xml:space="preserve"> each has a certain impact on the resulting cross link interfere (CLI), and downlink/uplink performance</w:t>
      </w:r>
      <w:r w:rsidR="0023752D">
        <w:rPr>
          <w:i w:val="0"/>
          <w:iCs w:val="0"/>
          <w:color w:val="000000" w:themeColor="text1"/>
        </w:rPr>
        <w:t>.</w:t>
      </w:r>
      <w:r w:rsidR="00EC5B91">
        <w:rPr>
          <w:i w:val="0"/>
          <w:iCs w:val="0"/>
          <w:color w:val="000000" w:themeColor="text1"/>
        </w:rPr>
        <w:t xml:space="preserve"> Furthermore, t</w:t>
      </w:r>
      <w:r w:rsidR="001C66E6">
        <w:rPr>
          <w:i w:val="0"/>
          <w:iCs w:val="0"/>
          <w:color w:val="000000" w:themeColor="text1"/>
        </w:rPr>
        <w:t xml:space="preserve">he </w:t>
      </w:r>
      <w:r w:rsidR="004123A4">
        <w:rPr>
          <w:i w:val="0"/>
          <w:iCs w:val="0"/>
          <w:color w:val="000000" w:themeColor="text1"/>
        </w:rPr>
        <w:t xml:space="preserve">various </w:t>
      </w:r>
      <w:r w:rsidR="001C66E6">
        <w:rPr>
          <w:i w:val="0"/>
          <w:iCs w:val="0"/>
          <w:color w:val="000000" w:themeColor="text1"/>
        </w:rPr>
        <w:t>implementation</w:t>
      </w:r>
      <w:r w:rsidR="004123A4">
        <w:rPr>
          <w:i w:val="0"/>
          <w:iCs w:val="0"/>
          <w:color w:val="000000" w:themeColor="text1"/>
        </w:rPr>
        <w:t>s</w:t>
      </w:r>
      <w:r w:rsidR="001C66E6">
        <w:rPr>
          <w:i w:val="0"/>
          <w:iCs w:val="0"/>
          <w:color w:val="000000" w:themeColor="text1"/>
        </w:rPr>
        <w:t xml:space="preserve"> of SBFD </w:t>
      </w:r>
      <w:r w:rsidR="004123A4">
        <w:rPr>
          <w:i w:val="0"/>
          <w:iCs w:val="0"/>
          <w:color w:val="000000" w:themeColor="text1"/>
        </w:rPr>
        <w:t>require</w:t>
      </w:r>
      <w:r w:rsidR="00174CDF">
        <w:rPr>
          <w:i w:val="0"/>
          <w:iCs w:val="0"/>
          <w:color w:val="000000" w:themeColor="text1"/>
        </w:rPr>
        <w:t xml:space="preserve"> </w:t>
      </w:r>
      <w:r w:rsidR="004123A4">
        <w:rPr>
          <w:i w:val="0"/>
          <w:iCs w:val="0"/>
          <w:color w:val="000000" w:themeColor="text1"/>
        </w:rPr>
        <w:t>different</w:t>
      </w:r>
      <w:r w:rsidR="00174CDF">
        <w:rPr>
          <w:i w:val="0"/>
          <w:iCs w:val="0"/>
          <w:color w:val="000000" w:themeColor="text1"/>
        </w:rPr>
        <w:t xml:space="preserve"> time and frequency </w:t>
      </w:r>
      <w:r w:rsidRPr="00453D98" w:rsidR="00453D98">
        <w:rPr>
          <w:i w:val="0"/>
          <w:iCs w:val="0"/>
          <w:color w:val="000000" w:themeColor="text1"/>
        </w:rPr>
        <w:t>granularities</w:t>
      </w:r>
      <w:r w:rsidR="007650F1">
        <w:rPr>
          <w:i w:val="0"/>
          <w:iCs w:val="0"/>
          <w:color w:val="000000" w:themeColor="text1"/>
        </w:rPr>
        <w:t xml:space="preserve">. For instance, SBFD can be utilized to offer more </w:t>
      </w:r>
      <w:r w:rsidR="00763252">
        <w:rPr>
          <w:i w:val="0"/>
          <w:iCs w:val="0"/>
          <w:color w:val="000000" w:themeColor="text1"/>
        </w:rPr>
        <w:t>feedback transmission opportunities for uplink control channel</w:t>
      </w:r>
      <w:r w:rsidR="009A5979">
        <w:rPr>
          <w:i w:val="0"/>
          <w:iCs w:val="0"/>
          <w:color w:val="000000" w:themeColor="text1"/>
        </w:rPr>
        <w:t>s</w:t>
      </w:r>
      <w:r w:rsidR="00763252">
        <w:rPr>
          <w:i w:val="0"/>
          <w:iCs w:val="0"/>
          <w:color w:val="000000" w:themeColor="text1"/>
        </w:rPr>
        <w:t xml:space="preserve">. Therefore, </w:t>
      </w:r>
      <w:r w:rsidR="00796212">
        <w:rPr>
          <w:i w:val="0"/>
          <w:iCs w:val="0"/>
          <w:color w:val="000000" w:themeColor="text1"/>
        </w:rPr>
        <w:t xml:space="preserve">the SBFD </w:t>
      </w:r>
      <w:r w:rsidR="009A5979">
        <w:rPr>
          <w:i w:val="0"/>
          <w:iCs w:val="0"/>
          <w:color w:val="000000" w:themeColor="text1"/>
        </w:rPr>
        <w:t>implementations have various impacts on the various radio channels</w:t>
      </w:r>
      <w:r w:rsidR="00E67B7A">
        <w:rPr>
          <w:i w:val="0"/>
          <w:iCs w:val="0"/>
          <w:color w:val="000000" w:themeColor="text1"/>
        </w:rPr>
        <w:t xml:space="preserve"> as well</w:t>
      </w:r>
      <w:r w:rsidR="009A5979">
        <w:rPr>
          <w:i w:val="0"/>
          <w:iCs w:val="0"/>
          <w:color w:val="000000" w:themeColor="text1"/>
        </w:rPr>
        <w:t>.</w:t>
      </w:r>
      <w:r w:rsidR="0037200E">
        <w:rPr>
          <w:i w:val="0"/>
          <w:iCs w:val="0"/>
          <w:color w:val="000000" w:themeColor="text1"/>
        </w:rPr>
        <w:t xml:space="preserve"> Therefore, it is recommended to prioritize a set of SBFD use-cases for evaluation. </w:t>
      </w:r>
      <w:r w:rsidR="009A5979">
        <w:rPr>
          <w:i w:val="0"/>
          <w:iCs w:val="0"/>
          <w:color w:val="000000" w:themeColor="text1"/>
        </w:rPr>
        <w:t xml:space="preserve"> </w:t>
      </w:r>
    </w:p>
    <w:p w:rsidRPr="00F10015" w:rsidR="00F10015" w:rsidP="00F10015" w:rsidRDefault="00F10015" w14:paraId="42DC19F1" w14:textId="4A2027C3">
      <w:pPr>
        <w:keepNext/>
        <w:rPr>
          <w:color w:val="000000" w:themeColor="text1"/>
        </w:rPr>
      </w:pPr>
    </w:p>
    <w:p w:rsidRPr="00FB3601" w:rsidR="00513E2E" w:rsidP="4989BE7F" w:rsidRDefault="00321D99" w14:paraId="64121890" w14:textId="5ED402F5">
      <w:pPr>
        <w:rPr>
          <w:b/>
          <w:bCs/>
          <w:i/>
          <w:iCs/>
        </w:rPr>
      </w:pPr>
      <w:r w:rsidRPr="00337923">
        <w:rPr>
          <w:b/>
          <w:bCs/>
          <w:i/>
          <w:iCs/>
        </w:rPr>
        <w:t xml:space="preserve">Observation </w:t>
      </w:r>
      <w:r w:rsidR="004F41AC">
        <w:rPr>
          <w:b/>
          <w:bCs/>
          <w:i/>
          <w:iCs/>
        </w:rPr>
        <w:t>1</w:t>
      </w:r>
      <w:r w:rsidRPr="00337923">
        <w:rPr>
          <w:b/>
          <w:bCs/>
          <w:i/>
          <w:iCs/>
        </w:rPr>
        <w:t>:</w:t>
      </w:r>
      <w:r w:rsidR="004F41AC">
        <w:rPr>
          <w:b/>
          <w:bCs/>
          <w:i/>
          <w:iCs/>
        </w:rPr>
        <w:t xml:space="preserve"> </w:t>
      </w:r>
      <w:r w:rsidR="00424124">
        <w:rPr>
          <w:b/>
          <w:bCs/>
          <w:i/>
          <w:iCs/>
        </w:rPr>
        <w:t xml:space="preserve">SBFD </w:t>
      </w:r>
      <w:r w:rsidR="002E5FD0">
        <w:rPr>
          <w:b/>
          <w:bCs/>
          <w:i/>
          <w:iCs/>
        </w:rPr>
        <w:t xml:space="preserve">has different use-cases and </w:t>
      </w:r>
      <w:r w:rsidR="00B52E7B">
        <w:rPr>
          <w:b/>
          <w:bCs/>
          <w:i/>
          <w:iCs/>
        </w:rPr>
        <w:t>duplexing scenarios</w:t>
      </w:r>
      <w:r w:rsidR="0044663C">
        <w:rPr>
          <w:b/>
          <w:bCs/>
          <w:i/>
          <w:iCs/>
        </w:rPr>
        <w:t xml:space="preserve"> which </w:t>
      </w:r>
      <w:r w:rsidR="00996E12">
        <w:rPr>
          <w:b/>
          <w:bCs/>
          <w:i/>
          <w:iCs/>
        </w:rPr>
        <w:t>each has a different performance</w:t>
      </w:r>
      <w:r w:rsidR="00C34B64">
        <w:rPr>
          <w:b/>
          <w:bCs/>
          <w:i/>
          <w:iCs/>
        </w:rPr>
        <w:t xml:space="preserve"> </w:t>
      </w:r>
      <w:r w:rsidR="00996E12">
        <w:rPr>
          <w:b/>
          <w:bCs/>
          <w:i/>
          <w:iCs/>
        </w:rPr>
        <w:t>impact on cross-link interference and downlink/uplink data and control channel</w:t>
      </w:r>
      <w:r w:rsidR="00C34B64">
        <w:rPr>
          <w:b/>
          <w:bCs/>
          <w:i/>
          <w:iCs/>
        </w:rPr>
        <w:t>s</w:t>
      </w:r>
      <w:r w:rsidR="00B52E7B">
        <w:rPr>
          <w:b/>
          <w:bCs/>
          <w:i/>
          <w:iCs/>
        </w:rPr>
        <w:t xml:space="preserve">. </w:t>
      </w:r>
      <w:r w:rsidR="00C92A0D">
        <w:rPr>
          <w:color w:val="000000" w:themeColor="text1"/>
        </w:rPr>
        <w:t xml:space="preserve"> </w:t>
      </w:r>
    </w:p>
    <w:p w:rsidR="00C15E92" w:rsidP="4989BE7F" w:rsidRDefault="00C15E92" w14:paraId="0AE7603F" w14:textId="77777777">
      <w:pPr>
        <w:rPr>
          <w:color w:val="000000" w:themeColor="text1"/>
        </w:rPr>
      </w:pPr>
    </w:p>
    <w:p w:rsidR="002A6083" w:rsidP="002A6083" w:rsidRDefault="007070FE" w14:paraId="7952C0DA" w14:textId="77777777">
      <w:pPr>
        <w:pBdr>
          <w:bottom w:val="single" w:color="auto" w:sz="6" w:space="1"/>
        </w:pBdr>
        <w:rPr>
          <w:b/>
          <w:bCs/>
          <w:i/>
          <w:iCs/>
        </w:rPr>
      </w:pPr>
      <w:r w:rsidRPr="00A3234B">
        <w:rPr>
          <w:b/>
          <w:bCs/>
          <w:i/>
          <w:iCs/>
        </w:rPr>
        <w:t>Proposal 1:</w:t>
      </w:r>
      <w:r w:rsidRPr="00A3234B" w:rsidR="00CB3217">
        <w:rPr>
          <w:b/>
          <w:bCs/>
          <w:i/>
          <w:iCs/>
        </w:rPr>
        <w:t xml:space="preserve"> </w:t>
      </w:r>
      <w:r w:rsidR="00C92A0D">
        <w:rPr>
          <w:b/>
          <w:bCs/>
          <w:i/>
          <w:iCs/>
        </w:rPr>
        <w:t xml:space="preserve"> </w:t>
      </w:r>
      <w:r w:rsidR="00E10FF8">
        <w:rPr>
          <w:b/>
          <w:bCs/>
          <w:i/>
          <w:iCs/>
        </w:rPr>
        <w:t>Discuss</w:t>
      </w:r>
      <w:r w:rsidR="00091F02">
        <w:rPr>
          <w:b/>
          <w:bCs/>
          <w:i/>
          <w:iCs/>
        </w:rPr>
        <w:t xml:space="preserve"> and p</w:t>
      </w:r>
      <w:r w:rsidR="007C566D">
        <w:rPr>
          <w:b/>
          <w:bCs/>
          <w:i/>
          <w:iCs/>
        </w:rPr>
        <w:t xml:space="preserve">rioritize a set of SBFD use-cases and evaluation scenarios. </w:t>
      </w:r>
    </w:p>
    <w:p w:rsidR="004B5C29" w:rsidP="002A6083" w:rsidRDefault="00611018" w14:paraId="0E318A67" w14:textId="1838B2D4">
      <w:pPr>
        <w:pBdr>
          <w:bottom w:val="single" w:color="auto" w:sz="6" w:space="1"/>
        </w:pBdr>
        <w:rPr>
          <w:rFonts w:cs="FreeSans"/>
          <w:color w:val="000000" w:themeColor="text1"/>
          <w:sz w:val="24"/>
          <w:szCs w:val="24"/>
        </w:rPr>
      </w:pPr>
      <w:r w:rsidRPr="006C259B">
        <w:rPr>
          <w:rFonts w:cs="FreeSans"/>
          <w:color w:val="000000" w:themeColor="text1"/>
          <w:sz w:val="24"/>
          <w:szCs w:val="24"/>
        </w:rPr>
        <w:lastRenderedPageBreak/>
        <w:t>As the upl</w:t>
      </w:r>
      <w:r w:rsidR="00CC427F">
        <w:rPr>
          <w:rFonts w:cs="FreeSans"/>
          <w:color w:val="000000" w:themeColor="text1"/>
          <w:sz w:val="24"/>
          <w:szCs w:val="24"/>
        </w:rPr>
        <w:t>ink performance is the most stringent</w:t>
      </w:r>
      <w:r w:rsidR="00476A08">
        <w:rPr>
          <w:rFonts w:cs="FreeSans"/>
          <w:color w:val="000000" w:themeColor="text1"/>
          <w:sz w:val="24"/>
          <w:szCs w:val="24"/>
        </w:rPr>
        <w:t>, where most of the TDD performance limitations are exhibited</w:t>
      </w:r>
      <w:r w:rsidR="00D65CEF">
        <w:rPr>
          <w:rFonts w:cs="FreeSans"/>
          <w:color w:val="000000" w:themeColor="text1"/>
          <w:sz w:val="24"/>
          <w:szCs w:val="24"/>
        </w:rPr>
        <w:t xml:space="preserve">, we recommend considering </w:t>
      </w:r>
      <w:r w:rsidR="000F594C">
        <w:rPr>
          <w:rFonts w:cs="FreeSans"/>
          <w:color w:val="000000" w:themeColor="text1"/>
          <w:sz w:val="24"/>
          <w:szCs w:val="24"/>
        </w:rPr>
        <w:t xml:space="preserve">only </w:t>
      </w:r>
      <w:r w:rsidR="00D65CEF">
        <w:rPr>
          <w:rFonts w:cs="FreeSans"/>
          <w:color w:val="000000" w:themeColor="text1"/>
          <w:sz w:val="24"/>
          <w:szCs w:val="24"/>
        </w:rPr>
        <w:t xml:space="preserve">SBFD implementations that allow for uplink SBFD during downlink slots. However, to reduce the simulation </w:t>
      </w:r>
      <w:r w:rsidR="00FA472A">
        <w:rPr>
          <w:rFonts w:cs="FreeSans"/>
          <w:color w:val="000000" w:themeColor="text1"/>
          <w:sz w:val="24"/>
          <w:szCs w:val="24"/>
        </w:rPr>
        <w:t>efforts, we</w:t>
      </w:r>
      <w:r w:rsidR="002928A7">
        <w:rPr>
          <w:rFonts w:cs="FreeSans"/>
          <w:color w:val="000000" w:themeColor="text1"/>
          <w:sz w:val="24"/>
          <w:szCs w:val="24"/>
        </w:rPr>
        <w:t xml:space="preserve"> suggest considering uplink slots to be all half-duplex, hence, not </w:t>
      </w:r>
      <w:r w:rsidR="00C663F1">
        <w:rPr>
          <w:rFonts w:cs="FreeSans"/>
          <w:color w:val="000000" w:themeColor="text1"/>
          <w:sz w:val="24"/>
          <w:szCs w:val="24"/>
        </w:rPr>
        <w:t>considering</w:t>
      </w:r>
      <w:r w:rsidR="002928A7">
        <w:rPr>
          <w:rFonts w:cs="FreeSans"/>
          <w:color w:val="000000" w:themeColor="text1"/>
          <w:sz w:val="24"/>
          <w:szCs w:val="24"/>
        </w:rPr>
        <w:t xml:space="preserve"> downlink sub-bands within </w:t>
      </w:r>
      <w:r w:rsidR="00C663F1">
        <w:rPr>
          <w:rFonts w:cs="FreeSans"/>
          <w:color w:val="000000" w:themeColor="text1"/>
          <w:sz w:val="24"/>
          <w:szCs w:val="24"/>
        </w:rPr>
        <w:t>uplink slots.</w:t>
      </w:r>
    </w:p>
    <w:p w:rsidRPr="00FA6D35" w:rsidR="00FA6D35" w:rsidP="002A6083" w:rsidRDefault="00FA6D35" w14:paraId="48AA28BF" w14:textId="77777777">
      <w:pPr>
        <w:pBdr>
          <w:bottom w:val="single" w:color="auto" w:sz="6" w:space="1"/>
        </w:pBdr>
        <w:rPr>
          <w:rFonts w:cs="FreeSans"/>
          <w:color w:val="000000" w:themeColor="text1"/>
          <w:sz w:val="24"/>
          <w:szCs w:val="24"/>
        </w:rPr>
      </w:pPr>
    </w:p>
    <w:p w:rsidRPr="00A3234B" w:rsidR="000732FB" w:rsidP="000732FB" w:rsidRDefault="000732FB" w14:paraId="52155891" w14:textId="67E77486">
      <w:pPr>
        <w:pBdr>
          <w:bottom w:val="single" w:color="auto" w:sz="6" w:space="1"/>
        </w:pBdr>
        <w:rPr>
          <w:b/>
          <w:bCs/>
          <w:i/>
          <w:iCs/>
        </w:rPr>
      </w:pPr>
      <w:r w:rsidRPr="00A3234B">
        <w:rPr>
          <w:b/>
          <w:bCs/>
          <w:i/>
          <w:iCs/>
        </w:rPr>
        <w:t xml:space="preserve">Proposal </w:t>
      </w:r>
      <w:r w:rsidR="005021EE">
        <w:rPr>
          <w:b/>
          <w:bCs/>
          <w:i/>
          <w:iCs/>
        </w:rPr>
        <w:t>2</w:t>
      </w:r>
      <w:r w:rsidRPr="00A3234B">
        <w:rPr>
          <w:b/>
          <w:bCs/>
          <w:i/>
          <w:iCs/>
        </w:rPr>
        <w:t xml:space="preserve">: </w:t>
      </w:r>
      <w:r>
        <w:rPr>
          <w:b/>
          <w:bCs/>
          <w:i/>
          <w:iCs/>
        </w:rPr>
        <w:t xml:space="preserve"> </w:t>
      </w:r>
      <w:r w:rsidR="002D7914">
        <w:rPr>
          <w:b/>
          <w:bCs/>
          <w:i/>
          <w:iCs/>
        </w:rPr>
        <w:t>P</w:t>
      </w:r>
      <w:r>
        <w:rPr>
          <w:b/>
          <w:bCs/>
          <w:i/>
          <w:iCs/>
        </w:rPr>
        <w:t xml:space="preserve">rioritize </w:t>
      </w:r>
      <w:r w:rsidR="002D7914">
        <w:rPr>
          <w:b/>
          <w:bCs/>
          <w:i/>
          <w:iCs/>
        </w:rPr>
        <w:t xml:space="preserve">SBFD </w:t>
      </w:r>
      <w:r w:rsidR="00584C98">
        <w:rPr>
          <w:b/>
          <w:bCs/>
          <w:i/>
          <w:iCs/>
        </w:rPr>
        <w:t>implementations</w:t>
      </w:r>
      <w:r w:rsidR="002D7914">
        <w:rPr>
          <w:b/>
          <w:bCs/>
          <w:i/>
          <w:iCs/>
        </w:rPr>
        <w:t xml:space="preserve"> of uplink sub-bands within downlink </w:t>
      </w:r>
      <w:r w:rsidR="00D23686">
        <w:rPr>
          <w:b/>
          <w:bCs/>
          <w:i/>
          <w:iCs/>
        </w:rPr>
        <w:t>slots/frame</w:t>
      </w:r>
      <w:r w:rsidR="00487EF2">
        <w:rPr>
          <w:b/>
          <w:bCs/>
          <w:i/>
          <w:iCs/>
        </w:rPr>
        <w:t>s</w:t>
      </w:r>
      <w:r w:rsidR="00DA57AE">
        <w:rPr>
          <w:b/>
          <w:bCs/>
          <w:i/>
          <w:iCs/>
        </w:rPr>
        <w:t xml:space="preserve"> while uplink slots </w:t>
      </w:r>
      <w:r w:rsidR="004B5345">
        <w:rPr>
          <w:b/>
          <w:bCs/>
          <w:i/>
          <w:iCs/>
        </w:rPr>
        <w:t>are half-duplex</w:t>
      </w:r>
      <w:r w:rsidR="00E1084C">
        <w:rPr>
          <w:b/>
          <w:bCs/>
          <w:i/>
          <w:iCs/>
        </w:rPr>
        <w:t xml:space="preserve"> </w:t>
      </w:r>
      <w:r w:rsidR="0087589B">
        <w:rPr>
          <w:b/>
          <w:bCs/>
          <w:i/>
          <w:iCs/>
        </w:rPr>
        <w:t>for</w:t>
      </w:r>
      <w:r w:rsidR="00E1084C">
        <w:rPr>
          <w:b/>
          <w:bCs/>
          <w:i/>
          <w:iCs/>
        </w:rPr>
        <w:t xml:space="preserve"> gNBs and UEs</w:t>
      </w:r>
      <w:r w:rsidR="004B5345">
        <w:rPr>
          <w:b/>
          <w:bCs/>
          <w:i/>
          <w:iCs/>
        </w:rPr>
        <w:t>.</w:t>
      </w:r>
    </w:p>
    <w:p w:rsidRPr="002A6083" w:rsidR="002A6083" w:rsidP="002A6083" w:rsidRDefault="002A6083" w14:paraId="213BB644" w14:textId="77777777">
      <w:pPr>
        <w:pBdr>
          <w:bottom w:val="single" w:color="auto" w:sz="6" w:space="1"/>
        </w:pBdr>
        <w:rPr>
          <w:b/>
          <w:bCs/>
        </w:rPr>
      </w:pPr>
    </w:p>
    <w:p w:rsidRPr="00945F88" w:rsidR="00BD47C0" w:rsidP="00BD47C0" w:rsidRDefault="004F3B99" w14:paraId="04E21534" w14:textId="15EC963C">
      <w:pPr>
        <w:pStyle w:val="Heading1"/>
        <w:rPr>
          <w:sz w:val="36"/>
          <w:szCs w:val="36"/>
        </w:rPr>
      </w:pPr>
      <w:r>
        <w:rPr>
          <w:sz w:val="36"/>
          <w:szCs w:val="36"/>
        </w:rPr>
        <w:t xml:space="preserve">Potential SBFD </w:t>
      </w:r>
      <w:r w:rsidR="00BF5D05">
        <w:rPr>
          <w:sz w:val="36"/>
          <w:szCs w:val="36"/>
        </w:rPr>
        <w:t>enhancements</w:t>
      </w:r>
    </w:p>
    <w:p w:rsidR="00E3396F" w:rsidP="4989BE7F" w:rsidRDefault="00E3396F" w14:paraId="30D894A0" w14:textId="77777777">
      <w:pPr>
        <w:rPr>
          <w:color w:val="000000" w:themeColor="text1"/>
        </w:rPr>
      </w:pPr>
    </w:p>
    <w:p w:rsidR="009C3EB7" w:rsidP="4989BE7F" w:rsidRDefault="000B681B" w14:paraId="14F8E50B" w14:textId="114A94C1">
      <w:pPr>
        <w:rPr>
          <w:color w:val="000000" w:themeColor="text1"/>
        </w:rPr>
      </w:pPr>
      <w:r>
        <w:rPr>
          <w:color w:val="000000" w:themeColor="text1"/>
        </w:rPr>
        <w:t xml:space="preserve">In dynamic TDD deployments, there is only an exclusive transmission direction at a time. </w:t>
      </w:r>
      <w:r w:rsidR="009A50EF">
        <w:rPr>
          <w:color w:val="000000" w:themeColor="text1"/>
        </w:rPr>
        <w:t xml:space="preserve">However, gNBs can dynamically change the TDD slot structures to suit up the asymmetric downlink and uplink traffic arrivals. </w:t>
      </w:r>
      <w:r w:rsidR="00B40F2F">
        <w:rPr>
          <w:color w:val="000000" w:themeColor="text1"/>
        </w:rPr>
        <w:t xml:space="preserve">This is achieved through the </w:t>
      </w:r>
      <w:r w:rsidRPr="00C97D37" w:rsidR="00B40F2F">
        <w:rPr>
          <w:i/>
          <w:iCs/>
          <w:color w:val="000000" w:themeColor="text1"/>
        </w:rPr>
        <w:t>slot format indication (SFI),</w:t>
      </w:r>
      <w:r w:rsidR="00B40F2F">
        <w:rPr>
          <w:color w:val="000000" w:themeColor="text1"/>
        </w:rPr>
        <w:t xml:space="preserve"> where it </w:t>
      </w:r>
      <w:r w:rsidR="006C7BE1">
        <w:rPr>
          <w:color w:val="000000" w:themeColor="text1"/>
        </w:rPr>
        <w:t>indicates UE’s of the currently adopted slot format. The SFI indicates ‘DL</w:t>
      </w:r>
      <w:r w:rsidR="004E1461">
        <w:rPr>
          <w:color w:val="000000" w:themeColor="text1"/>
        </w:rPr>
        <w:t>’</w:t>
      </w:r>
      <w:r w:rsidR="006C7BE1">
        <w:rPr>
          <w:color w:val="000000" w:themeColor="text1"/>
        </w:rPr>
        <w:t xml:space="preserve"> for </w:t>
      </w:r>
      <w:r w:rsidR="004E1461">
        <w:rPr>
          <w:color w:val="000000" w:themeColor="text1"/>
        </w:rPr>
        <w:t xml:space="preserve">downlink transmissions, ‘UL’ for uplink transmissions, and ‘F’ for flexible time instants, where the latter can be dynamically used as DL or UL. </w:t>
      </w:r>
      <w:r w:rsidR="00C259E8">
        <w:rPr>
          <w:color w:val="000000" w:themeColor="text1"/>
        </w:rPr>
        <w:t>Basic</w:t>
      </w:r>
      <w:r w:rsidR="00D32BEC">
        <w:rPr>
          <w:color w:val="000000" w:themeColor="text1"/>
        </w:rPr>
        <w:t xml:space="preserve"> SBFD operation should be transparent to UEs, and thu</w:t>
      </w:r>
      <w:r w:rsidR="00763E9C">
        <w:rPr>
          <w:color w:val="000000" w:themeColor="text1"/>
        </w:rPr>
        <w:t>s, they may assume that the entire bandwidth is for downlink transmissions for DL SFI instant and etc.</w:t>
      </w:r>
      <w:r w:rsidR="003B5A7A">
        <w:rPr>
          <w:color w:val="000000" w:themeColor="text1"/>
        </w:rPr>
        <w:t xml:space="preserve"> Therefore, </w:t>
      </w:r>
      <w:r w:rsidR="002677AC">
        <w:rPr>
          <w:color w:val="000000" w:themeColor="text1"/>
        </w:rPr>
        <w:t>in one option, the SBFD operation can be still fully transparent to UEs</w:t>
      </w:r>
      <w:r w:rsidR="000339D2">
        <w:rPr>
          <w:color w:val="000000" w:themeColor="text1"/>
        </w:rPr>
        <w:t xml:space="preserve">, while SBFD </w:t>
      </w:r>
      <w:r w:rsidR="00602699">
        <w:rPr>
          <w:color w:val="000000" w:themeColor="text1"/>
        </w:rPr>
        <w:t xml:space="preserve">sub-band </w:t>
      </w:r>
      <w:r w:rsidR="000339D2">
        <w:rPr>
          <w:color w:val="000000" w:themeColor="text1"/>
        </w:rPr>
        <w:t xml:space="preserve">scheduling is controlled by gNB. </w:t>
      </w:r>
      <w:r w:rsidR="00FA19CE">
        <w:rPr>
          <w:color w:val="000000" w:themeColor="text1"/>
        </w:rPr>
        <w:t xml:space="preserve">In another option, UEs </w:t>
      </w:r>
      <w:r w:rsidR="00942E47">
        <w:rPr>
          <w:color w:val="000000" w:themeColor="text1"/>
        </w:rPr>
        <w:t>are</w:t>
      </w:r>
      <w:r w:rsidR="00FA19CE">
        <w:rPr>
          <w:color w:val="000000" w:themeColor="text1"/>
        </w:rPr>
        <w:t xml:space="preserve"> aware of the SBFD setup and current configuration. For the latter case, </w:t>
      </w:r>
      <w:r w:rsidR="009D3173">
        <w:rPr>
          <w:color w:val="000000" w:themeColor="text1"/>
        </w:rPr>
        <w:t xml:space="preserve">ways of carrying the SBFD information should be studied. </w:t>
      </w:r>
      <w:r w:rsidR="002E6053">
        <w:rPr>
          <w:color w:val="000000" w:themeColor="text1"/>
        </w:rPr>
        <w:t xml:space="preserve">In case </w:t>
      </w:r>
      <w:r w:rsidR="00F86D88">
        <w:rPr>
          <w:color w:val="000000" w:themeColor="text1"/>
        </w:rPr>
        <w:t xml:space="preserve">the </w:t>
      </w:r>
      <w:r w:rsidR="002E6053">
        <w:rPr>
          <w:color w:val="000000" w:themeColor="text1"/>
        </w:rPr>
        <w:t>SF</w:t>
      </w:r>
      <w:r w:rsidR="005A1160">
        <w:rPr>
          <w:color w:val="000000" w:themeColor="text1"/>
        </w:rPr>
        <w:t xml:space="preserve">I </w:t>
      </w:r>
      <w:r w:rsidR="00F86D88">
        <w:rPr>
          <w:color w:val="000000" w:themeColor="text1"/>
        </w:rPr>
        <w:t>is selected to carry</w:t>
      </w:r>
      <w:r w:rsidR="002A2BF9">
        <w:rPr>
          <w:color w:val="000000" w:themeColor="text1"/>
        </w:rPr>
        <w:t xml:space="preserve"> SBFD information, SFI </w:t>
      </w:r>
      <w:r w:rsidR="006F0545">
        <w:rPr>
          <w:color w:val="000000" w:themeColor="text1"/>
        </w:rPr>
        <w:t xml:space="preserve">design adjustments and cross-compatibility </w:t>
      </w:r>
      <w:r w:rsidR="00651EBD">
        <w:rPr>
          <w:color w:val="000000" w:themeColor="text1"/>
        </w:rPr>
        <w:t>should be studied</w:t>
      </w:r>
      <w:r w:rsidR="006F0545">
        <w:rPr>
          <w:color w:val="000000" w:themeColor="text1"/>
        </w:rPr>
        <w:t xml:space="preserve">. </w:t>
      </w:r>
    </w:p>
    <w:p w:rsidR="00251BC8" w:rsidP="00251BC8" w:rsidRDefault="00251BC8" w14:paraId="07FCF3FD" w14:textId="77777777">
      <w:pPr>
        <w:rPr>
          <w:b/>
          <w:bCs/>
          <w:i/>
          <w:iCs/>
        </w:rPr>
      </w:pPr>
    </w:p>
    <w:p w:rsidRPr="0034695E" w:rsidR="00A3234B" w:rsidP="4989BE7F" w:rsidRDefault="000374A9" w14:paraId="149A82EB" w14:textId="725A6C78">
      <w:pPr>
        <w:rPr>
          <w:b/>
          <w:bCs/>
          <w:i/>
          <w:iCs/>
        </w:rPr>
      </w:pPr>
      <w:bookmarkStart w:name="_Hlk109224385" w:id="4"/>
      <w:r w:rsidRPr="00337923">
        <w:rPr>
          <w:b/>
          <w:bCs/>
          <w:i/>
          <w:iCs/>
        </w:rPr>
        <w:t xml:space="preserve">Observation </w:t>
      </w:r>
      <w:r>
        <w:rPr>
          <w:b/>
          <w:bCs/>
          <w:i/>
          <w:iCs/>
        </w:rPr>
        <w:t>2</w:t>
      </w:r>
      <w:r w:rsidRPr="00337923">
        <w:rPr>
          <w:b/>
          <w:bCs/>
          <w:i/>
          <w:iCs/>
        </w:rPr>
        <w:t>:</w:t>
      </w:r>
      <w:r>
        <w:rPr>
          <w:b/>
          <w:bCs/>
          <w:i/>
          <w:iCs/>
        </w:rPr>
        <w:t xml:space="preserve"> </w:t>
      </w:r>
      <w:r w:rsidR="000C63BB">
        <w:rPr>
          <w:b/>
          <w:bCs/>
          <w:i/>
          <w:iCs/>
        </w:rPr>
        <w:t xml:space="preserve">Current </w:t>
      </w:r>
      <w:r w:rsidR="003573A2">
        <w:rPr>
          <w:b/>
          <w:bCs/>
          <w:i/>
          <w:iCs/>
        </w:rPr>
        <w:t>slot format indication (</w:t>
      </w:r>
      <w:r w:rsidR="000C63BB">
        <w:rPr>
          <w:b/>
          <w:bCs/>
          <w:i/>
          <w:iCs/>
        </w:rPr>
        <w:t>SFI</w:t>
      </w:r>
      <w:r w:rsidR="003573A2">
        <w:rPr>
          <w:b/>
          <w:bCs/>
          <w:i/>
          <w:iCs/>
        </w:rPr>
        <w:t>)</w:t>
      </w:r>
      <w:r w:rsidR="000C63BB">
        <w:rPr>
          <w:b/>
          <w:bCs/>
          <w:i/>
          <w:iCs/>
        </w:rPr>
        <w:t xml:space="preserve"> </w:t>
      </w:r>
      <w:r w:rsidR="00300C64">
        <w:rPr>
          <w:b/>
          <w:bCs/>
          <w:i/>
          <w:iCs/>
        </w:rPr>
        <w:t>signaling</w:t>
      </w:r>
      <w:r w:rsidR="00881F97">
        <w:rPr>
          <w:b/>
          <w:bCs/>
          <w:i/>
          <w:iCs/>
        </w:rPr>
        <w:t xml:space="preserve"> procedure</w:t>
      </w:r>
      <w:r w:rsidR="00300C64">
        <w:rPr>
          <w:b/>
          <w:bCs/>
          <w:i/>
          <w:iCs/>
        </w:rPr>
        <w:t xml:space="preserve"> is either cell or group common, hence,</w:t>
      </w:r>
      <w:r w:rsidR="00F72868">
        <w:rPr>
          <w:b/>
          <w:bCs/>
          <w:i/>
          <w:iCs/>
        </w:rPr>
        <w:t xml:space="preserve"> lacking dynamic flexibility of SBFD resource adaptation </w:t>
      </w:r>
      <w:r w:rsidR="00881F97">
        <w:rPr>
          <w:b/>
          <w:bCs/>
          <w:i/>
          <w:iCs/>
        </w:rPr>
        <w:t xml:space="preserve">and signaling </w:t>
      </w:r>
      <w:r w:rsidR="00F72868">
        <w:rPr>
          <w:b/>
          <w:bCs/>
          <w:i/>
          <w:iCs/>
        </w:rPr>
        <w:t xml:space="preserve">in case SFI is adopted for </w:t>
      </w:r>
      <w:r w:rsidR="004B48D3">
        <w:rPr>
          <w:b/>
          <w:bCs/>
          <w:i/>
          <w:iCs/>
        </w:rPr>
        <w:t>carrying</w:t>
      </w:r>
      <w:r w:rsidR="00F72868">
        <w:rPr>
          <w:b/>
          <w:bCs/>
          <w:i/>
          <w:iCs/>
        </w:rPr>
        <w:t xml:space="preserve"> SBFD information. </w:t>
      </w:r>
      <w:r>
        <w:rPr>
          <w:b/>
          <w:bCs/>
          <w:i/>
          <w:iCs/>
        </w:rPr>
        <w:t xml:space="preserve"> </w:t>
      </w:r>
    </w:p>
    <w:p w:rsidR="0021009A" w:rsidP="4989BE7F" w:rsidRDefault="0021009A" w14:paraId="048B7795" w14:textId="77777777">
      <w:pPr>
        <w:rPr>
          <w:color w:val="000000" w:themeColor="text1"/>
        </w:rPr>
      </w:pPr>
    </w:p>
    <w:p w:rsidRPr="00A3234B" w:rsidR="006D4AAD" w:rsidRDefault="004534C5" w14:paraId="18613839" w14:textId="5261C050">
      <w:pPr>
        <w:rPr>
          <w:b/>
          <w:bCs/>
          <w:i/>
          <w:iCs/>
        </w:rPr>
      </w:pPr>
      <w:r w:rsidRPr="00A3234B">
        <w:rPr>
          <w:b/>
          <w:bCs/>
          <w:i/>
          <w:iCs/>
        </w:rPr>
        <w:t xml:space="preserve">Proposal </w:t>
      </w:r>
      <w:r w:rsidR="0013520E">
        <w:rPr>
          <w:b/>
          <w:bCs/>
          <w:i/>
          <w:iCs/>
        </w:rPr>
        <w:t>3</w:t>
      </w:r>
      <w:r w:rsidRPr="00A3234B">
        <w:rPr>
          <w:b/>
          <w:bCs/>
          <w:i/>
          <w:iCs/>
        </w:rPr>
        <w:t>:</w:t>
      </w:r>
      <w:r w:rsidRPr="00A3234B" w:rsidR="00F97520">
        <w:rPr>
          <w:b/>
          <w:bCs/>
          <w:i/>
          <w:iCs/>
        </w:rPr>
        <w:t xml:space="preserve"> </w:t>
      </w:r>
      <w:r w:rsidR="00DE75C0">
        <w:rPr>
          <w:b/>
          <w:bCs/>
          <w:i/>
          <w:iCs/>
        </w:rPr>
        <w:t xml:space="preserve">Consider adjustment of the </w:t>
      </w:r>
      <w:r w:rsidR="000B5A4B">
        <w:rPr>
          <w:b/>
          <w:bCs/>
          <w:i/>
          <w:iCs/>
        </w:rPr>
        <w:t xml:space="preserve">current </w:t>
      </w:r>
      <w:r w:rsidR="00DE75C0">
        <w:rPr>
          <w:b/>
          <w:bCs/>
          <w:i/>
          <w:iCs/>
        </w:rPr>
        <w:t>SFI procedure to support dynamic configuration of SBFD within a bandwidth part.</w:t>
      </w:r>
    </w:p>
    <w:bookmarkEnd w:id="4"/>
    <w:p w:rsidR="003920D7" w:rsidRDefault="003920D7" w14:paraId="47D5183D" w14:textId="77777777">
      <w:pPr>
        <w:rPr>
          <w:b/>
          <w:bCs/>
        </w:rPr>
      </w:pPr>
    </w:p>
    <w:p w:rsidR="000F3471" w:rsidP="000F3471" w:rsidRDefault="000F3471" w14:paraId="771A7894" w14:textId="77777777">
      <w:pPr>
        <w:rPr>
          <w:color w:val="000000" w:themeColor="text1"/>
        </w:rPr>
      </w:pPr>
      <w:r>
        <w:rPr>
          <w:color w:val="000000" w:themeColor="text1"/>
        </w:rPr>
        <w:t>In addition to the CLI of the dynamic TDD, NR SBFD introduces additional types of intra-cell and inter-cell interference as follows:</w:t>
      </w:r>
    </w:p>
    <w:p w:rsidR="000F3471" w:rsidP="000F3471" w:rsidRDefault="000F3471" w14:paraId="4D90AC91" w14:textId="77777777">
      <w:pPr>
        <w:pStyle w:val="ListParagraph"/>
        <w:numPr>
          <w:ilvl w:val="0"/>
          <w:numId w:val="22"/>
        </w:numPr>
        <w:rPr>
          <w:color w:val="000000" w:themeColor="text1"/>
        </w:rPr>
      </w:pPr>
      <w:r>
        <w:rPr>
          <w:color w:val="000000" w:themeColor="text1"/>
        </w:rPr>
        <w:t>SBFD interference impacting uplink direction</w:t>
      </w:r>
    </w:p>
    <w:p w:rsidR="000F3471" w:rsidP="000F3471" w:rsidRDefault="000F3471" w14:paraId="4239189B" w14:textId="77777777">
      <w:pPr>
        <w:pStyle w:val="ListParagraph"/>
        <w:numPr>
          <w:ilvl w:val="1"/>
          <w:numId w:val="22"/>
        </w:numPr>
        <w:rPr>
          <w:color w:val="000000" w:themeColor="text1"/>
        </w:rPr>
      </w:pPr>
      <w:r>
        <w:rPr>
          <w:color w:val="000000" w:themeColor="text1"/>
        </w:rPr>
        <w:t>Self-interference (SI) [intra-gNB]</w:t>
      </w:r>
    </w:p>
    <w:p w:rsidR="000F3471" w:rsidP="000F3471" w:rsidRDefault="000F3471" w14:paraId="2371DBA9" w14:textId="77777777">
      <w:pPr>
        <w:pStyle w:val="ListParagraph"/>
        <w:numPr>
          <w:ilvl w:val="1"/>
          <w:numId w:val="22"/>
        </w:numPr>
        <w:rPr>
          <w:color w:val="000000" w:themeColor="text1"/>
        </w:rPr>
      </w:pPr>
      <w:r>
        <w:rPr>
          <w:color w:val="000000" w:themeColor="text1"/>
        </w:rPr>
        <w:t>gNB-to-gNB CLI [inter-gNB]</w:t>
      </w:r>
    </w:p>
    <w:p w:rsidR="000F3471" w:rsidP="000F3471" w:rsidRDefault="000F3471" w14:paraId="6204A4B4" w14:textId="77777777">
      <w:pPr>
        <w:pStyle w:val="ListParagraph"/>
        <w:ind w:left="1440"/>
        <w:rPr>
          <w:color w:val="000000" w:themeColor="text1"/>
        </w:rPr>
      </w:pPr>
    </w:p>
    <w:p w:rsidR="000F3471" w:rsidP="000F3471" w:rsidRDefault="000F3471" w14:paraId="672F8413" w14:textId="77777777">
      <w:pPr>
        <w:pStyle w:val="ListParagraph"/>
        <w:numPr>
          <w:ilvl w:val="0"/>
          <w:numId w:val="22"/>
        </w:numPr>
        <w:rPr>
          <w:color w:val="000000" w:themeColor="text1"/>
        </w:rPr>
      </w:pPr>
      <w:r>
        <w:rPr>
          <w:color w:val="000000" w:themeColor="text1"/>
        </w:rPr>
        <w:t>SBFD interference impacting downlink direction</w:t>
      </w:r>
    </w:p>
    <w:p w:rsidR="000F3471" w:rsidP="000F3471" w:rsidRDefault="000F3471" w14:paraId="24EAC251" w14:textId="77777777">
      <w:pPr>
        <w:pStyle w:val="ListParagraph"/>
        <w:numPr>
          <w:ilvl w:val="1"/>
          <w:numId w:val="22"/>
        </w:numPr>
        <w:rPr>
          <w:color w:val="000000" w:themeColor="text1"/>
        </w:rPr>
      </w:pPr>
      <w:r>
        <w:rPr>
          <w:color w:val="000000" w:themeColor="text1"/>
        </w:rPr>
        <w:t>UE-to-UE CLI (intra and inter-gNB)</w:t>
      </w:r>
    </w:p>
    <w:p w:rsidRPr="004353E1" w:rsidR="00741A7A" w:rsidRDefault="009E4E4E" w14:paraId="31441D25" w14:textId="4FF86B25">
      <w:pPr>
        <w:rPr>
          <w:color w:val="000000" w:themeColor="text1"/>
        </w:rPr>
      </w:pPr>
      <w:r>
        <w:rPr>
          <w:color w:val="000000" w:themeColor="text1"/>
        </w:rPr>
        <w:t xml:space="preserve">The different types of SBFD interference should be </w:t>
      </w:r>
      <w:r w:rsidR="00201809">
        <w:rPr>
          <w:color w:val="000000" w:themeColor="text1"/>
        </w:rPr>
        <w:t>handled.</w:t>
      </w:r>
      <w:r w:rsidR="00CB528E">
        <w:rPr>
          <w:color w:val="000000" w:themeColor="text1"/>
        </w:rPr>
        <w:t xml:space="preserve"> </w:t>
      </w:r>
      <w:r w:rsidR="00641A49">
        <w:rPr>
          <w:color w:val="000000" w:themeColor="text1"/>
        </w:rPr>
        <w:t>Similar to dynamic TDD</w:t>
      </w:r>
      <w:r w:rsidR="00CB528E">
        <w:rPr>
          <w:color w:val="000000" w:themeColor="text1"/>
        </w:rPr>
        <w:t xml:space="preserve">, </w:t>
      </w:r>
      <w:r w:rsidR="00641A49">
        <w:rPr>
          <w:color w:val="000000" w:themeColor="text1"/>
        </w:rPr>
        <w:t xml:space="preserve">the UE-to-UE and gNB-to-gNB CLI should be carefully </w:t>
      </w:r>
      <w:r w:rsidR="007E2C80">
        <w:rPr>
          <w:color w:val="000000" w:themeColor="text1"/>
        </w:rPr>
        <w:t>measured and suppressed</w:t>
      </w:r>
      <w:r w:rsidR="00641A49">
        <w:rPr>
          <w:color w:val="000000" w:themeColor="text1"/>
        </w:rPr>
        <w:t xml:space="preserve">. During Rel-16 </w:t>
      </w:r>
      <w:r w:rsidR="006B3042">
        <w:rPr>
          <w:color w:val="000000" w:themeColor="text1"/>
        </w:rPr>
        <w:t xml:space="preserve">item on RIM, measurement procedures </w:t>
      </w:r>
      <w:r w:rsidR="000E523A">
        <w:rPr>
          <w:color w:val="000000" w:themeColor="text1"/>
        </w:rPr>
        <w:t xml:space="preserve">of UE-to-UE CLI are </w:t>
      </w:r>
      <w:r w:rsidR="00347CAE">
        <w:rPr>
          <w:color w:val="000000" w:themeColor="text1"/>
        </w:rPr>
        <w:t>specified</w:t>
      </w:r>
      <w:r w:rsidR="000E523A">
        <w:rPr>
          <w:color w:val="000000" w:themeColor="text1"/>
        </w:rPr>
        <w:t>.</w:t>
      </w:r>
      <w:r w:rsidR="001B2860">
        <w:rPr>
          <w:color w:val="000000" w:themeColor="text1"/>
        </w:rPr>
        <w:t xml:space="preserve"> It is suggested to </w:t>
      </w:r>
      <w:r w:rsidR="00D95913">
        <w:rPr>
          <w:color w:val="000000" w:themeColor="text1"/>
        </w:rPr>
        <w:t xml:space="preserve">study whether the </w:t>
      </w:r>
      <w:r w:rsidR="005A7B9F">
        <w:rPr>
          <w:color w:val="000000" w:themeColor="text1"/>
        </w:rPr>
        <w:t xml:space="preserve">current </w:t>
      </w:r>
      <w:r w:rsidR="00D95913">
        <w:rPr>
          <w:color w:val="000000" w:themeColor="text1"/>
        </w:rPr>
        <w:t>UE-</w:t>
      </w:r>
      <w:r w:rsidR="005A7B9F">
        <w:rPr>
          <w:color w:val="000000" w:themeColor="text1"/>
        </w:rPr>
        <w:t xml:space="preserve">to-UE CLI measurement procedures are sufficient for SBFD interference </w:t>
      </w:r>
      <w:r w:rsidR="00CF2FE3">
        <w:rPr>
          <w:color w:val="000000" w:themeColor="text1"/>
        </w:rPr>
        <w:t>handling</w:t>
      </w:r>
      <w:r w:rsidR="00C96578">
        <w:rPr>
          <w:color w:val="000000" w:themeColor="text1"/>
        </w:rPr>
        <w:t xml:space="preserve"> </w:t>
      </w:r>
      <w:r w:rsidR="005A7B9F">
        <w:rPr>
          <w:color w:val="000000" w:themeColor="text1"/>
        </w:rPr>
        <w:t xml:space="preserve">or not. </w:t>
      </w:r>
      <w:r w:rsidR="00556609">
        <w:rPr>
          <w:color w:val="000000" w:themeColor="text1"/>
        </w:rPr>
        <w:t>For gNB-to-gNB CLI, measurement procedures should be studied</w:t>
      </w:r>
      <w:r w:rsidR="00AC1900">
        <w:rPr>
          <w:color w:val="000000" w:themeColor="text1"/>
        </w:rPr>
        <w:t xml:space="preserve"> and specified</w:t>
      </w:r>
      <w:r w:rsidR="00556609">
        <w:rPr>
          <w:color w:val="000000" w:themeColor="text1"/>
        </w:rPr>
        <w:t xml:space="preserve">. </w:t>
      </w:r>
    </w:p>
    <w:p w:rsidR="00741A7A" w:rsidRDefault="00741A7A" w14:paraId="45F2F9FA" w14:textId="77777777">
      <w:pPr>
        <w:rPr>
          <w:b/>
          <w:bCs/>
        </w:rPr>
      </w:pPr>
    </w:p>
    <w:p w:rsidR="00392123" w:rsidP="00392123" w:rsidRDefault="00392123" w14:paraId="33173740" w14:textId="528BC9EE">
      <w:pPr>
        <w:rPr>
          <w:b/>
          <w:bCs/>
          <w:i/>
          <w:iCs/>
        </w:rPr>
      </w:pPr>
      <w:r w:rsidRPr="00A3234B">
        <w:rPr>
          <w:b/>
          <w:bCs/>
          <w:i/>
          <w:iCs/>
        </w:rPr>
        <w:t xml:space="preserve">Proposal </w:t>
      </w:r>
      <w:r w:rsidR="007B715C">
        <w:rPr>
          <w:b/>
          <w:bCs/>
          <w:i/>
          <w:iCs/>
        </w:rPr>
        <w:t>4</w:t>
      </w:r>
      <w:r w:rsidRPr="00A3234B">
        <w:rPr>
          <w:b/>
          <w:bCs/>
          <w:i/>
          <w:iCs/>
        </w:rPr>
        <w:t xml:space="preserve">: </w:t>
      </w:r>
      <w:r w:rsidR="00F54EC3">
        <w:rPr>
          <w:b/>
          <w:bCs/>
          <w:i/>
          <w:iCs/>
        </w:rPr>
        <w:t xml:space="preserve">Discuss and agree </w:t>
      </w:r>
      <w:r w:rsidR="00061543">
        <w:rPr>
          <w:b/>
          <w:bCs/>
          <w:i/>
          <w:iCs/>
        </w:rPr>
        <w:t xml:space="preserve">whether the </w:t>
      </w:r>
      <w:r w:rsidR="00A04DC5">
        <w:rPr>
          <w:b/>
          <w:bCs/>
          <w:i/>
          <w:iCs/>
        </w:rPr>
        <w:t>R</w:t>
      </w:r>
      <w:r w:rsidR="00061543">
        <w:rPr>
          <w:b/>
          <w:bCs/>
          <w:i/>
          <w:iCs/>
        </w:rPr>
        <w:t>el-16 UE-to-UE</w:t>
      </w:r>
      <w:r w:rsidR="00F54EC3">
        <w:rPr>
          <w:b/>
          <w:bCs/>
          <w:i/>
          <w:iCs/>
        </w:rPr>
        <w:t xml:space="preserve"> </w:t>
      </w:r>
      <w:r w:rsidR="00340A2E">
        <w:rPr>
          <w:b/>
          <w:bCs/>
          <w:i/>
          <w:iCs/>
        </w:rPr>
        <w:t>CLI measurement</w:t>
      </w:r>
      <w:r w:rsidR="00A04DC5">
        <w:rPr>
          <w:b/>
          <w:bCs/>
          <w:i/>
          <w:iCs/>
        </w:rPr>
        <w:t xml:space="preserve"> procedures are sufficient for SBFD </w:t>
      </w:r>
      <w:r w:rsidR="00EE28B8">
        <w:rPr>
          <w:b/>
          <w:bCs/>
          <w:i/>
          <w:iCs/>
        </w:rPr>
        <w:t xml:space="preserve">interference handling </w:t>
      </w:r>
      <w:r w:rsidR="00A04DC5">
        <w:rPr>
          <w:b/>
          <w:bCs/>
          <w:i/>
          <w:iCs/>
        </w:rPr>
        <w:t xml:space="preserve">without additional adjustments. </w:t>
      </w:r>
    </w:p>
    <w:p w:rsidR="007814AA" w:rsidP="00392123" w:rsidRDefault="007814AA" w14:paraId="58BE090F" w14:textId="77777777">
      <w:pPr>
        <w:rPr>
          <w:b/>
          <w:bCs/>
          <w:i/>
          <w:iCs/>
        </w:rPr>
      </w:pPr>
    </w:p>
    <w:p w:rsidR="007814AA" w:rsidP="007814AA" w:rsidRDefault="007814AA" w14:paraId="567C9880" w14:textId="55F3944E">
      <w:pPr>
        <w:rPr>
          <w:b/>
          <w:bCs/>
          <w:i/>
          <w:iCs/>
        </w:rPr>
      </w:pPr>
      <w:r w:rsidRPr="00A3234B">
        <w:rPr>
          <w:b/>
          <w:bCs/>
          <w:i/>
          <w:iCs/>
        </w:rPr>
        <w:t xml:space="preserve">Proposal </w:t>
      </w:r>
      <w:r w:rsidR="00E74ADD">
        <w:rPr>
          <w:b/>
          <w:bCs/>
          <w:i/>
          <w:iCs/>
        </w:rPr>
        <w:t>5</w:t>
      </w:r>
      <w:r w:rsidRPr="00A3234B">
        <w:rPr>
          <w:b/>
          <w:bCs/>
          <w:i/>
          <w:iCs/>
        </w:rPr>
        <w:t xml:space="preserve">: </w:t>
      </w:r>
      <w:r w:rsidR="00AB08DB">
        <w:rPr>
          <w:b/>
          <w:bCs/>
          <w:i/>
          <w:iCs/>
        </w:rPr>
        <w:t xml:space="preserve">Study inter-gNB </w:t>
      </w:r>
      <w:r w:rsidR="004F2B00">
        <w:rPr>
          <w:b/>
          <w:bCs/>
          <w:i/>
          <w:iCs/>
        </w:rPr>
        <w:t>coordination procedures for gNB-to-gNB CLI measurement including:</w:t>
      </w:r>
    </w:p>
    <w:p w:rsidRPr="008D708A" w:rsidR="008D708A" w:rsidP="008D708A" w:rsidRDefault="008D708A" w14:paraId="2562783B" w14:textId="4E46378B">
      <w:pPr>
        <w:pStyle w:val="ListParagraph"/>
        <w:numPr>
          <w:ilvl w:val="0"/>
          <w:numId w:val="23"/>
        </w:numPr>
        <w:rPr>
          <w:b/>
          <w:bCs/>
          <w:i/>
          <w:iCs/>
        </w:rPr>
      </w:pPr>
      <w:r>
        <w:rPr>
          <w:b/>
          <w:bCs/>
          <w:i/>
          <w:iCs/>
        </w:rPr>
        <w:t xml:space="preserve">Procedures for coordinated inter-gNB reference signal transmissions for gNB-to-gNB CLI </w:t>
      </w:r>
      <w:r w:rsidR="004663DA">
        <w:rPr>
          <w:b/>
          <w:bCs/>
          <w:i/>
          <w:iCs/>
        </w:rPr>
        <w:t>measurement and corresponding UE support.</w:t>
      </w:r>
    </w:p>
    <w:p w:rsidR="004F2B00" w:rsidP="004F2B00" w:rsidRDefault="00D04C69" w14:paraId="55E59008" w14:textId="36B206F7">
      <w:pPr>
        <w:pStyle w:val="ListParagraph"/>
        <w:numPr>
          <w:ilvl w:val="0"/>
          <w:numId w:val="23"/>
        </w:numPr>
        <w:rPr>
          <w:b/>
          <w:bCs/>
          <w:i/>
          <w:iCs/>
        </w:rPr>
      </w:pPr>
      <w:r>
        <w:rPr>
          <w:b/>
          <w:bCs/>
          <w:i/>
          <w:iCs/>
        </w:rPr>
        <w:t xml:space="preserve">Procedures for </w:t>
      </w:r>
      <w:r w:rsidR="008D708A">
        <w:rPr>
          <w:b/>
          <w:bCs/>
          <w:i/>
          <w:iCs/>
        </w:rPr>
        <w:t>utiliz</w:t>
      </w:r>
      <w:r w:rsidR="00976E56">
        <w:rPr>
          <w:b/>
          <w:bCs/>
          <w:i/>
          <w:iCs/>
        </w:rPr>
        <w:t>ing</w:t>
      </w:r>
      <w:r>
        <w:rPr>
          <w:b/>
          <w:bCs/>
          <w:i/>
          <w:iCs/>
        </w:rPr>
        <w:t xml:space="preserve"> existing </w:t>
      </w:r>
      <w:r w:rsidR="008D708A">
        <w:rPr>
          <w:b/>
          <w:bCs/>
          <w:i/>
          <w:iCs/>
        </w:rPr>
        <w:t xml:space="preserve">and readily available </w:t>
      </w:r>
      <w:r>
        <w:rPr>
          <w:b/>
          <w:bCs/>
          <w:i/>
          <w:iCs/>
        </w:rPr>
        <w:t xml:space="preserve">reference signals for </w:t>
      </w:r>
      <w:r w:rsidR="001F405D">
        <w:rPr>
          <w:b/>
          <w:bCs/>
          <w:i/>
          <w:iCs/>
        </w:rPr>
        <w:t>gNB-to-gNB CLI measurement</w:t>
      </w:r>
      <w:r w:rsidR="004663DA">
        <w:rPr>
          <w:b/>
          <w:bCs/>
          <w:i/>
          <w:iCs/>
        </w:rPr>
        <w:t>, and corresponding UE support.</w:t>
      </w:r>
    </w:p>
    <w:p w:rsidRPr="007825E0" w:rsidR="007814AA" w:rsidP="00392123" w:rsidRDefault="00EF1AE7" w14:paraId="4201B4A9" w14:textId="12E6EF78">
      <w:pPr>
        <w:pStyle w:val="ListParagraph"/>
        <w:numPr>
          <w:ilvl w:val="0"/>
          <w:numId w:val="23"/>
        </w:numPr>
        <w:rPr>
          <w:b/>
          <w:bCs/>
          <w:i/>
          <w:iCs/>
        </w:rPr>
      </w:pPr>
      <w:r>
        <w:rPr>
          <w:b/>
          <w:bCs/>
          <w:i/>
          <w:iCs/>
        </w:rPr>
        <w:t xml:space="preserve">RAN3 </w:t>
      </w:r>
      <w:r w:rsidR="004663DA">
        <w:rPr>
          <w:b/>
          <w:bCs/>
          <w:i/>
          <w:iCs/>
        </w:rPr>
        <w:t>to support backhaul coordination signaling procedures for gNB-to-gNB CLI measurement</w:t>
      </w:r>
      <w:r w:rsidR="004C56BC">
        <w:rPr>
          <w:b/>
          <w:bCs/>
          <w:i/>
          <w:iCs/>
        </w:rPr>
        <w:t>.</w:t>
      </w:r>
    </w:p>
    <w:p w:rsidRPr="00133845" w:rsidR="00133845" w:rsidP="00133845" w:rsidRDefault="00133845" w14:paraId="6AF94C41" w14:textId="77777777">
      <w:pPr>
        <w:pBdr>
          <w:bottom w:val="single" w:color="auto" w:sz="6" w:space="1"/>
        </w:pBdr>
        <w:rPr>
          <w:b/>
          <w:bCs/>
        </w:rPr>
      </w:pPr>
    </w:p>
    <w:p w:rsidRPr="000E2729" w:rsidR="006D4AAD" w:rsidRDefault="006342FD" w14:paraId="64B6AE28" w14:textId="77777777">
      <w:pPr>
        <w:pStyle w:val="Heading1"/>
        <w:rPr>
          <w:sz w:val="36"/>
          <w:szCs w:val="36"/>
        </w:rPr>
      </w:pPr>
      <w:r w:rsidRPr="000E2729">
        <w:rPr>
          <w:rFonts w:eastAsia="Wingdings" w:cs="Wingdings"/>
          <w:sz w:val="36"/>
          <w:szCs w:val="36"/>
        </w:rPr>
        <w:t>Conclusion</w:t>
      </w:r>
    </w:p>
    <w:p w:rsidRPr="00DC4CB1" w:rsidR="00FE51A8" w:rsidP="001211FD" w:rsidRDefault="4989BE7F" w14:paraId="5CD14C57" w14:textId="040B1B51">
      <w:pPr>
        <w:rPr>
          <w:rFonts w:eastAsia="Wingdings" w:cs="Wingdings"/>
          <w:kern w:val="2"/>
          <w:lang w:val="en-GB"/>
        </w:rPr>
      </w:pPr>
      <w:r w:rsidRPr="00BD6F27">
        <w:rPr>
          <w:rFonts w:eastAsia="Wingdings" w:cs="Wingdings"/>
          <w:lang w:val="en-GB"/>
        </w:rPr>
        <w:t>The following observations and proposals are made in this contribution</w:t>
      </w:r>
      <w:r w:rsidR="00804018">
        <w:rPr>
          <w:rFonts w:eastAsia="Wingdings" w:cs="Wingdings"/>
          <w:lang w:val="en-GB"/>
        </w:rPr>
        <w:t>:</w:t>
      </w:r>
    </w:p>
    <w:p w:rsidRPr="00FB3601" w:rsidR="00624186" w:rsidP="00624186" w:rsidRDefault="00624186" w14:paraId="50518AF6" w14:textId="77777777">
      <w:pPr>
        <w:rPr>
          <w:b/>
          <w:bCs/>
          <w:i/>
          <w:iCs/>
        </w:rPr>
      </w:pPr>
      <w:r w:rsidRPr="00337923">
        <w:rPr>
          <w:b/>
          <w:bCs/>
          <w:i/>
          <w:iCs/>
        </w:rPr>
        <w:t xml:space="preserve">Observation </w:t>
      </w:r>
      <w:r>
        <w:rPr>
          <w:b/>
          <w:bCs/>
          <w:i/>
          <w:iCs/>
        </w:rPr>
        <w:t>1</w:t>
      </w:r>
      <w:r w:rsidRPr="00337923">
        <w:rPr>
          <w:b/>
          <w:bCs/>
          <w:i/>
          <w:iCs/>
        </w:rPr>
        <w:t>:</w:t>
      </w:r>
      <w:r>
        <w:rPr>
          <w:b/>
          <w:bCs/>
          <w:i/>
          <w:iCs/>
        </w:rPr>
        <w:t xml:space="preserve"> SBFD has different use-cases and duplexing scenarios which each has a different performance impact on cross-link interference and downlink/uplink data and control channels. </w:t>
      </w:r>
      <w:r>
        <w:rPr>
          <w:color w:val="000000" w:themeColor="text1"/>
        </w:rPr>
        <w:t xml:space="preserve"> </w:t>
      </w:r>
    </w:p>
    <w:p w:rsidR="00624186" w:rsidP="00624186" w:rsidRDefault="00624186" w14:paraId="634CD456" w14:textId="77777777">
      <w:pPr>
        <w:rPr>
          <w:color w:val="000000" w:themeColor="text1"/>
        </w:rPr>
      </w:pPr>
    </w:p>
    <w:p w:rsidR="00624186" w:rsidP="00624186" w:rsidRDefault="00624186" w14:paraId="157AC056" w14:textId="77777777">
      <w:pPr>
        <w:pBdr>
          <w:bottom w:val="single" w:color="auto" w:sz="6" w:space="1"/>
        </w:pBdr>
        <w:rPr>
          <w:b/>
          <w:bCs/>
          <w:i/>
          <w:iCs/>
        </w:rPr>
      </w:pPr>
      <w:r w:rsidRPr="00A3234B">
        <w:rPr>
          <w:b/>
          <w:bCs/>
          <w:i/>
          <w:iCs/>
        </w:rPr>
        <w:t xml:space="preserve">Proposal 1: </w:t>
      </w:r>
      <w:r>
        <w:rPr>
          <w:b/>
          <w:bCs/>
          <w:i/>
          <w:iCs/>
        </w:rPr>
        <w:t xml:space="preserve"> Discuss and prioritize a set of SBFD use-cases and evaluation scenarios. </w:t>
      </w:r>
    </w:p>
    <w:p w:rsidR="00577E18" w:rsidP="00577E18" w:rsidRDefault="00577E18" w14:paraId="34C49C4B" w14:textId="77777777">
      <w:pPr>
        <w:pBdr>
          <w:bottom w:val="single" w:color="auto" w:sz="6" w:space="1"/>
        </w:pBdr>
        <w:rPr>
          <w:b/>
          <w:bCs/>
          <w:i/>
          <w:iCs/>
        </w:rPr>
      </w:pPr>
    </w:p>
    <w:p w:rsidRPr="00A3234B" w:rsidR="00577E18" w:rsidP="00577E18" w:rsidRDefault="00577E18" w14:paraId="07293D79" w14:textId="6F32DEDE">
      <w:pPr>
        <w:pBdr>
          <w:bottom w:val="single" w:color="auto" w:sz="6" w:space="1"/>
        </w:pBdr>
        <w:rPr>
          <w:b/>
          <w:bCs/>
          <w:i/>
          <w:iCs/>
        </w:rPr>
      </w:pPr>
      <w:r w:rsidRPr="00A3234B">
        <w:rPr>
          <w:b/>
          <w:bCs/>
          <w:i/>
          <w:iCs/>
        </w:rPr>
        <w:t xml:space="preserve">Proposal </w:t>
      </w:r>
      <w:r>
        <w:rPr>
          <w:b/>
          <w:bCs/>
          <w:i/>
          <w:iCs/>
        </w:rPr>
        <w:t>2</w:t>
      </w:r>
      <w:r w:rsidRPr="00A3234B">
        <w:rPr>
          <w:b/>
          <w:bCs/>
          <w:i/>
          <w:iCs/>
        </w:rPr>
        <w:t xml:space="preserve">: </w:t>
      </w:r>
      <w:r>
        <w:rPr>
          <w:b/>
          <w:bCs/>
          <w:i/>
          <w:iCs/>
        </w:rPr>
        <w:t xml:space="preserve"> Prioritize SBFD implementations of uplink sub-bands within downlink slots/frames while uplink slots are half-duplex for gNBs and UEs.</w:t>
      </w:r>
      <w:r w:rsidR="00210F0C">
        <w:rPr>
          <w:b/>
          <w:bCs/>
          <w:i/>
          <w:iCs/>
        </w:rPr>
        <w:t xml:space="preserve"> </w:t>
      </w:r>
    </w:p>
    <w:p w:rsidR="00210F0C" w:rsidP="00210F0C" w:rsidRDefault="00210F0C" w14:paraId="2385794D" w14:textId="77777777">
      <w:pPr>
        <w:pBdr>
          <w:bottom w:val="single" w:color="auto" w:sz="6" w:space="1"/>
        </w:pBdr>
        <w:rPr>
          <w:b/>
          <w:bCs/>
          <w:i/>
          <w:iCs/>
        </w:rPr>
      </w:pPr>
    </w:p>
    <w:p w:rsidRPr="00210F0C" w:rsidR="00210F0C" w:rsidP="00210F0C" w:rsidRDefault="00210F0C" w14:paraId="4C99873D" w14:textId="4BC6C522">
      <w:pPr>
        <w:pBdr>
          <w:bottom w:val="single" w:color="auto" w:sz="6" w:space="1"/>
        </w:pBdr>
        <w:rPr>
          <w:b/>
          <w:bCs/>
          <w:i/>
          <w:iCs/>
        </w:rPr>
      </w:pPr>
      <w:r w:rsidRPr="00210F0C">
        <w:rPr>
          <w:b/>
          <w:bCs/>
          <w:i/>
          <w:iCs/>
        </w:rPr>
        <w:t xml:space="preserve">Observation 2: Current slot format indication (SFI) signaling procedure is either cell or group common, hence, lacking dynamic flexibility of SBFD resource adaptation and signaling in case SFI is adopted for carrying SBFD information.  </w:t>
      </w:r>
    </w:p>
    <w:p w:rsidRPr="00210F0C" w:rsidR="00210F0C" w:rsidP="00210F0C" w:rsidRDefault="00210F0C" w14:paraId="38E614B0" w14:textId="77777777">
      <w:pPr>
        <w:pBdr>
          <w:bottom w:val="single" w:color="auto" w:sz="6" w:space="1"/>
        </w:pBdr>
        <w:rPr>
          <w:b/>
          <w:bCs/>
          <w:i/>
          <w:iCs/>
        </w:rPr>
      </w:pPr>
    </w:p>
    <w:p w:rsidR="0058083B" w:rsidP="00210F0C" w:rsidRDefault="00210F0C" w14:paraId="2CCFE8C2" w14:textId="6DB4827F">
      <w:pPr>
        <w:pBdr>
          <w:bottom w:val="single" w:color="auto" w:sz="6" w:space="1"/>
        </w:pBdr>
        <w:rPr>
          <w:b/>
          <w:bCs/>
          <w:i/>
          <w:iCs/>
        </w:rPr>
      </w:pPr>
      <w:r w:rsidRPr="00210F0C">
        <w:rPr>
          <w:b/>
          <w:bCs/>
          <w:i/>
          <w:iCs/>
        </w:rPr>
        <w:t>Proposal 3: Consider adjustment of the current SFI procedure to support dynamic configuration of SBFD within a bandwidth part.</w:t>
      </w:r>
    </w:p>
    <w:p w:rsidR="001336F6" w:rsidP="00E15C35" w:rsidRDefault="001336F6" w14:paraId="35A2086C" w14:textId="77777777">
      <w:pPr>
        <w:pBdr>
          <w:bottom w:val="single" w:color="auto" w:sz="6" w:space="1"/>
        </w:pBdr>
        <w:rPr>
          <w:b/>
          <w:bCs/>
          <w:i/>
          <w:iCs/>
        </w:rPr>
      </w:pPr>
    </w:p>
    <w:p w:rsidRPr="00E15C35" w:rsidR="00E15C35" w:rsidP="00E15C35" w:rsidRDefault="00E15C35" w14:paraId="6A6A8C0F" w14:textId="7C17DAA7">
      <w:pPr>
        <w:pBdr>
          <w:bottom w:val="single" w:color="auto" w:sz="6" w:space="1"/>
        </w:pBdr>
        <w:rPr>
          <w:b/>
          <w:bCs/>
          <w:i/>
          <w:iCs/>
        </w:rPr>
      </w:pPr>
      <w:r w:rsidRPr="00E15C35">
        <w:rPr>
          <w:b/>
          <w:bCs/>
          <w:i/>
          <w:iCs/>
        </w:rPr>
        <w:t xml:space="preserve">Proposal 4: </w:t>
      </w:r>
      <w:r w:rsidRPr="00A50871" w:rsidR="00A50871">
        <w:rPr>
          <w:b/>
          <w:bCs/>
          <w:i/>
          <w:iCs/>
        </w:rPr>
        <w:t>Discuss and agree whether the Rel-16 UE-to-UE CLI measurement procedures are sufficient for SBFD interference handling without additional adjustments.</w:t>
      </w:r>
    </w:p>
    <w:p w:rsidRPr="00E15C35" w:rsidR="00E15C35" w:rsidP="00E15C35" w:rsidRDefault="00E15C35" w14:paraId="148BFCA2" w14:textId="77777777">
      <w:pPr>
        <w:pBdr>
          <w:bottom w:val="single" w:color="auto" w:sz="6" w:space="1"/>
        </w:pBdr>
        <w:rPr>
          <w:b/>
          <w:bCs/>
          <w:i/>
          <w:iCs/>
        </w:rPr>
      </w:pPr>
    </w:p>
    <w:p w:rsidRPr="00C238FA" w:rsidR="00C238FA" w:rsidP="00C238FA" w:rsidRDefault="00C238FA" w14:paraId="38DAD2E5" w14:textId="77777777">
      <w:pPr>
        <w:pBdr>
          <w:bottom w:val="single" w:color="auto" w:sz="6" w:space="1"/>
        </w:pBdr>
        <w:rPr>
          <w:b/>
          <w:bCs/>
          <w:i/>
          <w:iCs/>
        </w:rPr>
      </w:pPr>
      <w:r w:rsidRPr="00C238FA">
        <w:rPr>
          <w:b/>
          <w:bCs/>
          <w:i/>
          <w:iCs/>
        </w:rPr>
        <w:t>Proposal 5: Study inter-gNB coordination procedures for gNB-to-gNB CLI measurement including:</w:t>
      </w:r>
    </w:p>
    <w:p w:rsidRPr="00C238FA" w:rsidR="00C238FA" w:rsidP="00C238FA" w:rsidRDefault="00C238FA" w14:paraId="3DD96871" w14:textId="4FB15244">
      <w:pPr>
        <w:pBdr>
          <w:bottom w:val="single" w:color="auto" w:sz="6" w:space="1"/>
        </w:pBdr>
        <w:rPr>
          <w:b/>
          <w:bCs/>
          <w:i/>
          <w:iCs/>
        </w:rPr>
      </w:pPr>
      <w:r>
        <w:rPr>
          <w:b/>
          <w:bCs/>
          <w:i/>
          <w:iCs/>
        </w:rPr>
        <w:t xml:space="preserve">                  </w:t>
      </w:r>
      <w:r w:rsidRPr="00C238FA">
        <w:rPr>
          <w:b/>
          <w:bCs/>
          <w:i/>
          <w:iCs/>
        </w:rPr>
        <w:t>•</w:t>
      </w:r>
      <w:r w:rsidRPr="00C238FA">
        <w:rPr>
          <w:b/>
          <w:bCs/>
          <w:i/>
          <w:iCs/>
        </w:rPr>
        <w:tab/>
      </w:r>
      <w:r w:rsidRPr="00C238FA">
        <w:rPr>
          <w:b/>
          <w:bCs/>
          <w:i/>
          <w:iCs/>
        </w:rPr>
        <w:t xml:space="preserve">Procedures for coordinated inter-gNB reference signal transmissions for gNB-to-gNB CLI </w:t>
      </w:r>
      <w:r w:rsidR="003D30CA">
        <w:rPr>
          <w:b/>
          <w:bCs/>
          <w:i/>
          <w:iCs/>
        </w:rPr>
        <w:t xml:space="preserve">         </w:t>
      </w:r>
      <w:r w:rsidRPr="00C238FA">
        <w:rPr>
          <w:b/>
          <w:bCs/>
          <w:i/>
          <w:iCs/>
        </w:rPr>
        <w:t>measurement and corresponding UE support.</w:t>
      </w:r>
    </w:p>
    <w:p w:rsidRPr="00C238FA" w:rsidR="00C238FA" w:rsidP="00C238FA" w:rsidRDefault="00C238FA" w14:paraId="58889B4E" w14:textId="528BE7AA">
      <w:pPr>
        <w:pBdr>
          <w:bottom w:val="single" w:color="auto" w:sz="6" w:space="1"/>
        </w:pBdr>
        <w:rPr>
          <w:b/>
          <w:bCs/>
          <w:i/>
          <w:iCs/>
        </w:rPr>
      </w:pPr>
      <w:r>
        <w:rPr>
          <w:b/>
          <w:bCs/>
          <w:i/>
          <w:iCs/>
        </w:rPr>
        <w:t xml:space="preserve">                  </w:t>
      </w:r>
      <w:r w:rsidRPr="00C238FA">
        <w:rPr>
          <w:b/>
          <w:bCs/>
          <w:i/>
          <w:iCs/>
        </w:rPr>
        <w:t>•</w:t>
      </w:r>
      <w:r w:rsidRPr="00C238FA">
        <w:rPr>
          <w:b/>
          <w:bCs/>
          <w:i/>
          <w:iCs/>
        </w:rPr>
        <w:tab/>
      </w:r>
      <w:r w:rsidRPr="00C238FA">
        <w:rPr>
          <w:b/>
          <w:bCs/>
          <w:i/>
          <w:iCs/>
        </w:rPr>
        <w:t>Procedures for utilizing existing and readily available reference signals for gNB-to-gNB CLI measurement, and corresponding UE support.</w:t>
      </w:r>
    </w:p>
    <w:p w:rsidR="00A90B26" w:rsidP="00C238FA" w:rsidRDefault="00C238FA" w14:paraId="4ECF4B12" w14:textId="39E690E4">
      <w:pPr>
        <w:pBdr>
          <w:bottom w:val="single" w:color="auto" w:sz="6" w:space="1"/>
        </w:pBdr>
        <w:rPr>
          <w:b/>
          <w:bCs/>
          <w:i/>
          <w:iCs/>
        </w:rPr>
      </w:pPr>
      <w:r>
        <w:rPr>
          <w:b/>
          <w:bCs/>
          <w:i/>
          <w:iCs/>
        </w:rPr>
        <w:t xml:space="preserve">                  </w:t>
      </w:r>
      <w:r w:rsidRPr="00C238FA">
        <w:rPr>
          <w:b/>
          <w:bCs/>
          <w:i/>
          <w:iCs/>
        </w:rPr>
        <w:t>•</w:t>
      </w:r>
      <w:r w:rsidRPr="00C238FA">
        <w:rPr>
          <w:b/>
          <w:bCs/>
          <w:i/>
          <w:iCs/>
        </w:rPr>
        <w:tab/>
      </w:r>
      <w:r w:rsidRPr="00C238FA">
        <w:rPr>
          <w:b/>
          <w:bCs/>
          <w:i/>
          <w:iCs/>
        </w:rPr>
        <w:t>RAN3 to support backhaul coordination signaling procedures for gNB-to-gNB CLI measurement.</w:t>
      </w:r>
    </w:p>
    <w:p w:rsidRPr="007044B2" w:rsidR="006F4462" w:rsidP="0058083B" w:rsidRDefault="006F4462" w14:paraId="440DA202" w14:textId="77777777">
      <w:pPr>
        <w:pBdr>
          <w:bottom w:val="single" w:color="auto" w:sz="6" w:space="1"/>
        </w:pBdr>
        <w:rPr>
          <w:b/>
          <w:bCs/>
          <w:i/>
          <w:iCs/>
        </w:rPr>
      </w:pPr>
    </w:p>
    <w:p w:rsidRPr="00BD6F27" w:rsidR="006D4AAD" w:rsidRDefault="006342FD" w14:paraId="062687CB" w14:textId="77777777">
      <w:pPr>
        <w:pStyle w:val="Heading1"/>
        <w:numPr>
          <w:ilvl w:val="0"/>
          <w:numId w:val="0"/>
        </w:numPr>
        <w:ind w:left="432" w:hanging="432"/>
      </w:pPr>
      <w:bookmarkStart w:name="_Ref71620620" w:id="5"/>
      <w:bookmarkStart w:name="_Ref124671424" w:id="6"/>
      <w:bookmarkStart w:name="_Ref124589665" w:id="7"/>
      <w:r w:rsidRPr="00BD6F27">
        <w:rPr>
          <w:rFonts w:eastAsia="Wingdings" w:cs="Wingdings"/>
        </w:rPr>
        <w:t>References</w:t>
      </w:r>
    </w:p>
    <w:bookmarkEnd w:id="2"/>
    <w:bookmarkEnd w:id="5"/>
    <w:bookmarkEnd w:id="6"/>
    <w:bookmarkEnd w:id="7"/>
    <w:p w:rsidR="00102A59" w:rsidP="00102A59" w:rsidRDefault="00633CD7" w14:paraId="401885A5" w14:textId="0F4E6A25">
      <w:pPr>
        <w:pStyle w:val="References"/>
        <w:numPr>
          <w:ilvl w:val="0"/>
          <w:numId w:val="1"/>
        </w:numPr>
        <w:rPr>
          <w:rFonts w:eastAsia="Times New Roman"/>
          <w:color w:val="000000" w:themeColor="text1"/>
          <w:szCs w:val="20"/>
          <w:lang w:val="en-GB"/>
        </w:rPr>
      </w:pPr>
      <w:r>
        <w:rPr>
          <w:rFonts w:eastAsia="Wingdings" w:cs="Wingdings"/>
          <w:kern w:val="2"/>
          <w:lang w:val="en-GB" w:eastAsia="ko-KR"/>
        </w:rPr>
        <w:t xml:space="preserve"> </w:t>
      </w:r>
      <w:bookmarkStart w:name="OLE_LINK12" w:id="8"/>
      <w:bookmarkStart w:name="_Ref446582201" w:id="9"/>
      <w:bookmarkStart w:name="_Ref485833320" w:id="10"/>
      <w:r w:rsidRPr="00B91FD0" w:rsidR="007137BB">
        <w:rPr>
          <w:rFonts w:eastAsia="Wingdings" w:cs="Wingdings"/>
          <w:i/>
          <w:iCs/>
          <w:kern w:val="2"/>
          <w:lang w:val="en-GB"/>
        </w:rPr>
        <w:t>New SI: Study on evolution of NR duplex operation</w:t>
      </w:r>
      <w:r w:rsidR="00B91FD0">
        <w:rPr>
          <w:rFonts w:eastAsia="Wingdings" w:cs="Wingdings"/>
          <w:kern w:val="2"/>
          <w:lang w:val="en-GB" w:eastAsia="ko-KR"/>
        </w:rPr>
        <w:t xml:space="preserve">, </w:t>
      </w:r>
      <w:r w:rsidRPr="4989BE7F" w:rsidR="00102A59">
        <w:rPr>
          <w:rFonts w:eastAsia="Wingdings" w:cs="Wingdings"/>
          <w:kern w:val="2"/>
          <w:lang w:val="en-GB" w:eastAsia="ko-KR"/>
        </w:rPr>
        <w:t>RP-</w:t>
      </w:r>
      <w:bookmarkEnd w:id="8"/>
      <w:r w:rsidRPr="4989BE7F" w:rsidR="00102A59">
        <w:rPr>
          <w:rFonts w:eastAsia="Wingdings" w:cs="Wingdings"/>
          <w:kern w:val="2"/>
          <w:lang w:val="en-GB" w:eastAsia="ko-KR"/>
        </w:rPr>
        <w:t>21</w:t>
      </w:r>
      <w:r w:rsidRPr="4989BE7F" w:rsidR="00102A59">
        <w:rPr>
          <w:rFonts w:eastAsia="Wingdings" w:cs="Wingdings"/>
          <w:kern w:val="2"/>
          <w:lang w:val="en-GB"/>
        </w:rPr>
        <w:t>3591</w:t>
      </w:r>
      <w:bookmarkEnd w:id="9"/>
      <w:bookmarkEnd w:id="10"/>
      <w:r w:rsidRPr="4989BE7F" w:rsidR="00102A59">
        <w:rPr>
          <w:rFonts w:eastAsia="Wingdings" w:cs="Wingdings"/>
          <w:kern w:val="2"/>
          <w:lang w:val="en-GB"/>
        </w:rPr>
        <w:t>, RAN#94-e, Dec. 2021</w:t>
      </w:r>
    </w:p>
    <w:p w:rsidRPr="00BD6F27" w:rsidR="006D4AAD" w:rsidP="004A1280" w:rsidRDefault="006D4AAD" w14:paraId="5E3F0A25" w14:textId="7D3D8C79">
      <w:pPr>
        <w:pStyle w:val="References"/>
        <w:numPr>
          <w:ilvl w:val="0"/>
          <w:numId w:val="0"/>
        </w:numPr>
        <w:ind w:left="720"/>
        <w:rPr>
          <w:rFonts w:eastAsia="Times New Roman"/>
          <w:szCs w:val="20"/>
          <w:lang w:val="en-GB" w:eastAsia="ko-KR"/>
        </w:rPr>
      </w:pPr>
    </w:p>
    <w:sectPr w:rsidRPr="00BD6F27" w:rsidR="006D4AAD">
      <w:pgSz w:w="11906" w:h="16838" w:orient="portrait"/>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B7462" w:rsidP="008D75C9" w:rsidRDefault="00AB7462" w14:paraId="1190042E" w14:textId="77777777">
      <w:pPr>
        <w:spacing w:after="0"/>
      </w:pPr>
      <w:r>
        <w:separator/>
      </w:r>
    </w:p>
  </w:endnote>
  <w:endnote w:type="continuationSeparator" w:id="0">
    <w:p w:rsidR="00AB7462" w:rsidP="008D75C9" w:rsidRDefault="00AB7462" w14:paraId="73255AF8"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charset w:val="00"/>
    <w:family w:val="roman"/>
    <w:pitch w:val="default"/>
  </w:font>
  <w:font w:name="FreeSans">
    <w:altName w:val="Calibri"/>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B7462" w:rsidP="008D75C9" w:rsidRDefault="00AB7462" w14:paraId="24353E44" w14:textId="77777777">
      <w:pPr>
        <w:spacing w:after="0"/>
      </w:pPr>
      <w:r>
        <w:separator/>
      </w:r>
    </w:p>
  </w:footnote>
  <w:footnote w:type="continuationSeparator" w:id="0">
    <w:p w:rsidR="00AB7462" w:rsidP="008D75C9" w:rsidRDefault="00AB7462" w14:paraId="5720B4C3"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lvlText w:val="o"/>
      <w:lvlJc w:val="left"/>
      <w:pPr>
        <w:tabs>
          <w:tab w:val="num" w:pos="0"/>
        </w:tabs>
        <w:ind w:left="720" w:hanging="360"/>
      </w:pPr>
      <w:rPr>
        <w:rFonts w:hint="default" w:ascii="Courier New" w:hAnsi="Courier New" w:cs="Courier New"/>
        <w:lang w:eastAsia="ko-KR"/>
      </w:rPr>
    </w:lvl>
    <w:lvl w:ilvl="1">
      <w:start w:val="1"/>
      <w:numFmt w:val="bullet"/>
      <w:lvlText w:val="o"/>
      <w:lvlJc w:val="left"/>
      <w:pPr>
        <w:tabs>
          <w:tab w:val="num" w:pos="0"/>
        </w:tabs>
        <w:ind w:left="1440" w:hanging="360"/>
      </w:pPr>
      <w:rPr>
        <w:rFonts w:hint="default" w:ascii="Courier New" w:hAnsi="Courier New" w:cs="Courier New"/>
        <w:lang w:eastAsia="ko-KR"/>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lang w:eastAsia="ko-KR"/>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lang w:eastAsia="ko-KR"/>
      </w:rPr>
    </w:lvl>
    <w:lvl w:ilvl="8">
      <w:start w:val="1"/>
      <w:numFmt w:val="bullet"/>
      <w:lvlText w:val=""/>
      <w:lvlJc w:val="left"/>
      <w:pPr>
        <w:tabs>
          <w:tab w:val="num" w:pos="0"/>
        </w:tabs>
        <w:ind w:left="6480" w:hanging="360"/>
      </w:pPr>
      <w:rPr>
        <w:rFonts w:hint="default" w:ascii="Wingdings" w:hAnsi="Wingdings" w:cs="Wingdings"/>
      </w:rPr>
    </w:lvl>
  </w:abstractNum>
  <w:abstractNum w:abstractNumId="3" w15:restartNumberingAfterBreak="0">
    <w:nsid w:val="00000004"/>
    <w:multiLevelType w:val="multilevel"/>
    <w:tmpl w:val="00000004"/>
    <w:name w:val="WW8Num4"/>
    <w:lvl w:ilvl="0">
      <w:start w:val="1"/>
      <w:numFmt w:val="bullet"/>
      <w:lvlText w:val="o"/>
      <w:lvlJc w:val="left"/>
      <w:pPr>
        <w:tabs>
          <w:tab w:val="num" w:pos="0"/>
        </w:tabs>
        <w:ind w:left="720" w:hanging="360"/>
      </w:pPr>
      <w:rPr>
        <w:rFonts w:hint="default" w:ascii="Courier New" w:hAnsi="Courier New" w:cs="Courier New"/>
        <w:lang w:eastAsia="ko-KR"/>
      </w:rPr>
    </w:lvl>
    <w:lvl w:ilvl="1">
      <w:start w:val="1"/>
      <w:numFmt w:val="bullet"/>
      <w:lvlText w:val="o"/>
      <w:lvlJc w:val="left"/>
      <w:pPr>
        <w:tabs>
          <w:tab w:val="num" w:pos="0"/>
        </w:tabs>
        <w:ind w:left="1440" w:hanging="360"/>
      </w:pPr>
      <w:rPr>
        <w:rFonts w:hint="default" w:ascii="Courier New" w:hAnsi="Courier New" w:cs="Courier New"/>
        <w:lang w:eastAsia="ko-KR"/>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lang w:eastAsia="ko-KR"/>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lang w:eastAsia="ko-KR"/>
      </w:rPr>
    </w:lvl>
    <w:lvl w:ilvl="8">
      <w:start w:val="1"/>
      <w:numFmt w:val="bullet"/>
      <w:lvlText w:val=""/>
      <w:lvlJc w:val="left"/>
      <w:pPr>
        <w:tabs>
          <w:tab w:val="num" w:pos="0"/>
        </w:tabs>
        <w:ind w:left="6480" w:hanging="360"/>
      </w:pPr>
      <w:rPr>
        <w:rFonts w:hint="default"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hint="default" w:ascii="Symbol" w:hAnsi="Symbol" w:cs="Symbol"/>
        <w:lang w:eastAsia="ko-KR"/>
      </w:rPr>
    </w:lvl>
    <w:lvl w:ilvl="1">
      <w:start w:val="1"/>
      <w:numFmt w:val="bullet"/>
      <w:lvlText w:val="o"/>
      <w:lvlJc w:val="left"/>
      <w:pPr>
        <w:tabs>
          <w:tab w:val="num" w:pos="0"/>
        </w:tabs>
        <w:ind w:left="1440" w:hanging="360"/>
      </w:pPr>
      <w:rPr>
        <w:rFonts w:hint="default" w:ascii="Courier New" w:hAnsi="Courier New" w:cs="Courier New"/>
        <w:sz w:val="24"/>
        <w:szCs w:val="24"/>
        <w:lang w:eastAsia="en-US"/>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lang w:eastAsia="ko-KR"/>
      </w:rPr>
    </w:lvl>
    <w:lvl w:ilvl="4">
      <w:start w:val="1"/>
      <w:numFmt w:val="bullet"/>
      <w:lvlText w:val="o"/>
      <w:lvlJc w:val="left"/>
      <w:pPr>
        <w:tabs>
          <w:tab w:val="num" w:pos="0"/>
        </w:tabs>
        <w:ind w:left="3600" w:hanging="360"/>
      </w:pPr>
      <w:rPr>
        <w:rFonts w:hint="default" w:ascii="Courier New" w:hAnsi="Courier New" w:cs="Courier New"/>
        <w:sz w:val="24"/>
        <w:szCs w:val="24"/>
        <w:lang w:eastAsia="en-US"/>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lang w:eastAsia="ko-KR"/>
      </w:rPr>
    </w:lvl>
    <w:lvl w:ilvl="7">
      <w:start w:val="1"/>
      <w:numFmt w:val="bullet"/>
      <w:lvlText w:val="o"/>
      <w:lvlJc w:val="left"/>
      <w:pPr>
        <w:tabs>
          <w:tab w:val="num" w:pos="0"/>
        </w:tabs>
        <w:ind w:left="5760" w:hanging="360"/>
      </w:pPr>
      <w:rPr>
        <w:rFonts w:hint="default" w:ascii="Courier New" w:hAnsi="Courier New" w:cs="Courier New"/>
        <w:sz w:val="24"/>
        <w:szCs w:val="24"/>
        <w:lang w:eastAsia="en-US"/>
      </w:rPr>
    </w:lvl>
    <w:lvl w:ilvl="8">
      <w:start w:val="1"/>
      <w:numFmt w:val="bullet"/>
      <w:lvlText w:val=""/>
      <w:lvlJc w:val="left"/>
      <w:pPr>
        <w:tabs>
          <w:tab w:val="num" w:pos="0"/>
        </w:tabs>
        <w:ind w:left="6480" w:hanging="360"/>
      </w:pPr>
      <w:rPr>
        <w:rFonts w:hint="default" w:ascii="Wingdings" w:hAnsi="Wingdings" w:cs="Wingdings"/>
      </w:rPr>
    </w:lvl>
  </w:abstractNum>
  <w:abstractNum w:abstractNumId="5" w15:restartNumberingAfterBreak="0">
    <w:nsid w:val="00000006"/>
    <w:multiLevelType w:val="multilevel"/>
    <w:tmpl w:val="00000006"/>
    <w:name w:val="WW8Num6"/>
    <w:lvl w:ilvl="0">
      <w:start w:val="4"/>
      <w:numFmt w:val="bullet"/>
      <w:lvlText w:val="-"/>
      <w:lvlJc w:val="left"/>
      <w:pPr>
        <w:tabs>
          <w:tab w:val="num" w:pos="0"/>
        </w:tabs>
        <w:ind w:left="1080" w:hanging="360"/>
      </w:pPr>
      <w:rPr>
        <w:rFonts w:ascii="Times New Roman" w:hAnsi="Times New Roman" w:cs="Times New Roman"/>
        <w:lang w:eastAsia="ko-KR"/>
      </w:rPr>
    </w:lvl>
    <w:lvl w:ilvl="1">
      <w:start w:val="1"/>
      <w:numFmt w:val="bullet"/>
      <w:lvlText w:val=""/>
      <w:lvlJc w:val="left"/>
      <w:pPr>
        <w:tabs>
          <w:tab w:val="num" w:pos="0"/>
        </w:tabs>
        <w:ind w:left="1520" w:hanging="400"/>
      </w:pPr>
      <w:rPr>
        <w:rFonts w:ascii="Wingdings" w:hAnsi="Wingdings" w:cs="Wingdings"/>
      </w:rPr>
    </w:lvl>
    <w:lvl w:ilvl="2">
      <w:start w:val="1"/>
      <w:numFmt w:val="bullet"/>
      <w:lvlText w:val=""/>
      <w:lvlJc w:val="left"/>
      <w:pPr>
        <w:tabs>
          <w:tab w:val="num" w:pos="0"/>
        </w:tabs>
        <w:ind w:left="1920" w:hanging="400"/>
      </w:pPr>
      <w:rPr>
        <w:rFonts w:ascii="Wingdings" w:hAnsi="Wingdings" w:cs="Wingdings"/>
      </w:rPr>
    </w:lvl>
    <w:lvl w:ilvl="3">
      <w:start w:val="1"/>
      <w:numFmt w:val="bullet"/>
      <w:lvlText w:val=""/>
      <w:lvlJc w:val="left"/>
      <w:pPr>
        <w:tabs>
          <w:tab w:val="num" w:pos="0"/>
        </w:tabs>
        <w:ind w:left="2320" w:hanging="400"/>
      </w:pPr>
      <w:rPr>
        <w:rFonts w:ascii="Wingdings" w:hAnsi="Wingdings" w:cs="Wingdings"/>
      </w:rPr>
    </w:lvl>
    <w:lvl w:ilvl="4">
      <w:start w:val="1"/>
      <w:numFmt w:val="bullet"/>
      <w:lvlText w:val=""/>
      <w:lvlJc w:val="left"/>
      <w:pPr>
        <w:tabs>
          <w:tab w:val="num" w:pos="0"/>
        </w:tabs>
        <w:ind w:left="2720" w:hanging="400"/>
      </w:pPr>
      <w:rPr>
        <w:rFonts w:ascii="Wingdings" w:hAnsi="Wingdings" w:cs="Wingdings"/>
      </w:rPr>
    </w:lvl>
    <w:lvl w:ilvl="5">
      <w:start w:val="1"/>
      <w:numFmt w:val="bullet"/>
      <w:lvlText w:val=""/>
      <w:lvlJc w:val="left"/>
      <w:pPr>
        <w:tabs>
          <w:tab w:val="num" w:pos="0"/>
        </w:tabs>
        <w:ind w:left="3120" w:hanging="400"/>
      </w:pPr>
      <w:rPr>
        <w:rFonts w:ascii="Wingdings" w:hAnsi="Wingdings" w:cs="Wingdings"/>
      </w:rPr>
    </w:lvl>
    <w:lvl w:ilvl="6">
      <w:start w:val="1"/>
      <w:numFmt w:val="bullet"/>
      <w:lvlText w:val=""/>
      <w:lvlJc w:val="left"/>
      <w:pPr>
        <w:tabs>
          <w:tab w:val="num" w:pos="0"/>
        </w:tabs>
        <w:ind w:left="3520" w:hanging="400"/>
      </w:pPr>
      <w:rPr>
        <w:rFonts w:ascii="Wingdings" w:hAnsi="Wingdings" w:cs="Wingdings"/>
      </w:rPr>
    </w:lvl>
    <w:lvl w:ilvl="7">
      <w:start w:val="1"/>
      <w:numFmt w:val="bullet"/>
      <w:lvlText w:val=""/>
      <w:lvlJc w:val="left"/>
      <w:pPr>
        <w:tabs>
          <w:tab w:val="num" w:pos="0"/>
        </w:tabs>
        <w:ind w:left="3920" w:hanging="400"/>
      </w:pPr>
      <w:rPr>
        <w:rFonts w:ascii="Wingdings" w:hAnsi="Wingdings" w:cs="Wingdings"/>
      </w:rPr>
    </w:lvl>
    <w:lvl w:ilvl="8">
      <w:start w:val="1"/>
      <w:numFmt w:val="bullet"/>
      <w:lvlText w:val=""/>
      <w:lvlJc w:val="left"/>
      <w:pPr>
        <w:tabs>
          <w:tab w:val="num" w:pos="0"/>
        </w:tabs>
        <w:ind w:left="4320" w:hanging="400"/>
      </w:pPr>
      <w:rPr>
        <w:rFonts w:ascii="Wingdings" w:hAnsi="Wingdings" w:cs="Wingdings"/>
      </w:rPr>
    </w:lvl>
  </w:abstractNum>
  <w:abstractNum w:abstractNumId="6" w15:restartNumberingAfterBreak="0">
    <w:nsid w:val="01DC79B5"/>
    <w:multiLevelType w:val="hybridMultilevel"/>
    <w:tmpl w:val="AFDAD45E"/>
    <w:lvl w:ilvl="0" w:tplc="04090003">
      <w:start w:val="1"/>
      <w:numFmt w:val="bullet"/>
      <w:lvlText w:val="o"/>
      <w:lvlJc w:val="left"/>
      <w:pPr>
        <w:ind w:left="1080" w:hanging="360"/>
      </w:pPr>
      <w:rPr>
        <w:rFonts w:hint="default" w:ascii="Courier New" w:hAnsi="Courier New" w:cs="Courier New"/>
      </w:rPr>
    </w:lvl>
    <w:lvl w:ilvl="1" w:tplc="0409000D">
      <w:start w:val="1"/>
      <w:numFmt w:val="bullet"/>
      <w:lvlText w:val=""/>
      <w:lvlJc w:val="left"/>
      <w:pPr>
        <w:ind w:left="1520" w:hanging="400"/>
      </w:pPr>
      <w:rPr>
        <w:rFonts w:hint="default" w:ascii="Wingdings" w:hAnsi="Wingdings"/>
      </w:rPr>
    </w:lvl>
    <w:lvl w:ilvl="2" w:tplc="04090005" w:tentative="1">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7" w15:restartNumberingAfterBreak="0">
    <w:nsid w:val="0322655D"/>
    <w:multiLevelType w:val="hybridMultilevel"/>
    <w:tmpl w:val="C1020122"/>
    <w:lvl w:ilvl="0" w:tplc="EC54F29C">
      <w:start w:val="1"/>
      <w:numFmt w:val="decimal"/>
      <w:lvlText w:val="%1."/>
      <w:lvlJc w:val="left"/>
      <w:pPr>
        <w:ind w:left="720" w:hanging="360"/>
      </w:pPr>
    </w:lvl>
    <w:lvl w:ilvl="1" w:tplc="024C73A0">
      <w:start w:val="1"/>
      <w:numFmt w:val="lowerLetter"/>
      <w:lvlText w:val="%2."/>
      <w:lvlJc w:val="left"/>
      <w:pPr>
        <w:ind w:left="1440" w:hanging="360"/>
      </w:pPr>
    </w:lvl>
    <w:lvl w:ilvl="2" w:tplc="4D0E943A">
      <w:start w:val="1"/>
      <w:numFmt w:val="lowerRoman"/>
      <w:lvlText w:val="%3."/>
      <w:lvlJc w:val="right"/>
      <w:pPr>
        <w:ind w:left="2160" w:hanging="180"/>
      </w:pPr>
    </w:lvl>
    <w:lvl w:ilvl="3" w:tplc="E794D662">
      <w:start w:val="1"/>
      <w:numFmt w:val="decimal"/>
      <w:lvlText w:val="%4."/>
      <w:lvlJc w:val="left"/>
      <w:pPr>
        <w:ind w:left="2880" w:hanging="360"/>
      </w:pPr>
    </w:lvl>
    <w:lvl w:ilvl="4" w:tplc="EA2AE62A">
      <w:start w:val="1"/>
      <w:numFmt w:val="lowerLetter"/>
      <w:lvlText w:val="%5."/>
      <w:lvlJc w:val="left"/>
      <w:pPr>
        <w:ind w:left="3600" w:hanging="360"/>
      </w:pPr>
    </w:lvl>
    <w:lvl w:ilvl="5" w:tplc="66B6D5CE">
      <w:start w:val="1"/>
      <w:numFmt w:val="lowerRoman"/>
      <w:lvlText w:val="%6."/>
      <w:lvlJc w:val="right"/>
      <w:pPr>
        <w:ind w:left="4320" w:hanging="180"/>
      </w:pPr>
    </w:lvl>
    <w:lvl w:ilvl="6" w:tplc="C730EE66">
      <w:start w:val="1"/>
      <w:numFmt w:val="decimal"/>
      <w:lvlText w:val="%7."/>
      <w:lvlJc w:val="left"/>
      <w:pPr>
        <w:ind w:left="5040" w:hanging="360"/>
      </w:pPr>
    </w:lvl>
    <w:lvl w:ilvl="7" w:tplc="6B563BB6">
      <w:start w:val="1"/>
      <w:numFmt w:val="lowerLetter"/>
      <w:lvlText w:val="%8."/>
      <w:lvlJc w:val="left"/>
      <w:pPr>
        <w:ind w:left="5760" w:hanging="360"/>
      </w:pPr>
    </w:lvl>
    <w:lvl w:ilvl="8" w:tplc="3EFA570E">
      <w:start w:val="1"/>
      <w:numFmt w:val="lowerRoman"/>
      <w:lvlText w:val="%9."/>
      <w:lvlJc w:val="right"/>
      <w:pPr>
        <w:ind w:left="6480" w:hanging="180"/>
      </w:pPr>
    </w:lvl>
  </w:abstractNum>
  <w:abstractNum w:abstractNumId="8" w15:restartNumberingAfterBreak="0">
    <w:nsid w:val="058F7023"/>
    <w:multiLevelType w:val="hybridMultilevel"/>
    <w:tmpl w:val="63A4F7EE"/>
    <w:lvl w:ilvl="0" w:tplc="C108EC3C">
      <w:start w:val="4"/>
      <w:numFmt w:val="bullet"/>
      <w:lvlText w:val="-"/>
      <w:lvlJc w:val="left"/>
      <w:pPr>
        <w:ind w:left="1080" w:hanging="360"/>
      </w:pPr>
      <w:rPr>
        <w:rFonts w:hint="default" w:ascii="Times New Roman" w:hAnsi="Times New Roman" w:eastAsia="Malgun Gothic" w:cs="Times New Roman"/>
      </w:rPr>
    </w:lvl>
    <w:lvl w:ilvl="1" w:tplc="04090005">
      <w:start w:val="1"/>
      <w:numFmt w:val="bullet"/>
      <w:lvlText w:val=""/>
      <w:lvlJc w:val="left"/>
      <w:pPr>
        <w:ind w:left="1520" w:hanging="400"/>
      </w:pPr>
      <w:rPr>
        <w:rFonts w:hint="default" w:ascii="Wingdings" w:hAnsi="Wingdings"/>
      </w:rPr>
    </w:lvl>
    <w:lvl w:ilvl="2" w:tplc="04090005" w:tentative="1">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9" w15:restartNumberingAfterBreak="0">
    <w:nsid w:val="066A4AEB"/>
    <w:multiLevelType w:val="hybridMultilevel"/>
    <w:tmpl w:val="BD527936"/>
    <w:lvl w:ilvl="0" w:tplc="029C9C72">
      <w:start w:val="1"/>
      <w:numFmt w:val="bullet"/>
      <w:lvlText w:val="•"/>
      <w:lvlJc w:val="left"/>
      <w:pPr>
        <w:ind w:left="720" w:hanging="360"/>
      </w:pPr>
      <w:rPr>
        <w:rFonts w:hint="default" w:ascii="Arial" w:hAnsi="Arial"/>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0" w15:restartNumberingAfterBreak="0">
    <w:nsid w:val="09E707C2"/>
    <w:multiLevelType w:val="hybridMultilevel"/>
    <w:tmpl w:val="7660B2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16C1693"/>
    <w:multiLevelType w:val="hybridMultilevel"/>
    <w:tmpl w:val="583661C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hint="default" w:ascii="Times New Roman" w:hAnsi="Times New Roman" w:eastAsia="Malgun Gothic" w:cs="Times New Roman"/>
      </w:rPr>
    </w:lvl>
    <w:lvl w:ilvl="1" w:tplc="0409000D">
      <w:start w:val="1"/>
      <w:numFmt w:val="bullet"/>
      <w:lvlText w:val=""/>
      <w:lvlJc w:val="left"/>
      <w:pPr>
        <w:ind w:left="1520" w:hanging="400"/>
      </w:pPr>
      <w:rPr>
        <w:rFonts w:hint="default" w:ascii="Wingdings" w:hAnsi="Wingdings"/>
      </w:rPr>
    </w:lvl>
    <w:lvl w:ilvl="2" w:tplc="04090005" w:tentative="1">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hint="default" w:ascii="Arial" w:hAnsi="Arial"/>
      </w:rPr>
    </w:lvl>
    <w:lvl w:ilvl="1" w:tplc="04090003">
      <w:start w:val="1"/>
      <w:numFmt w:val="bullet"/>
      <w:lvlText w:val=""/>
      <w:lvlJc w:val="left"/>
      <w:pPr>
        <w:ind w:left="1200" w:hanging="400"/>
      </w:pPr>
      <w:rPr>
        <w:rFonts w:hint="default" w:ascii="Wingdings" w:hAnsi="Wingdings"/>
      </w:rPr>
    </w:lvl>
    <w:lvl w:ilvl="2" w:tplc="04090005" w:tentative="1">
      <w:start w:val="1"/>
      <w:numFmt w:val="bullet"/>
      <w:lvlText w:val=""/>
      <w:lvlJc w:val="left"/>
      <w:pPr>
        <w:ind w:left="1600" w:hanging="400"/>
      </w:pPr>
      <w:rPr>
        <w:rFonts w:hint="default" w:ascii="Wingdings" w:hAnsi="Wingdings"/>
      </w:rPr>
    </w:lvl>
    <w:lvl w:ilvl="3" w:tplc="04090001" w:tentative="1">
      <w:start w:val="1"/>
      <w:numFmt w:val="bullet"/>
      <w:lvlText w:val=""/>
      <w:lvlJc w:val="left"/>
      <w:pPr>
        <w:ind w:left="2000" w:hanging="400"/>
      </w:pPr>
      <w:rPr>
        <w:rFonts w:hint="default" w:ascii="Wingdings" w:hAnsi="Wingdings"/>
      </w:rPr>
    </w:lvl>
    <w:lvl w:ilvl="4" w:tplc="04090003" w:tentative="1">
      <w:start w:val="1"/>
      <w:numFmt w:val="bullet"/>
      <w:lvlText w:val=""/>
      <w:lvlJc w:val="left"/>
      <w:pPr>
        <w:ind w:left="2400" w:hanging="400"/>
      </w:pPr>
      <w:rPr>
        <w:rFonts w:hint="default" w:ascii="Wingdings" w:hAnsi="Wingdings"/>
      </w:rPr>
    </w:lvl>
    <w:lvl w:ilvl="5" w:tplc="04090005" w:tentative="1">
      <w:start w:val="1"/>
      <w:numFmt w:val="bullet"/>
      <w:lvlText w:val=""/>
      <w:lvlJc w:val="left"/>
      <w:pPr>
        <w:ind w:left="2800" w:hanging="400"/>
      </w:pPr>
      <w:rPr>
        <w:rFonts w:hint="default" w:ascii="Wingdings" w:hAnsi="Wingdings"/>
      </w:rPr>
    </w:lvl>
    <w:lvl w:ilvl="6" w:tplc="04090001" w:tentative="1">
      <w:start w:val="1"/>
      <w:numFmt w:val="bullet"/>
      <w:lvlText w:val=""/>
      <w:lvlJc w:val="left"/>
      <w:pPr>
        <w:ind w:left="3200" w:hanging="400"/>
      </w:pPr>
      <w:rPr>
        <w:rFonts w:hint="default" w:ascii="Wingdings" w:hAnsi="Wingdings"/>
      </w:rPr>
    </w:lvl>
    <w:lvl w:ilvl="7" w:tplc="04090003" w:tentative="1">
      <w:start w:val="1"/>
      <w:numFmt w:val="bullet"/>
      <w:lvlText w:val=""/>
      <w:lvlJc w:val="left"/>
      <w:pPr>
        <w:ind w:left="3600" w:hanging="400"/>
      </w:pPr>
      <w:rPr>
        <w:rFonts w:hint="default" w:ascii="Wingdings" w:hAnsi="Wingdings"/>
      </w:rPr>
    </w:lvl>
    <w:lvl w:ilvl="8" w:tplc="04090005" w:tentative="1">
      <w:start w:val="1"/>
      <w:numFmt w:val="bullet"/>
      <w:lvlText w:val=""/>
      <w:lvlJc w:val="left"/>
      <w:pPr>
        <w:ind w:left="4000" w:hanging="400"/>
      </w:pPr>
      <w:rPr>
        <w:rFonts w:hint="default" w:ascii="Wingdings" w:hAnsi="Wingdings"/>
      </w:rPr>
    </w:lvl>
  </w:abstractNum>
  <w:abstractNum w:abstractNumId="14" w15:restartNumberingAfterBreak="0">
    <w:nsid w:val="39E94D0D"/>
    <w:multiLevelType w:val="hybridMultilevel"/>
    <w:tmpl w:val="55202026"/>
    <w:lvl w:ilvl="0" w:tplc="04090003">
      <w:start w:val="1"/>
      <w:numFmt w:val="bullet"/>
      <w:lvlText w:val="o"/>
      <w:lvlJc w:val="left"/>
      <w:pPr>
        <w:ind w:left="1080" w:hanging="360"/>
      </w:pPr>
      <w:rPr>
        <w:rFonts w:hint="default" w:ascii="Courier New" w:hAnsi="Courier New" w:cs="Courier New"/>
      </w:rPr>
    </w:lvl>
    <w:lvl w:ilvl="1" w:tplc="0409000D">
      <w:start w:val="1"/>
      <w:numFmt w:val="bullet"/>
      <w:lvlText w:val=""/>
      <w:lvlJc w:val="left"/>
      <w:pPr>
        <w:ind w:left="1520" w:hanging="400"/>
      </w:pPr>
      <w:rPr>
        <w:rFonts w:hint="default" w:ascii="Wingdings" w:hAnsi="Wingdings"/>
      </w:rPr>
    </w:lvl>
    <w:lvl w:ilvl="2" w:tplc="04090005" w:tentative="1">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15" w15:restartNumberingAfterBreak="0">
    <w:nsid w:val="40083717"/>
    <w:multiLevelType w:val="hybridMultilevel"/>
    <w:tmpl w:val="3B80F3F6"/>
    <w:lvl w:ilvl="0" w:tplc="04090003">
      <w:start w:val="1"/>
      <w:numFmt w:val="bullet"/>
      <w:lvlText w:val="o"/>
      <w:lvlJc w:val="left"/>
      <w:pPr>
        <w:ind w:left="1080" w:hanging="360"/>
      </w:pPr>
      <w:rPr>
        <w:rFonts w:hint="default" w:ascii="Courier New" w:hAnsi="Courier New" w:cs="Courier New"/>
      </w:rPr>
    </w:lvl>
    <w:lvl w:ilvl="1" w:tplc="0409000D">
      <w:start w:val="1"/>
      <w:numFmt w:val="bullet"/>
      <w:lvlText w:val=""/>
      <w:lvlJc w:val="left"/>
      <w:pPr>
        <w:ind w:left="1520" w:hanging="400"/>
      </w:pPr>
      <w:rPr>
        <w:rFonts w:hint="default" w:ascii="Wingdings" w:hAnsi="Wingdings"/>
      </w:rPr>
    </w:lvl>
    <w:lvl w:ilvl="2" w:tplc="04090005" w:tentative="1">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16" w15:restartNumberingAfterBreak="0">
    <w:nsid w:val="5AB650B8"/>
    <w:multiLevelType w:val="hybridMultilevel"/>
    <w:tmpl w:val="F2D8F594"/>
    <w:lvl w:ilvl="0" w:tplc="04090003">
      <w:start w:val="1"/>
      <w:numFmt w:val="bullet"/>
      <w:lvlText w:val="o"/>
      <w:lvlJc w:val="left"/>
      <w:pPr>
        <w:ind w:left="1080" w:hanging="360"/>
      </w:pPr>
      <w:rPr>
        <w:rFonts w:hint="default" w:ascii="Courier New" w:hAnsi="Courier New" w:cs="Courier New"/>
      </w:rPr>
    </w:lvl>
    <w:lvl w:ilvl="1" w:tplc="0409000D">
      <w:start w:val="1"/>
      <w:numFmt w:val="bullet"/>
      <w:lvlText w:val=""/>
      <w:lvlJc w:val="left"/>
      <w:pPr>
        <w:ind w:left="1520" w:hanging="400"/>
      </w:pPr>
      <w:rPr>
        <w:rFonts w:hint="default" w:ascii="Wingdings" w:hAnsi="Wingdings"/>
      </w:rPr>
    </w:lvl>
    <w:lvl w:ilvl="2" w:tplc="04090005">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17" w15:restartNumberingAfterBreak="0">
    <w:nsid w:val="5C613459"/>
    <w:multiLevelType w:val="hybridMultilevel"/>
    <w:tmpl w:val="F5BCDE66"/>
    <w:lvl w:ilvl="0" w:tplc="04090003">
      <w:start w:val="1"/>
      <w:numFmt w:val="bullet"/>
      <w:lvlText w:val="o"/>
      <w:lvlJc w:val="left"/>
      <w:pPr>
        <w:ind w:left="1080" w:hanging="360"/>
      </w:pPr>
      <w:rPr>
        <w:rFonts w:hint="default" w:ascii="Courier New" w:hAnsi="Courier New" w:cs="Courier New"/>
      </w:rPr>
    </w:lvl>
    <w:lvl w:ilvl="1" w:tplc="0409000D">
      <w:start w:val="1"/>
      <w:numFmt w:val="bullet"/>
      <w:lvlText w:val=""/>
      <w:lvlJc w:val="left"/>
      <w:pPr>
        <w:ind w:left="1520" w:hanging="400"/>
      </w:pPr>
      <w:rPr>
        <w:rFonts w:hint="default" w:ascii="Wingdings" w:hAnsi="Wingdings"/>
      </w:rPr>
    </w:lvl>
    <w:lvl w:ilvl="2" w:tplc="04090005">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hint="default" w:ascii="Times New Roman" w:hAnsi="Times New Roman" w:eastAsia="Malgun Gothic" w:cs="Times New Roman"/>
      </w:rPr>
    </w:lvl>
    <w:lvl w:ilvl="1" w:tplc="0409000D">
      <w:start w:val="1"/>
      <w:numFmt w:val="bullet"/>
      <w:lvlText w:val=""/>
      <w:lvlJc w:val="left"/>
      <w:pPr>
        <w:ind w:left="1520" w:hanging="400"/>
      </w:pPr>
      <w:rPr>
        <w:rFonts w:hint="default" w:ascii="Wingdings" w:hAnsi="Wingdings"/>
      </w:rPr>
    </w:lvl>
    <w:lvl w:ilvl="2" w:tplc="04090005">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19" w15:restartNumberingAfterBreak="0">
    <w:nsid w:val="62D265C6"/>
    <w:multiLevelType w:val="hybridMultilevel"/>
    <w:tmpl w:val="4A262A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8832428"/>
    <w:multiLevelType w:val="hybridMultilevel"/>
    <w:tmpl w:val="B0E6E8C0"/>
    <w:lvl w:ilvl="0" w:tplc="04090003">
      <w:start w:val="1"/>
      <w:numFmt w:val="bullet"/>
      <w:lvlText w:val="o"/>
      <w:lvlJc w:val="left"/>
      <w:pPr>
        <w:ind w:left="1080" w:hanging="360"/>
      </w:pPr>
      <w:rPr>
        <w:rFonts w:hint="default" w:ascii="Courier New" w:hAnsi="Courier New" w:cs="Courier New"/>
      </w:rPr>
    </w:lvl>
    <w:lvl w:ilvl="1" w:tplc="0409000D">
      <w:start w:val="1"/>
      <w:numFmt w:val="bullet"/>
      <w:lvlText w:val=""/>
      <w:lvlJc w:val="left"/>
      <w:pPr>
        <w:ind w:left="1520" w:hanging="400"/>
      </w:pPr>
      <w:rPr>
        <w:rFonts w:hint="default" w:ascii="Wingdings" w:hAnsi="Wingdings"/>
      </w:rPr>
    </w:lvl>
    <w:lvl w:ilvl="2" w:tplc="04090005" w:tentative="1">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21" w15:restartNumberingAfterBreak="0">
    <w:nsid w:val="73A96A29"/>
    <w:multiLevelType w:val="hybridMultilevel"/>
    <w:tmpl w:val="FED60A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0D0D38"/>
    <w:multiLevelType w:val="hybridMultilevel"/>
    <w:tmpl w:val="A42E2930"/>
    <w:lvl w:ilvl="0" w:tplc="04090003">
      <w:start w:val="1"/>
      <w:numFmt w:val="bullet"/>
      <w:lvlText w:val="o"/>
      <w:lvlJc w:val="left"/>
      <w:pPr>
        <w:ind w:left="1080" w:hanging="360"/>
      </w:pPr>
      <w:rPr>
        <w:rFonts w:hint="default" w:ascii="Courier New" w:hAnsi="Courier New" w:cs="Courier New"/>
      </w:rPr>
    </w:lvl>
    <w:lvl w:ilvl="1" w:tplc="0409000D">
      <w:start w:val="1"/>
      <w:numFmt w:val="bullet"/>
      <w:lvlText w:val=""/>
      <w:lvlJc w:val="left"/>
      <w:pPr>
        <w:ind w:left="1520" w:hanging="400"/>
      </w:pPr>
      <w:rPr>
        <w:rFonts w:hint="default" w:ascii="Wingdings" w:hAnsi="Wingdings"/>
      </w:rPr>
    </w:lvl>
    <w:lvl w:ilvl="2" w:tplc="04090005" w:tentative="1">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12"/>
  </w:num>
  <w:num w:numId="9">
    <w:abstractNumId w:val="13"/>
  </w:num>
  <w:num w:numId="10">
    <w:abstractNumId w:val="18"/>
  </w:num>
  <w:num w:numId="11">
    <w:abstractNumId w:val="9"/>
  </w:num>
  <w:num w:numId="12">
    <w:abstractNumId w:val="8"/>
  </w:num>
  <w:num w:numId="13">
    <w:abstractNumId w:val="15"/>
  </w:num>
  <w:num w:numId="14">
    <w:abstractNumId w:val="20"/>
  </w:num>
  <w:num w:numId="15">
    <w:abstractNumId w:val="14"/>
  </w:num>
  <w:num w:numId="16">
    <w:abstractNumId w:val="6"/>
  </w:num>
  <w:num w:numId="17">
    <w:abstractNumId w:val="22"/>
  </w:num>
  <w:num w:numId="18">
    <w:abstractNumId w:val="16"/>
  </w:num>
  <w:num w:numId="19">
    <w:abstractNumId w:val="17"/>
  </w:num>
  <w:num w:numId="20">
    <w:abstractNumId w:val="21"/>
  </w:num>
  <w:num w:numId="21">
    <w:abstractNumId w:val="0"/>
  </w:num>
  <w:num w:numId="22">
    <w:abstractNumId w:val="11"/>
  </w:num>
  <w:num w:numId="23">
    <w:abstractNumId w:val="19"/>
  </w:num>
  <w:num w:numId="24">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2FD"/>
    <w:rsid w:val="000002FB"/>
    <w:rsid w:val="0000052E"/>
    <w:rsid w:val="00001423"/>
    <w:rsid w:val="000015C0"/>
    <w:rsid w:val="000106C4"/>
    <w:rsid w:val="000108F3"/>
    <w:rsid w:val="00016428"/>
    <w:rsid w:val="00023BA2"/>
    <w:rsid w:val="0002673A"/>
    <w:rsid w:val="000312ED"/>
    <w:rsid w:val="0003310C"/>
    <w:rsid w:val="000339D2"/>
    <w:rsid w:val="000374A9"/>
    <w:rsid w:val="000521A7"/>
    <w:rsid w:val="00056695"/>
    <w:rsid w:val="000613AA"/>
    <w:rsid w:val="00061543"/>
    <w:rsid w:val="00071293"/>
    <w:rsid w:val="00073295"/>
    <w:rsid w:val="000732FB"/>
    <w:rsid w:val="000801B3"/>
    <w:rsid w:val="00081EB6"/>
    <w:rsid w:val="000850A6"/>
    <w:rsid w:val="00086671"/>
    <w:rsid w:val="00087973"/>
    <w:rsid w:val="00091535"/>
    <w:rsid w:val="00091F02"/>
    <w:rsid w:val="0009287F"/>
    <w:rsid w:val="0009374C"/>
    <w:rsid w:val="000A2314"/>
    <w:rsid w:val="000A2C22"/>
    <w:rsid w:val="000A44A4"/>
    <w:rsid w:val="000A7B94"/>
    <w:rsid w:val="000B5A4B"/>
    <w:rsid w:val="000B681B"/>
    <w:rsid w:val="000B7273"/>
    <w:rsid w:val="000C1047"/>
    <w:rsid w:val="000C144A"/>
    <w:rsid w:val="000C2319"/>
    <w:rsid w:val="000C2590"/>
    <w:rsid w:val="000C63BB"/>
    <w:rsid w:val="000D597F"/>
    <w:rsid w:val="000D7983"/>
    <w:rsid w:val="000E14B0"/>
    <w:rsid w:val="000E2729"/>
    <w:rsid w:val="000E523A"/>
    <w:rsid w:val="000F017A"/>
    <w:rsid w:val="000F3471"/>
    <w:rsid w:val="000F594C"/>
    <w:rsid w:val="000F69FA"/>
    <w:rsid w:val="00102A59"/>
    <w:rsid w:val="00116EEF"/>
    <w:rsid w:val="00117E80"/>
    <w:rsid w:val="00120693"/>
    <w:rsid w:val="001211FD"/>
    <w:rsid w:val="00123035"/>
    <w:rsid w:val="00130953"/>
    <w:rsid w:val="0013149B"/>
    <w:rsid w:val="00131DD4"/>
    <w:rsid w:val="001336F6"/>
    <w:rsid w:val="00133845"/>
    <w:rsid w:val="0013520E"/>
    <w:rsid w:val="00146705"/>
    <w:rsid w:val="001502B2"/>
    <w:rsid w:val="00154B08"/>
    <w:rsid w:val="001644BC"/>
    <w:rsid w:val="0017375E"/>
    <w:rsid w:val="00174CDF"/>
    <w:rsid w:val="0017536F"/>
    <w:rsid w:val="00185262"/>
    <w:rsid w:val="00193AC3"/>
    <w:rsid w:val="0019505D"/>
    <w:rsid w:val="001971B7"/>
    <w:rsid w:val="001B0E21"/>
    <w:rsid w:val="001B16BA"/>
    <w:rsid w:val="001B2346"/>
    <w:rsid w:val="001B2860"/>
    <w:rsid w:val="001B3DC9"/>
    <w:rsid w:val="001B44C4"/>
    <w:rsid w:val="001B513C"/>
    <w:rsid w:val="001B6ADA"/>
    <w:rsid w:val="001C66E6"/>
    <w:rsid w:val="001D395A"/>
    <w:rsid w:val="001E06AA"/>
    <w:rsid w:val="001E0DA9"/>
    <w:rsid w:val="001E1E76"/>
    <w:rsid w:val="001E243D"/>
    <w:rsid w:val="001F405D"/>
    <w:rsid w:val="001F45FA"/>
    <w:rsid w:val="00200086"/>
    <w:rsid w:val="00201809"/>
    <w:rsid w:val="00204729"/>
    <w:rsid w:val="00205E48"/>
    <w:rsid w:val="0021009A"/>
    <w:rsid w:val="00210F0C"/>
    <w:rsid w:val="002126FD"/>
    <w:rsid w:val="00213551"/>
    <w:rsid w:val="002138A2"/>
    <w:rsid w:val="00213E19"/>
    <w:rsid w:val="00216CFA"/>
    <w:rsid w:val="00221596"/>
    <w:rsid w:val="002272EB"/>
    <w:rsid w:val="0023373D"/>
    <w:rsid w:val="00233940"/>
    <w:rsid w:val="0023450F"/>
    <w:rsid w:val="0023752D"/>
    <w:rsid w:val="00245B4D"/>
    <w:rsid w:val="0024744D"/>
    <w:rsid w:val="00251986"/>
    <w:rsid w:val="00251BC8"/>
    <w:rsid w:val="00251DEE"/>
    <w:rsid w:val="00251E76"/>
    <w:rsid w:val="00254A73"/>
    <w:rsid w:val="00254C1F"/>
    <w:rsid w:val="00256C8C"/>
    <w:rsid w:val="00260500"/>
    <w:rsid w:val="00261A30"/>
    <w:rsid w:val="002677AC"/>
    <w:rsid w:val="0027432C"/>
    <w:rsid w:val="00280FC7"/>
    <w:rsid w:val="0028397D"/>
    <w:rsid w:val="0029109E"/>
    <w:rsid w:val="002928A7"/>
    <w:rsid w:val="002A0C39"/>
    <w:rsid w:val="002A2BF9"/>
    <w:rsid w:val="002A4084"/>
    <w:rsid w:val="002A6083"/>
    <w:rsid w:val="002A6D36"/>
    <w:rsid w:val="002B1B8F"/>
    <w:rsid w:val="002C0BF4"/>
    <w:rsid w:val="002C4203"/>
    <w:rsid w:val="002D2BA3"/>
    <w:rsid w:val="002D478D"/>
    <w:rsid w:val="002D7914"/>
    <w:rsid w:val="002E0E4E"/>
    <w:rsid w:val="002E5FD0"/>
    <w:rsid w:val="002E6053"/>
    <w:rsid w:val="002F1A50"/>
    <w:rsid w:val="002F5840"/>
    <w:rsid w:val="002F7D0E"/>
    <w:rsid w:val="00300C64"/>
    <w:rsid w:val="00301C67"/>
    <w:rsid w:val="003066EA"/>
    <w:rsid w:val="00312FB9"/>
    <w:rsid w:val="00321D99"/>
    <w:rsid w:val="00323569"/>
    <w:rsid w:val="003322B0"/>
    <w:rsid w:val="00340A2E"/>
    <w:rsid w:val="00342659"/>
    <w:rsid w:val="0034695E"/>
    <w:rsid w:val="00346FE4"/>
    <w:rsid w:val="00347CAE"/>
    <w:rsid w:val="00347DA0"/>
    <w:rsid w:val="003509A4"/>
    <w:rsid w:val="003573A2"/>
    <w:rsid w:val="003579FE"/>
    <w:rsid w:val="00360BFA"/>
    <w:rsid w:val="003616C4"/>
    <w:rsid w:val="0037200E"/>
    <w:rsid w:val="003731DD"/>
    <w:rsid w:val="0038060C"/>
    <w:rsid w:val="0038410C"/>
    <w:rsid w:val="00385DF1"/>
    <w:rsid w:val="003871CC"/>
    <w:rsid w:val="003920D7"/>
    <w:rsid w:val="00392123"/>
    <w:rsid w:val="00394F2A"/>
    <w:rsid w:val="00396472"/>
    <w:rsid w:val="00397374"/>
    <w:rsid w:val="003A4EC1"/>
    <w:rsid w:val="003A545B"/>
    <w:rsid w:val="003B131E"/>
    <w:rsid w:val="003B495C"/>
    <w:rsid w:val="003B5A7A"/>
    <w:rsid w:val="003D30CA"/>
    <w:rsid w:val="003E2BF3"/>
    <w:rsid w:val="003E2FFE"/>
    <w:rsid w:val="003E3103"/>
    <w:rsid w:val="003E3713"/>
    <w:rsid w:val="003E6267"/>
    <w:rsid w:val="003F36EE"/>
    <w:rsid w:val="003F4A19"/>
    <w:rsid w:val="003F638D"/>
    <w:rsid w:val="003F67A8"/>
    <w:rsid w:val="00400ADB"/>
    <w:rsid w:val="004021CE"/>
    <w:rsid w:val="00404E95"/>
    <w:rsid w:val="004123A4"/>
    <w:rsid w:val="004160A2"/>
    <w:rsid w:val="00416B2E"/>
    <w:rsid w:val="00421298"/>
    <w:rsid w:val="00423A3F"/>
    <w:rsid w:val="00424124"/>
    <w:rsid w:val="00425EDD"/>
    <w:rsid w:val="004321F5"/>
    <w:rsid w:val="004353E1"/>
    <w:rsid w:val="00440E59"/>
    <w:rsid w:val="00442E1B"/>
    <w:rsid w:val="0044663C"/>
    <w:rsid w:val="004523DE"/>
    <w:rsid w:val="004534C5"/>
    <w:rsid w:val="00453D98"/>
    <w:rsid w:val="0046313B"/>
    <w:rsid w:val="00463FB5"/>
    <w:rsid w:val="00465A90"/>
    <w:rsid w:val="004663DA"/>
    <w:rsid w:val="00470438"/>
    <w:rsid w:val="0047364C"/>
    <w:rsid w:val="00476A08"/>
    <w:rsid w:val="004801EE"/>
    <w:rsid w:val="004836AF"/>
    <w:rsid w:val="00486606"/>
    <w:rsid w:val="00487EF2"/>
    <w:rsid w:val="00491543"/>
    <w:rsid w:val="0049196E"/>
    <w:rsid w:val="00495DAF"/>
    <w:rsid w:val="0049779A"/>
    <w:rsid w:val="004A1280"/>
    <w:rsid w:val="004A17A0"/>
    <w:rsid w:val="004A4326"/>
    <w:rsid w:val="004B05D5"/>
    <w:rsid w:val="004B48D3"/>
    <w:rsid w:val="004B5345"/>
    <w:rsid w:val="004B5C29"/>
    <w:rsid w:val="004C0333"/>
    <w:rsid w:val="004C1DBA"/>
    <w:rsid w:val="004C56BC"/>
    <w:rsid w:val="004D698C"/>
    <w:rsid w:val="004E1461"/>
    <w:rsid w:val="004E3307"/>
    <w:rsid w:val="004F02AA"/>
    <w:rsid w:val="004F2B00"/>
    <w:rsid w:val="004F3A3B"/>
    <w:rsid w:val="004F3B99"/>
    <w:rsid w:val="004F41AC"/>
    <w:rsid w:val="005003CE"/>
    <w:rsid w:val="005021EE"/>
    <w:rsid w:val="00507D81"/>
    <w:rsid w:val="00513E2E"/>
    <w:rsid w:val="005155A1"/>
    <w:rsid w:val="00526723"/>
    <w:rsid w:val="00530441"/>
    <w:rsid w:val="00531867"/>
    <w:rsid w:val="00546F36"/>
    <w:rsid w:val="00552AB9"/>
    <w:rsid w:val="00553C81"/>
    <w:rsid w:val="00556609"/>
    <w:rsid w:val="00561736"/>
    <w:rsid w:val="00567186"/>
    <w:rsid w:val="00567B44"/>
    <w:rsid w:val="00567EBE"/>
    <w:rsid w:val="00572BE1"/>
    <w:rsid w:val="00573B8B"/>
    <w:rsid w:val="005747CB"/>
    <w:rsid w:val="0057696E"/>
    <w:rsid w:val="00577E18"/>
    <w:rsid w:val="0058083B"/>
    <w:rsid w:val="0058100B"/>
    <w:rsid w:val="00584C98"/>
    <w:rsid w:val="00591898"/>
    <w:rsid w:val="0059609A"/>
    <w:rsid w:val="0059704F"/>
    <w:rsid w:val="005A05EB"/>
    <w:rsid w:val="005A1160"/>
    <w:rsid w:val="005A49F2"/>
    <w:rsid w:val="005A7B9F"/>
    <w:rsid w:val="005B14C9"/>
    <w:rsid w:val="005B4AD0"/>
    <w:rsid w:val="005C5002"/>
    <w:rsid w:val="005D1A61"/>
    <w:rsid w:val="005D4F1B"/>
    <w:rsid w:val="005E275C"/>
    <w:rsid w:val="005E28EA"/>
    <w:rsid w:val="005E7994"/>
    <w:rsid w:val="005F0C47"/>
    <w:rsid w:val="006020E9"/>
    <w:rsid w:val="00602699"/>
    <w:rsid w:val="00611018"/>
    <w:rsid w:val="00612C62"/>
    <w:rsid w:val="00614236"/>
    <w:rsid w:val="00616450"/>
    <w:rsid w:val="00617495"/>
    <w:rsid w:val="00624186"/>
    <w:rsid w:val="00631702"/>
    <w:rsid w:val="00633CD7"/>
    <w:rsid w:val="006342FD"/>
    <w:rsid w:val="006343D5"/>
    <w:rsid w:val="006352E2"/>
    <w:rsid w:val="00641A49"/>
    <w:rsid w:val="00642D6E"/>
    <w:rsid w:val="0064430C"/>
    <w:rsid w:val="00647EB8"/>
    <w:rsid w:val="00651EBD"/>
    <w:rsid w:val="006573B0"/>
    <w:rsid w:val="006716FC"/>
    <w:rsid w:val="00672392"/>
    <w:rsid w:val="00675369"/>
    <w:rsid w:val="006824DF"/>
    <w:rsid w:val="006A30E7"/>
    <w:rsid w:val="006A4337"/>
    <w:rsid w:val="006A558B"/>
    <w:rsid w:val="006B03FC"/>
    <w:rsid w:val="006B1206"/>
    <w:rsid w:val="006B1825"/>
    <w:rsid w:val="006B1CEC"/>
    <w:rsid w:val="006B2F57"/>
    <w:rsid w:val="006B3042"/>
    <w:rsid w:val="006B4147"/>
    <w:rsid w:val="006B6954"/>
    <w:rsid w:val="006C013F"/>
    <w:rsid w:val="006C05AA"/>
    <w:rsid w:val="006C1608"/>
    <w:rsid w:val="006C259B"/>
    <w:rsid w:val="006C7BE1"/>
    <w:rsid w:val="006D1A43"/>
    <w:rsid w:val="006D2AD6"/>
    <w:rsid w:val="006D4AAD"/>
    <w:rsid w:val="006E6028"/>
    <w:rsid w:val="006E6521"/>
    <w:rsid w:val="006F0545"/>
    <w:rsid w:val="006F1DE2"/>
    <w:rsid w:val="006F4462"/>
    <w:rsid w:val="007044B2"/>
    <w:rsid w:val="007055BE"/>
    <w:rsid w:val="00706A49"/>
    <w:rsid w:val="007070FE"/>
    <w:rsid w:val="007137BB"/>
    <w:rsid w:val="00721571"/>
    <w:rsid w:val="007241F5"/>
    <w:rsid w:val="00732CCC"/>
    <w:rsid w:val="00741A7A"/>
    <w:rsid w:val="0074346A"/>
    <w:rsid w:val="0075153E"/>
    <w:rsid w:val="00751782"/>
    <w:rsid w:val="00751ED6"/>
    <w:rsid w:val="0075558A"/>
    <w:rsid w:val="00756770"/>
    <w:rsid w:val="00757D96"/>
    <w:rsid w:val="00763252"/>
    <w:rsid w:val="00763E9C"/>
    <w:rsid w:val="007650F1"/>
    <w:rsid w:val="00767120"/>
    <w:rsid w:val="0076726C"/>
    <w:rsid w:val="00770607"/>
    <w:rsid w:val="007814AA"/>
    <w:rsid w:val="007825E0"/>
    <w:rsid w:val="00783AED"/>
    <w:rsid w:val="00786035"/>
    <w:rsid w:val="007918FE"/>
    <w:rsid w:val="007935A2"/>
    <w:rsid w:val="00796212"/>
    <w:rsid w:val="007A3F00"/>
    <w:rsid w:val="007B4299"/>
    <w:rsid w:val="007B715C"/>
    <w:rsid w:val="007C2CF7"/>
    <w:rsid w:val="007C566D"/>
    <w:rsid w:val="007D1239"/>
    <w:rsid w:val="007D1EE1"/>
    <w:rsid w:val="007D2CF1"/>
    <w:rsid w:val="007D45A0"/>
    <w:rsid w:val="007E2C80"/>
    <w:rsid w:val="007E378F"/>
    <w:rsid w:val="007E42FA"/>
    <w:rsid w:val="007F1332"/>
    <w:rsid w:val="007F3C2F"/>
    <w:rsid w:val="007F3FC4"/>
    <w:rsid w:val="00804018"/>
    <w:rsid w:val="00807802"/>
    <w:rsid w:val="00813810"/>
    <w:rsid w:val="00815F16"/>
    <w:rsid w:val="00822E12"/>
    <w:rsid w:val="00824005"/>
    <w:rsid w:val="008260D6"/>
    <w:rsid w:val="008274F3"/>
    <w:rsid w:val="0084172B"/>
    <w:rsid w:val="00841FEE"/>
    <w:rsid w:val="008450C9"/>
    <w:rsid w:val="008502C2"/>
    <w:rsid w:val="00853047"/>
    <w:rsid w:val="00857B6F"/>
    <w:rsid w:val="0086436E"/>
    <w:rsid w:val="00871275"/>
    <w:rsid w:val="00872910"/>
    <w:rsid w:val="00874F8E"/>
    <w:rsid w:val="0087589B"/>
    <w:rsid w:val="00881F97"/>
    <w:rsid w:val="00885827"/>
    <w:rsid w:val="00891F6C"/>
    <w:rsid w:val="008939DD"/>
    <w:rsid w:val="008969B5"/>
    <w:rsid w:val="008A0343"/>
    <w:rsid w:val="008A360D"/>
    <w:rsid w:val="008A3AD6"/>
    <w:rsid w:val="008A3B50"/>
    <w:rsid w:val="008A553F"/>
    <w:rsid w:val="008A6631"/>
    <w:rsid w:val="008B02DD"/>
    <w:rsid w:val="008D708A"/>
    <w:rsid w:val="008D75C9"/>
    <w:rsid w:val="008D7E94"/>
    <w:rsid w:val="008F10A8"/>
    <w:rsid w:val="008F176A"/>
    <w:rsid w:val="008F35D9"/>
    <w:rsid w:val="0090033F"/>
    <w:rsid w:val="0090186E"/>
    <w:rsid w:val="009134F8"/>
    <w:rsid w:val="00921C72"/>
    <w:rsid w:val="00925F81"/>
    <w:rsid w:val="0092655F"/>
    <w:rsid w:val="00931B0D"/>
    <w:rsid w:val="009354B8"/>
    <w:rsid w:val="009362A2"/>
    <w:rsid w:val="00940296"/>
    <w:rsid w:val="00941080"/>
    <w:rsid w:val="00942E47"/>
    <w:rsid w:val="00945F88"/>
    <w:rsid w:val="0094660B"/>
    <w:rsid w:val="00946998"/>
    <w:rsid w:val="00950A9F"/>
    <w:rsid w:val="00952190"/>
    <w:rsid w:val="009525F8"/>
    <w:rsid w:val="0095327E"/>
    <w:rsid w:val="00955B2B"/>
    <w:rsid w:val="00956212"/>
    <w:rsid w:val="00961DD4"/>
    <w:rsid w:val="00962DD7"/>
    <w:rsid w:val="00972EDE"/>
    <w:rsid w:val="00976E56"/>
    <w:rsid w:val="00977C79"/>
    <w:rsid w:val="0098235B"/>
    <w:rsid w:val="00983DAE"/>
    <w:rsid w:val="009841A9"/>
    <w:rsid w:val="009854AD"/>
    <w:rsid w:val="0099257E"/>
    <w:rsid w:val="00996E12"/>
    <w:rsid w:val="009A1E26"/>
    <w:rsid w:val="009A4702"/>
    <w:rsid w:val="009A50EF"/>
    <w:rsid w:val="009A5979"/>
    <w:rsid w:val="009B1B5E"/>
    <w:rsid w:val="009B1D5F"/>
    <w:rsid w:val="009B45B4"/>
    <w:rsid w:val="009B492B"/>
    <w:rsid w:val="009C2F6D"/>
    <w:rsid w:val="009C3EB7"/>
    <w:rsid w:val="009C6A56"/>
    <w:rsid w:val="009D1137"/>
    <w:rsid w:val="009D3173"/>
    <w:rsid w:val="009D7A28"/>
    <w:rsid w:val="009E0402"/>
    <w:rsid w:val="009E3034"/>
    <w:rsid w:val="009E4E4E"/>
    <w:rsid w:val="009E5442"/>
    <w:rsid w:val="009F20D4"/>
    <w:rsid w:val="009F3E2F"/>
    <w:rsid w:val="009F7186"/>
    <w:rsid w:val="00A014A4"/>
    <w:rsid w:val="00A04DC5"/>
    <w:rsid w:val="00A13F82"/>
    <w:rsid w:val="00A14E3C"/>
    <w:rsid w:val="00A20A03"/>
    <w:rsid w:val="00A3234B"/>
    <w:rsid w:val="00A32AAB"/>
    <w:rsid w:val="00A34638"/>
    <w:rsid w:val="00A35157"/>
    <w:rsid w:val="00A37D9A"/>
    <w:rsid w:val="00A4692E"/>
    <w:rsid w:val="00A47786"/>
    <w:rsid w:val="00A477DB"/>
    <w:rsid w:val="00A50871"/>
    <w:rsid w:val="00A50D24"/>
    <w:rsid w:val="00A51946"/>
    <w:rsid w:val="00A6288F"/>
    <w:rsid w:val="00A64AA6"/>
    <w:rsid w:val="00A75C8D"/>
    <w:rsid w:val="00A90637"/>
    <w:rsid w:val="00A90B26"/>
    <w:rsid w:val="00A95EBB"/>
    <w:rsid w:val="00AA0E87"/>
    <w:rsid w:val="00AA76B9"/>
    <w:rsid w:val="00AA7C93"/>
    <w:rsid w:val="00AB08DB"/>
    <w:rsid w:val="00AB329A"/>
    <w:rsid w:val="00AB71FF"/>
    <w:rsid w:val="00AB7462"/>
    <w:rsid w:val="00AC1900"/>
    <w:rsid w:val="00AC3827"/>
    <w:rsid w:val="00AC4C98"/>
    <w:rsid w:val="00AC6EC1"/>
    <w:rsid w:val="00AC736B"/>
    <w:rsid w:val="00AC7C73"/>
    <w:rsid w:val="00AD06ED"/>
    <w:rsid w:val="00AD13A6"/>
    <w:rsid w:val="00AF3649"/>
    <w:rsid w:val="00AF382E"/>
    <w:rsid w:val="00AF7463"/>
    <w:rsid w:val="00B006EE"/>
    <w:rsid w:val="00B01265"/>
    <w:rsid w:val="00B115A2"/>
    <w:rsid w:val="00B15028"/>
    <w:rsid w:val="00B2260C"/>
    <w:rsid w:val="00B308C6"/>
    <w:rsid w:val="00B36712"/>
    <w:rsid w:val="00B40F2F"/>
    <w:rsid w:val="00B413B5"/>
    <w:rsid w:val="00B440CC"/>
    <w:rsid w:val="00B510E6"/>
    <w:rsid w:val="00B52E7B"/>
    <w:rsid w:val="00B542BC"/>
    <w:rsid w:val="00B5642B"/>
    <w:rsid w:val="00B64DD9"/>
    <w:rsid w:val="00B70BAB"/>
    <w:rsid w:val="00B772C4"/>
    <w:rsid w:val="00B803D0"/>
    <w:rsid w:val="00B82298"/>
    <w:rsid w:val="00B84AEB"/>
    <w:rsid w:val="00B91286"/>
    <w:rsid w:val="00B91FD0"/>
    <w:rsid w:val="00B9228C"/>
    <w:rsid w:val="00B924DE"/>
    <w:rsid w:val="00BA3958"/>
    <w:rsid w:val="00BB6132"/>
    <w:rsid w:val="00BB62EB"/>
    <w:rsid w:val="00BC152E"/>
    <w:rsid w:val="00BC6A1E"/>
    <w:rsid w:val="00BC6DCC"/>
    <w:rsid w:val="00BD232B"/>
    <w:rsid w:val="00BD47C0"/>
    <w:rsid w:val="00BD6F27"/>
    <w:rsid w:val="00BE151A"/>
    <w:rsid w:val="00BE284B"/>
    <w:rsid w:val="00BE5724"/>
    <w:rsid w:val="00BF040A"/>
    <w:rsid w:val="00BF5D05"/>
    <w:rsid w:val="00C071B1"/>
    <w:rsid w:val="00C07A36"/>
    <w:rsid w:val="00C114D3"/>
    <w:rsid w:val="00C15E92"/>
    <w:rsid w:val="00C21965"/>
    <w:rsid w:val="00C238FA"/>
    <w:rsid w:val="00C253B7"/>
    <w:rsid w:val="00C259E8"/>
    <w:rsid w:val="00C27ACD"/>
    <w:rsid w:val="00C34B64"/>
    <w:rsid w:val="00C3501B"/>
    <w:rsid w:val="00C40D72"/>
    <w:rsid w:val="00C4179A"/>
    <w:rsid w:val="00C42D3D"/>
    <w:rsid w:val="00C44DA9"/>
    <w:rsid w:val="00C53BEF"/>
    <w:rsid w:val="00C61F84"/>
    <w:rsid w:val="00C663F1"/>
    <w:rsid w:val="00C6688E"/>
    <w:rsid w:val="00C80595"/>
    <w:rsid w:val="00C87643"/>
    <w:rsid w:val="00C92A0D"/>
    <w:rsid w:val="00C93281"/>
    <w:rsid w:val="00C9453A"/>
    <w:rsid w:val="00C96578"/>
    <w:rsid w:val="00C97D37"/>
    <w:rsid w:val="00CA37AA"/>
    <w:rsid w:val="00CA6F82"/>
    <w:rsid w:val="00CB3217"/>
    <w:rsid w:val="00CB38F7"/>
    <w:rsid w:val="00CB4B55"/>
    <w:rsid w:val="00CB528E"/>
    <w:rsid w:val="00CB7D07"/>
    <w:rsid w:val="00CC0BF6"/>
    <w:rsid w:val="00CC427F"/>
    <w:rsid w:val="00CC7C42"/>
    <w:rsid w:val="00CE2856"/>
    <w:rsid w:val="00CF0BAC"/>
    <w:rsid w:val="00CF1AA9"/>
    <w:rsid w:val="00CF2218"/>
    <w:rsid w:val="00CF2FE3"/>
    <w:rsid w:val="00CF5746"/>
    <w:rsid w:val="00CF6E6E"/>
    <w:rsid w:val="00D04C69"/>
    <w:rsid w:val="00D05429"/>
    <w:rsid w:val="00D06969"/>
    <w:rsid w:val="00D114AA"/>
    <w:rsid w:val="00D15A62"/>
    <w:rsid w:val="00D164B0"/>
    <w:rsid w:val="00D23686"/>
    <w:rsid w:val="00D24206"/>
    <w:rsid w:val="00D26803"/>
    <w:rsid w:val="00D279CD"/>
    <w:rsid w:val="00D30230"/>
    <w:rsid w:val="00D32BEC"/>
    <w:rsid w:val="00D33261"/>
    <w:rsid w:val="00D44628"/>
    <w:rsid w:val="00D5188B"/>
    <w:rsid w:val="00D56993"/>
    <w:rsid w:val="00D56A4F"/>
    <w:rsid w:val="00D64843"/>
    <w:rsid w:val="00D65CEF"/>
    <w:rsid w:val="00D77EC1"/>
    <w:rsid w:val="00D818F2"/>
    <w:rsid w:val="00D83C1E"/>
    <w:rsid w:val="00D95913"/>
    <w:rsid w:val="00D97CE5"/>
    <w:rsid w:val="00DA0911"/>
    <w:rsid w:val="00DA32E4"/>
    <w:rsid w:val="00DA57AE"/>
    <w:rsid w:val="00DB1091"/>
    <w:rsid w:val="00DB3627"/>
    <w:rsid w:val="00DB5EC2"/>
    <w:rsid w:val="00DC08C6"/>
    <w:rsid w:val="00DC4CB1"/>
    <w:rsid w:val="00DD2525"/>
    <w:rsid w:val="00DD4BF0"/>
    <w:rsid w:val="00DD632F"/>
    <w:rsid w:val="00DD76B0"/>
    <w:rsid w:val="00DE66AE"/>
    <w:rsid w:val="00DE68BE"/>
    <w:rsid w:val="00DE75C0"/>
    <w:rsid w:val="00DE7726"/>
    <w:rsid w:val="00DF0BF5"/>
    <w:rsid w:val="00E0188A"/>
    <w:rsid w:val="00E06BC4"/>
    <w:rsid w:val="00E1084C"/>
    <w:rsid w:val="00E10FF8"/>
    <w:rsid w:val="00E14F59"/>
    <w:rsid w:val="00E15C35"/>
    <w:rsid w:val="00E230F2"/>
    <w:rsid w:val="00E3198B"/>
    <w:rsid w:val="00E32159"/>
    <w:rsid w:val="00E3396F"/>
    <w:rsid w:val="00E33DBE"/>
    <w:rsid w:val="00E34586"/>
    <w:rsid w:val="00E42534"/>
    <w:rsid w:val="00E50053"/>
    <w:rsid w:val="00E51387"/>
    <w:rsid w:val="00E523D8"/>
    <w:rsid w:val="00E56873"/>
    <w:rsid w:val="00E56963"/>
    <w:rsid w:val="00E57637"/>
    <w:rsid w:val="00E67B7A"/>
    <w:rsid w:val="00E74ADD"/>
    <w:rsid w:val="00E75D95"/>
    <w:rsid w:val="00E80EB4"/>
    <w:rsid w:val="00E820F5"/>
    <w:rsid w:val="00E85C45"/>
    <w:rsid w:val="00E96398"/>
    <w:rsid w:val="00EA2936"/>
    <w:rsid w:val="00EA2EFE"/>
    <w:rsid w:val="00EB03AF"/>
    <w:rsid w:val="00EB080B"/>
    <w:rsid w:val="00EB1F78"/>
    <w:rsid w:val="00EC2D8C"/>
    <w:rsid w:val="00EC5B91"/>
    <w:rsid w:val="00EC65F8"/>
    <w:rsid w:val="00EE2301"/>
    <w:rsid w:val="00EE28B8"/>
    <w:rsid w:val="00EE2EC1"/>
    <w:rsid w:val="00EE7AEA"/>
    <w:rsid w:val="00EF1AE7"/>
    <w:rsid w:val="00EF2FC5"/>
    <w:rsid w:val="00EF4255"/>
    <w:rsid w:val="00EF61BC"/>
    <w:rsid w:val="00EF7FFE"/>
    <w:rsid w:val="00F03FCD"/>
    <w:rsid w:val="00F06CD0"/>
    <w:rsid w:val="00F07DC5"/>
    <w:rsid w:val="00F10015"/>
    <w:rsid w:val="00F132B9"/>
    <w:rsid w:val="00F23F7C"/>
    <w:rsid w:val="00F2612C"/>
    <w:rsid w:val="00F3794C"/>
    <w:rsid w:val="00F43B67"/>
    <w:rsid w:val="00F51AC1"/>
    <w:rsid w:val="00F52443"/>
    <w:rsid w:val="00F54EC3"/>
    <w:rsid w:val="00F72540"/>
    <w:rsid w:val="00F72868"/>
    <w:rsid w:val="00F86D88"/>
    <w:rsid w:val="00F91F4D"/>
    <w:rsid w:val="00F97520"/>
    <w:rsid w:val="00FA19CE"/>
    <w:rsid w:val="00FA472A"/>
    <w:rsid w:val="00FA6D35"/>
    <w:rsid w:val="00FB07AB"/>
    <w:rsid w:val="00FB3601"/>
    <w:rsid w:val="00FB57F9"/>
    <w:rsid w:val="00FE0AF2"/>
    <w:rsid w:val="00FE51A8"/>
    <w:rsid w:val="00FE5B95"/>
    <w:rsid w:val="00FF0E47"/>
    <w:rsid w:val="00FF33C0"/>
    <w:rsid w:val="38BCAF55"/>
    <w:rsid w:val="42F9D5AC"/>
    <w:rsid w:val="4989BE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1009B589"/>
  <w15:chartTrackingRefBased/>
  <w15:docId w15:val="{CE314E04-DF58-40DD-AC43-D759B2A30B4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autoSpaceDE w:val="0"/>
      <w:snapToGrid w:val="0"/>
      <w:spacing w:after="120"/>
      <w:jc w:val="both"/>
    </w:pPr>
    <w:rPr>
      <w:rFonts w:eastAsia="SimSun"/>
      <w:sz w:val="22"/>
      <w:szCs w:val="22"/>
      <w:lang w:eastAsia="zh-CN"/>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rPr>
      <w:i w:val="0"/>
      <w:lang w:val="en-US"/>
    </w:rPr>
  </w:style>
  <w:style w:type="character" w:styleId="WW8Num1z1" w:customStyle="1">
    <w:name w:val="WW8Num1z1"/>
    <w:rPr>
      <w:rFonts w:ascii="Times New Roman" w:hAnsi="Times New Roman" w:cs="Times New Roman"/>
      <w:b/>
      <w:i w:val="0"/>
      <w:sz w:val="24"/>
    </w:rPr>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3z0" w:customStyle="1">
    <w:name w:val="WW8Num3z0"/>
    <w:rPr>
      <w:rFonts w:hint="default" w:ascii="Courier New" w:hAnsi="Courier New" w:eastAsia="Malgun Gothic" w:cs="Courier New"/>
      <w:lang w:eastAsia="ko-KR"/>
    </w:rPr>
  </w:style>
  <w:style w:type="character" w:styleId="WW8Num3z2" w:customStyle="1">
    <w:name w:val="WW8Num3z2"/>
    <w:rPr>
      <w:rFonts w:hint="default" w:ascii="Wingdings" w:hAnsi="Wingdings" w:cs="Wingdings"/>
    </w:rPr>
  </w:style>
  <w:style w:type="character" w:styleId="WW8Num3z3" w:customStyle="1">
    <w:name w:val="WW8Num3z3"/>
    <w:rPr>
      <w:rFonts w:hint="default" w:ascii="Symbol" w:hAnsi="Symbol" w:cs="Symbol"/>
    </w:rPr>
  </w:style>
  <w:style w:type="character" w:styleId="WW8Num4z0" w:customStyle="1">
    <w:name w:val="WW8Num4z0"/>
    <w:rPr>
      <w:rFonts w:hint="default" w:ascii="Courier New" w:hAnsi="Courier New" w:eastAsia="Malgun Gothic" w:cs="Courier New"/>
      <w:lang w:eastAsia="ko-KR"/>
    </w:rPr>
  </w:style>
  <w:style w:type="character" w:styleId="WW8Num4z2" w:customStyle="1">
    <w:name w:val="WW8Num4z2"/>
    <w:rPr>
      <w:rFonts w:hint="default" w:ascii="Wingdings" w:hAnsi="Wingdings" w:cs="Wingdings"/>
    </w:rPr>
  </w:style>
  <w:style w:type="character" w:styleId="WW8Num4z3" w:customStyle="1">
    <w:name w:val="WW8Num4z3"/>
    <w:rPr>
      <w:rFonts w:hint="default" w:ascii="Symbol" w:hAnsi="Symbol" w:cs="Symbol"/>
    </w:rPr>
  </w:style>
  <w:style w:type="character" w:styleId="WW8Num5z0" w:customStyle="1">
    <w:name w:val="WW8Num5z0"/>
    <w:rPr>
      <w:rFonts w:hint="default" w:ascii="Symbol" w:hAnsi="Symbol" w:eastAsia="Malgun Gothic" w:cs="Symbol"/>
      <w:lang w:eastAsia="ko-KR"/>
    </w:rPr>
  </w:style>
  <w:style w:type="character" w:styleId="WW8Num5z1" w:customStyle="1">
    <w:name w:val="WW8Num5z1"/>
    <w:rPr>
      <w:rFonts w:hint="default" w:ascii="Courier New" w:hAnsi="Courier New" w:eastAsia="Malgun Gothic" w:cs="Courier New"/>
      <w:sz w:val="24"/>
      <w:szCs w:val="24"/>
      <w:lang w:eastAsia="en-US"/>
    </w:rPr>
  </w:style>
  <w:style w:type="character" w:styleId="WW8Num5z2" w:customStyle="1">
    <w:name w:val="WW8Num5z2"/>
    <w:rPr>
      <w:rFonts w:hint="default" w:ascii="Wingdings" w:hAnsi="Wingdings" w:cs="Wingdings"/>
    </w:rPr>
  </w:style>
  <w:style w:type="character" w:styleId="WW8Num6z0" w:customStyle="1">
    <w:name w:val="WW8Num6z0"/>
    <w:rPr>
      <w:rFonts w:ascii="Times New Roman" w:hAnsi="Times New Roman" w:eastAsia="Malgun Gothic" w:cs="Times New Roman"/>
      <w:lang w:eastAsia="ko-KR"/>
    </w:rPr>
  </w:style>
  <w:style w:type="character" w:styleId="WW8Num6z1" w:customStyle="1">
    <w:name w:val="WW8Num6z1"/>
    <w:rPr>
      <w:rFonts w:ascii="Wingdings" w:hAnsi="Wingdings" w:cs="Wingdings"/>
    </w:rPr>
  </w:style>
  <w:style w:type="character" w:styleId="DefaultParagraphFont0" w:customStyle="1">
    <w:name w:val="Default Paragraph Font0"/>
  </w:style>
  <w:style w:type="character" w:styleId="WW8Num3z1" w:customStyle="1">
    <w:name w:val="WW8Num3z1"/>
    <w:rPr>
      <w:rFonts w:ascii="Wingdings" w:hAnsi="Wingdings" w:cs="Wingdings"/>
    </w:rPr>
  </w:style>
  <w:style w:type="character" w:styleId="WW8Num7z0" w:customStyle="1">
    <w:name w:val="WW8Num7z0"/>
    <w:rPr>
      <w:rFonts w:eastAsia="Wingdings" w:cs="Wingdings"/>
    </w:rPr>
  </w:style>
  <w:style w:type="character" w:styleId="WW8Num8z0" w:customStyle="1">
    <w:name w:val="WW8Num8z0"/>
    <w:rPr>
      <w:lang w:eastAsia="zh-CN"/>
    </w:rPr>
  </w:style>
  <w:style w:type="character" w:styleId="WW8Num9z0" w:customStyle="1">
    <w:name w:val="WW8Num9z0"/>
    <w:rPr>
      <w:rFonts w:hint="default" w:ascii="Courier New" w:hAnsi="Courier New" w:cs="Courier New"/>
    </w:rPr>
  </w:style>
  <w:style w:type="character" w:styleId="WW8Num9z2" w:customStyle="1">
    <w:name w:val="WW8Num9z2"/>
    <w:rPr>
      <w:rFonts w:hint="default" w:ascii="Wingdings" w:hAnsi="Wingdings" w:cs="Wingdings"/>
    </w:rPr>
  </w:style>
  <w:style w:type="character" w:styleId="WW8Num9z3" w:customStyle="1">
    <w:name w:val="WW8Num9z3"/>
    <w:rPr>
      <w:rFonts w:hint="default" w:ascii="Symbol" w:hAnsi="Symbol" w:cs="Symbol"/>
    </w:rPr>
  </w:style>
  <w:style w:type="character" w:styleId="WW8Num10z0" w:customStyle="1">
    <w:name w:val="WW8Num10z0"/>
    <w:rPr>
      <w:rFonts w:hint="default" w:ascii="Courier New" w:hAnsi="Courier New" w:cs="Courier New"/>
    </w:rPr>
  </w:style>
  <w:style w:type="character" w:styleId="WW8Num10z2" w:customStyle="1">
    <w:name w:val="WW8Num10z2"/>
    <w:rPr>
      <w:rFonts w:hint="default" w:ascii="Wingdings" w:hAnsi="Wingdings" w:cs="Wingdings"/>
    </w:rPr>
  </w:style>
  <w:style w:type="character" w:styleId="WW8Num10z3" w:customStyle="1">
    <w:name w:val="WW8Num10z3"/>
    <w:rPr>
      <w:rFonts w:hint="default" w:ascii="Symbol" w:hAnsi="Symbol" w:cs="Symbol"/>
    </w:rPr>
  </w:style>
  <w:style w:type="character" w:styleId="WW8Num11z0" w:customStyle="1">
    <w:name w:val="WW8Num11z0"/>
    <w:rPr>
      <w:rFonts w:hint="default" w:ascii="Courier New" w:hAnsi="Courier New" w:cs="Courier New"/>
    </w:rPr>
  </w:style>
  <w:style w:type="character" w:styleId="WW8Num11z2" w:customStyle="1">
    <w:name w:val="WW8Num11z2"/>
    <w:rPr>
      <w:rFonts w:hint="default" w:ascii="Wingdings" w:hAnsi="Wingdings" w:cs="Wingdings"/>
    </w:rPr>
  </w:style>
  <w:style w:type="character" w:styleId="WW8Num11z3" w:customStyle="1">
    <w:name w:val="WW8Num11z3"/>
    <w:rPr>
      <w:rFonts w:hint="default" w:ascii="Symbol" w:hAnsi="Symbol" w:cs="Symbol"/>
    </w:rPr>
  </w:style>
  <w:style w:type="character" w:styleId="WW8Num12z0" w:customStyle="1">
    <w:name w:val="WW8Num12z0"/>
    <w:rPr>
      <w:rFonts w:hint="default" w:ascii="Courier New" w:hAnsi="Courier New" w:cs="Courier New"/>
    </w:rPr>
  </w:style>
  <w:style w:type="character" w:styleId="WW8Num12z2" w:customStyle="1">
    <w:name w:val="WW8Num12z2"/>
    <w:rPr>
      <w:rFonts w:hint="default" w:ascii="Wingdings" w:hAnsi="Wingdings" w:cs="Wingdings"/>
    </w:rPr>
  </w:style>
  <w:style w:type="character" w:styleId="WW8Num12z3" w:customStyle="1">
    <w:name w:val="WW8Num12z3"/>
    <w:rPr>
      <w:rFonts w:hint="default" w:ascii="Symbol" w:hAnsi="Symbol" w:cs="Symbol"/>
    </w:rPr>
  </w:style>
  <w:style w:type="character" w:styleId="WW8Num13z0" w:customStyle="1">
    <w:name w:val="WW8Num13z0"/>
    <w:rPr>
      <w:rFonts w:hint="default" w:ascii="Courier New" w:hAnsi="Courier New" w:cs="Courier New"/>
    </w:rPr>
  </w:style>
  <w:style w:type="character" w:styleId="WW8Num13z2" w:customStyle="1">
    <w:name w:val="WW8Num13z2"/>
    <w:rPr>
      <w:rFonts w:hint="default" w:ascii="Wingdings" w:hAnsi="Wingdings" w:cs="Wingdings"/>
    </w:rPr>
  </w:style>
  <w:style w:type="character" w:styleId="WW8Num13z3" w:customStyle="1">
    <w:name w:val="WW8Num13z3"/>
    <w:rPr>
      <w:rFonts w:hint="default" w:ascii="Symbol" w:hAnsi="Symbol" w:cs="Symbol"/>
    </w:rPr>
  </w:style>
  <w:style w:type="character" w:styleId="WW8Num14z0" w:customStyle="1">
    <w:name w:val="WW8Num14z0"/>
    <w:rPr>
      <w:rFonts w:hint="default" w:ascii="Symbol" w:hAnsi="Symbol" w:eastAsia="Wingdings" w:cs="Symbol"/>
    </w:rPr>
  </w:style>
  <w:style w:type="character" w:styleId="WW8Num14z1" w:customStyle="1">
    <w:name w:val="WW8Num14z1"/>
    <w:rPr>
      <w:rFonts w:hint="default" w:ascii="Courier New" w:hAnsi="Courier New" w:eastAsia="Wingdings" w:cs="Courier New"/>
      <w:sz w:val="24"/>
      <w:szCs w:val="24"/>
    </w:rPr>
  </w:style>
  <w:style w:type="character" w:styleId="WW8Num14z2" w:customStyle="1">
    <w:name w:val="WW8Num14z2"/>
    <w:rPr>
      <w:rFonts w:hint="default" w:ascii="Wingdings" w:hAnsi="Wingdings" w:eastAsia="Wingdings" w:cs="Wingdings"/>
    </w:rPr>
  </w:style>
  <w:style w:type="character" w:styleId="WW8Num15z0" w:customStyle="1">
    <w:name w:val="WW8Num15z0"/>
    <w:rPr>
      <w:rFonts w:hint="default" w:ascii="Courier New" w:hAnsi="Courier New" w:cs="Courier New"/>
    </w:rPr>
  </w:style>
  <w:style w:type="character" w:styleId="WW8Num15z2" w:customStyle="1">
    <w:name w:val="WW8Num15z2"/>
    <w:rPr>
      <w:rFonts w:hint="default" w:ascii="Wingdings" w:hAnsi="Wingdings" w:cs="Wingdings"/>
    </w:rPr>
  </w:style>
  <w:style w:type="character" w:styleId="WW8Num15z3" w:customStyle="1">
    <w:name w:val="WW8Num15z3"/>
    <w:rPr>
      <w:rFonts w:hint="default" w:ascii="Symbol" w:hAnsi="Symbol" w:cs="Symbol"/>
    </w:rPr>
  </w:style>
  <w:style w:type="character" w:styleId="WW-DefaultParagraphFont" w:customStyle="1">
    <w:name w:val="WW-Default Paragraph Font"/>
  </w:style>
  <w:style w:type="character" w:styleId="WW8Num2z1" w:customStyle="1">
    <w:name w:val="WW8Num2z1"/>
    <w:rPr>
      <w:rFonts w:ascii="Wingdings" w:hAnsi="Wingdings" w:cs="Wingdings"/>
    </w:rPr>
  </w:style>
  <w:style w:type="character" w:styleId="WW8Num4z1" w:customStyle="1">
    <w:name w:val="WW8Num4z1"/>
    <w:rPr>
      <w:rFonts w:ascii="Wingdings" w:hAnsi="Wingdings" w:cs="Wingdings"/>
    </w:rPr>
  </w:style>
  <w:style w:type="character" w:styleId="WW8Num7z1" w:customStyle="1">
    <w:name w:val="WW8Num7z1"/>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1" w:customStyle="1">
    <w:name w:val="WW8Num8z1"/>
    <w:rPr>
      <w:rFonts w:ascii="Courier New" w:hAnsi="Courier New" w:cs="Courier New"/>
    </w:rPr>
  </w:style>
  <w:style w:type="character" w:styleId="WW8Num8z2" w:customStyle="1">
    <w:name w:val="WW8Num8z2"/>
    <w:rPr>
      <w:rFonts w:ascii="Wingdings" w:hAnsi="Wingdings" w:cs="Wingdings"/>
    </w:rPr>
  </w:style>
  <w:style w:type="character" w:styleId="WW8Num9z1" w:customStyle="1">
    <w:name w:val="WW8Num9z1"/>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0z1" w:customStyle="1">
    <w:name w:val="WW8Num10z1"/>
  </w:style>
  <w:style w:type="character" w:styleId="WW8Num10z4" w:customStyle="1">
    <w:name w:val="WW8Num10z4"/>
  </w:style>
  <w:style w:type="character" w:styleId="WW8Num10z5" w:customStyle="1">
    <w:name w:val="WW8Num10z5"/>
  </w:style>
  <w:style w:type="character" w:styleId="WW8Num10z6" w:customStyle="1">
    <w:name w:val="WW8Num10z6"/>
  </w:style>
  <w:style w:type="character" w:styleId="WW8Num10z7" w:customStyle="1">
    <w:name w:val="WW8Num10z7"/>
  </w:style>
  <w:style w:type="character" w:styleId="WW8Num10z8" w:customStyle="1">
    <w:name w:val="WW8Num10z8"/>
  </w:style>
  <w:style w:type="character" w:styleId="a" w:customStyle="1">
    <w:name w:val="默认段落字体"/>
  </w:style>
  <w:style w:type="character" w:styleId="Char" w:customStyle="1">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styleId="Char0" w:customStyle="1">
    <w:name w:val="题注 Char"/>
    <w:rPr>
      <w:b/>
      <w:bCs/>
      <w:kern w:val="2"/>
      <w:lang w:val="en-GB" w:eastAsia="zh-CN" w:bidi="ar-SA"/>
    </w:rPr>
  </w:style>
  <w:style w:type="character" w:styleId="1" w:customStyle="1">
    <w:name w:val="已访问的超链接1"/>
    <w:rPr>
      <w:color w:val="800080"/>
      <w:kern w:val="2"/>
      <w:u w:val="single"/>
      <w:lang w:val="en-GB" w:eastAsia="zh-CN" w:bidi="ar-SA"/>
    </w:rPr>
  </w:style>
  <w:style w:type="character" w:styleId="FootnoteCharacters" w:customStyle="1">
    <w:name w:val="Footnote Characters"/>
    <w:rPr>
      <w:kern w:val="2"/>
      <w:vertAlign w:val="superscript"/>
      <w:lang w:val="en-GB" w:eastAsia="zh-CN" w:bidi="ar-SA"/>
    </w:rPr>
  </w:style>
  <w:style w:type="character" w:styleId="Char1" w:customStyle="1">
    <w:name w:val="页眉 Char"/>
    <w:rPr>
      <w:kern w:val="2"/>
      <w:sz w:val="22"/>
      <w:szCs w:val="22"/>
      <w:lang w:val="en-GB" w:eastAsia="zh-CN" w:bidi="ar-SA"/>
    </w:rPr>
  </w:style>
  <w:style w:type="character" w:styleId="Char2" w:customStyle="1">
    <w:name w:val="页脚 Char"/>
    <w:rPr>
      <w:kern w:val="2"/>
      <w:sz w:val="22"/>
      <w:szCs w:val="22"/>
      <w:lang w:val="en-GB" w:eastAsia="zh-CN" w:bidi="ar-SA"/>
    </w:rPr>
  </w:style>
  <w:style w:type="character" w:styleId="Char3" w:customStyle="1">
    <w:name w:val="文档结构图 Char"/>
    <w:rPr>
      <w:rFonts w:ascii="SimSun" w:hAnsi="SimSun" w:cs="SimSun"/>
      <w:kern w:val="2"/>
      <w:sz w:val="18"/>
      <w:szCs w:val="18"/>
      <w:lang w:val="en-GB" w:bidi="ar-SA"/>
    </w:rPr>
  </w:style>
  <w:style w:type="character" w:styleId="maintextChar" w:customStyle="1">
    <w:name w:val="main text Char"/>
    <w:rPr>
      <w:rFonts w:eastAsia="Malgun Gothic" w:cs="Batang"/>
      <w:lang w:val="en-GB" w:eastAsia="ko-KR"/>
    </w:rPr>
  </w:style>
  <w:style w:type="character" w:styleId="2222Char" w:customStyle="1">
    <w:name w:val="스타일 스타일 스타일 스타일 양쪽 첫 줄:  2 글자 + 첫 줄:  2 글자 + 첫 줄:  2 글자 + 첫 줄:  2... Char"/>
    <w:rPr>
      <w:rFonts w:eastAsia="Malgun Gothic" w:cs="Batang"/>
      <w:lang w:val="en-GB"/>
    </w:rPr>
  </w:style>
  <w:style w:type="character" w:styleId="a0" w:customStyle="1">
    <w:name w:val="批注引用"/>
    <w:rPr>
      <w:kern w:val="2"/>
      <w:sz w:val="21"/>
      <w:szCs w:val="21"/>
      <w:lang w:val="en-GB" w:eastAsia="zh-CN" w:bidi="ar-SA"/>
    </w:rPr>
  </w:style>
  <w:style w:type="character" w:styleId="Char4" w:customStyle="1">
    <w:name w:val="批注文字 Char"/>
    <w:rPr>
      <w:kern w:val="2"/>
      <w:sz w:val="22"/>
      <w:szCs w:val="22"/>
      <w:lang w:val="en-GB" w:bidi="ar-SA"/>
    </w:rPr>
  </w:style>
  <w:style w:type="character" w:styleId="Char5" w:customStyle="1">
    <w:name w:val="批注主题 Char"/>
    <w:rPr>
      <w:b/>
      <w:bCs/>
      <w:kern w:val="2"/>
      <w:sz w:val="22"/>
      <w:szCs w:val="22"/>
      <w:lang w:val="en-GB" w:bidi="ar-SA"/>
    </w:rPr>
  </w:style>
  <w:style w:type="character" w:styleId="CommentReference">
    <w:name w:val="annotation reference"/>
    <w:rPr>
      <w:sz w:val="16"/>
      <w:szCs w:val="16"/>
    </w:rPr>
  </w:style>
  <w:style w:type="character" w:styleId="CommentTextChar" w:customStyle="1">
    <w:name w:val="Comment Text Char"/>
    <w:rPr>
      <w:rFonts w:eastAsia="SimSun"/>
      <w:lang w:eastAsia="zh-CN"/>
    </w:rPr>
  </w:style>
  <w:style w:type="character" w:styleId="CommentSubjectChar" w:customStyle="1">
    <w:name w:val="Comment Subject Char"/>
    <w:rPr>
      <w:rFonts w:eastAsia="SimSun"/>
      <w:b/>
      <w:bCs/>
      <w:lang w:eastAsia="zh-CN"/>
    </w:rPr>
  </w:style>
  <w:style w:type="paragraph" w:styleId="Heading" w:customStyle="1">
    <w:name w:val="Heading"/>
    <w:basedOn w:val="Normal"/>
    <w:next w:val="BodyText"/>
    <w:pPr>
      <w:keepNext/>
      <w:spacing w:before="240"/>
    </w:pPr>
    <w:rPr>
      <w:rFonts w:ascii="Liberation Sans" w:hAnsi="Liberation Sans" w:eastAsia="Noto Sans CJK SC Regular"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styleId="Index" w:customStyle="1">
    <w:name w:val="Index"/>
    <w:basedOn w:val="Normal"/>
    <w:pPr>
      <w:suppressLineNumbers/>
    </w:pPr>
    <w:rPr>
      <w:rFonts w:cs="FreeSans"/>
    </w:rPr>
  </w:style>
  <w:style w:type="paragraph" w:styleId="a1" w:customStyle="1">
    <w:name w:val="题注"/>
    <w:basedOn w:val="Normal"/>
    <w:next w:val="Normal"/>
    <w:pPr>
      <w:jc w:val="center"/>
    </w:pPr>
    <w:rPr>
      <w:b/>
      <w:bCs/>
      <w:kern w:val="2"/>
      <w:sz w:val="20"/>
      <w:szCs w:val="20"/>
      <w:lang w:val="en-GB"/>
    </w:rPr>
  </w:style>
  <w:style w:type="paragraph" w:styleId="a2" w:customStyle="1">
    <w:name w:val="列表项目符号"/>
    <w:basedOn w:val="List"/>
    <w:pPr>
      <w:autoSpaceDE/>
      <w:spacing w:after="180"/>
      <w:ind w:left="568" w:hanging="284"/>
      <w:jc w:val="left"/>
    </w:pPr>
    <w:rPr>
      <w:sz w:val="20"/>
      <w:szCs w:val="20"/>
      <w:lang w:val="en-GB"/>
    </w:rPr>
  </w:style>
  <w:style w:type="paragraph" w:styleId="2" w:customStyle="1">
    <w:name w:val="正文文本 2"/>
    <w:basedOn w:val="Normal"/>
    <w:pPr>
      <w:spacing w:after="0"/>
      <w:jc w:val="left"/>
    </w:pPr>
    <w:rPr>
      <w:szCs w:val="20"/>
    </w:rPr>
  </w:style>
  <w:style w:type="paragraph" w:styleId="a3" w:customStyle="1">
    <w:name w:val="批注框文本"/>
    <w:basedOn w:val="Normal"/>
    <w:rPr>
      <w:rFonts w:ascii="Tahoma" w:hAnsi="Tahoma" w:cs="Tahoma"/>
      <w:sz w:val="16"/>
      <w:szCs w:val="16"/>
    </w:rPr>
  </w:style>
  <w:style w:type="paragraph" w:styleId="References" w:customStyle="1">
    <w:name w:val="References"/>
    <w:basedOn w:val="Normal"/>
    <w:pPr>
      <w:numPr>
        <w:numId w:val="3"/>
      </w:numPr>
      <w:spacing w:after="60"/>
    </w:pPr>
    <w:rPr>
      <w:sz w:val="20"/>
      <w:szCs w:val="16"/>
    </w:rPr>
  </w:style>
  <w:style w:type="paragraph" w:styleId="FootnoteText">
    <w:name w:val="footnote text"/>
    <w:basedOn w:val="Normal"/>
    <w:rPr>
      <w:sz w:val="20"/>
      <w:szCs w:val="20"/>
    </w:rPr>
  </w:style>
  <w:style w:type="paragraph" w:styleId="Figure" w:customStyle="1">
    <w:name w:val="Figure"/>
    <w:basedOn w:val="Normal"/>
    <w:pPr>
      <w:keepNext/>
      <w:jc w:val="center"/>
    </w:pPr>
  </w:style>
  <w:style w:type="paragraph" w:styleId="Eqn" w:customStyle="1">
    <w:name w:val="Eqn"/>
    <w:basedOn w:val="Normal"/>
    <w:rPr>
      <w:lang w:eastAsia="ja-JP"/>
    </w:rPr>
  </w:style>
  <w:style w:type="paragraph" w:styleId="tablecell" w:customStyle="1">
    <w:name w:val="tablecell"/>
    <w:basedOn w:val="Normal"/>
    <w:pPr>
      <w:spacing w:before="20" w:after="20"/>
      <w:jc w:val="left"/>
    </w:pPr>
  </w:style>
  <w:style w:type="paragraph" w:styleId="HeaderandFooter" w:customStyle="1">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styleId="tablecol" w:customStyle="1">
    <w:name w:val="tablecol"/>
    <w:basedOn w:val="tablecell"/>
    <w:pPr>
      <w:jc w:val="center"/>
    </w:pPr>
    <w:rPr>
      <w:b/>
    </w:rPr>
  </w:style>
  <w:style w:type="paragraph" w:styleId="a4" w:customStyle="1">
    <w:name w:val="文档结构图"/>
    <w:basedOn w:val="Normal"/>
    <w:rPr>
      <w:rFonts w:ascii="SimSun" w:hAnsi="SimSun" w:cs="SimSun"/>
      <w:kern w:val="2"/>
      <w:sz w:val="18"/>
      <w:szCs w:val="18"/>
      <w:lang w:val="en-GB"/>
    </w:rPr>
  </w:style>
  <w:style w:type="paragraph" w:styleId="maintext" w:customStyle="1">
    <w:name w:val="main text"/>
    <w:basedOn w:val="Normal"/>
    <w:pPr>
      <w:autoSpaceDE/>
      <w:snapToGrid/>
      <w:spacing w:before="60" w:after="60" w:line="288" w:lineRule="auto"/>
      <w:ind w:firstLine="200"/>
    </w:pPr>
    <w:rPr>
      <w:rFonts w:eastAsia="Malgun Gothic"/>
      <w:sz w:val="20"/>
      <w:szCs w:val="20"/>
      <w:lang w:val="en-GB" w:eastAsia="ko-KR"/>
    </w:rPr>
  </w:style>
  <w:style w:type="paragraph" w:styleId="2222" w:customStyle="1">
    <w:name w:val="스타일 스타일 스타일 스타일 양쪽 첫 줄:  2 글자 + 첫 줄:  2 글자 + 첫 줄:  2 글자 + 첫 줄:  2..."/>
    <w:basedOn w:val="Normal"/>
    <w:pPr>
      <w:autoSpaceDE/>
      <w:snapToGrid/>
      <w:spacing w:after="180" w:line="336" w:lineRule="auto"/>
      <w:ind w:firstLine="200"/>
    </w:pPr>
    <w:rPr>
      <w:rFonts w:eastAsia="Malgun Gothic"/>
      <w:sz w:val="20"/>
      <w:szCs w:val="20"/>
      <w:lang w:val="en-GB"/>
    </w:rPr>
  </w:style>
  <w:style w:type="paragraph" w:styleId="a5" w:customStyle="1">
    <w:name w:val="批注文字"/>
    <w:basedOn w:val="Normal"/>
    <w:pPr>
      <w:jc w:val="left"/>
    </w:pPr>
    <w:rPr>
      <w:kern w:val="2"/>
      <w:lang w:val="en-GB"/>
    </w:rPr>
  </w:style>
  <w:style w:type="paragraph" w:styleId="a6" w:customStyle="1">
    <w:name w:val="批注主题"/>
    <w:basedOn w:val="a5"/>
    <w:next w:val="a5"/>
    <w:rPr>
      <w:b/>
      <w:bCs/>
    </w:rPr>
  </w:style>
  <w:style w:type="paragraph" w:styleId="a7" w:customStyle="1">
    <w:name w:val="列出段落"/>
    <w:basedOn w:val="Normal"/>
    <w:pPr>
      <w:ind w:left="720"/>
      <w:contextualSpacing/>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180"/>
      <w:ind w:left="720"/>
      <w:contextualSpacing/>
    </w:pPr>
  </w:style>
  <w:style w:type="table" w:styleId="TableGrid">
    <w:name w:val="Table Grid"/>
    <w:basedOn w:val="TableNormal"/>
    <w:uiPriority w:val="39"/>
    <w:qFormat/>
    <w:rsid w:val="00C114D3"/>
    <w:pPr>
      <w:overflowPunct w:val="0"/>
      <w:autoSpaceDE w:val="0"/>
      <w:autoSpaceDN w:val="0"/>
      <w:adjustRightInd w:val="0"/>
      <w:spacing w:after="120"/>
      <w:jc w:val="both"/>
      <w:textAlignment w:val="baseline"/>
    </w:pPr>
    <w:rPr>
      <w:rFonts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2" ma:contentTypeDescription="Create a new document." ma:contentTypeScope="" ma:versionID="69a51180523a8d5d21359e0620fc4335">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09534e5a715ef65012a3eb180163cbb2"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39C0AD-3EA9-4F4E-8106-55D9AA0B3909}">
  <ds:schemaRefs>
    <ds:schemaRef ds:uri="http://schemas.microsoft.com/sharepoint/v3/contenttype/forms"/>
  </ds:schemaRefs>
</ds:datastoreItem>
</file>

<file path=customXml/itemProps2.xml><?xml version="1.0" encoding="utf-8"?>
<ds:datastoreItem xmlns:ds="http://schemas.openxmlformats.org/officeDocument/2006/customXml" ds:itemID="{742E873B-FA03-4963-9963-FFCCE4C60E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034E8A-764F-47C5-AC5E-0B30DECB3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Brian Classon</dc:creator>
  <keywords/>
  <lastModifiedBy>Repeta, Morris</lastModifiedBy>
  <revision>1012</revision>
  <lastPrinted>2007-06-19T00:08:00.0000000Z</lastPrinted>
  <dcterms:created xsi:type="dcterms:W3CDTF">2022-07-05T11:46:00.0000000Z</dcterms:created>
  <dcterms:modified xsi:type="dcterms:W3CDTF">2022-07-24T11:42:37.6839150Z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y fmtid="{D5CDD505-2E9C-101B-9397-08002B2CF9AE}" pid="22" name="MSIP_Label_dad3be33-4108-4738-9e07-d8656a181486_Enabled">
    <vt:lpwstr>true</vt:lpwstr>
  </property>
  <property fmtid="{D5CDD505-2E9C-101B-9397-08002B2CF9AE}" pid="23" name="MSIP_Label_dad3be33-4108-4738-9e07-d8656a181486_SetDate">
    <vt:lpwstr>2022-07-05T11:45:47Z</vt:lpwstr>
  </property>
  <property fmtid="{D5CDD505-2E9C-101B-9397-08002B2CF9AE}" pid="24" name="MSIP_Label_dad3be33-4108-4738-9e07-d8656a181486_Method">
    <vt:lpwstr>Privileged</vt:lpwstr>
  </property>
  <property fmtid="{D5CDD505-2E9C-101B-9397-08002B2CF9AE}" pid="25" name="MSIP_Label_dad3be33-4108-4738-9e07-d8656a181486_Name">
    <vt:lpwstr>Public No Visual Label</vt:lpwstr>
  </property>
  <property fmtid="{D5CDD505-2E9C-101B-9397-08002B2CF9AE}" pid="26" name="MSIP_Label_dad3be33-4108-4738-9e07-d8656a181486_SiteId">
    <vt:lpwstr>945c199a-83a2-4e80-9f8c-5a91be5752dd</vt:lpwstr>
  </property>
  <property fmtid="{D5CDD505-2E9C-101B-9397-08002B2CF9AE}" pid="27" name="MSIP_Label_dad3be33-4108-4738-9e07-d8656a181486_ActionId">
    <vt:lpwstr>d7d4b157-7199-49ad-9b2d-24241a4e6b7d</vt:lpwstr>
  </property>
  <property fmtid="{D5CDD505-2E9C-101B-9397-08002B2CF9AE}" pid="28" name="MSIP_Label_dad3be33-4108-4738-9e07-d8656a181486_ContentBits">
    <vt:lpwstr>0</vt:lpwstr>
  </property>
  <property fmtid="{D5CDD505-2E9C-101B-9397-08002B2CF9AE}" pid="29" name="ContentTypeId">
    <vt:lpwstr>0x010100FDC1823E9FD6F44682472E2FDB640E74</vt:lpwstr>
  </property>
</Properties>
</file>