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E740" w14:textId="77777777"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88E757" w14:textId="77777777" w:rsidR="00AC4E6C" w:rsidRDefault="00C66DB1">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lastRenderedPageBreak/>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lastRenderedPageBreak/>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lastRenderedPageBreak/>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proofErr w:type="spellStart"/>
            <w:r>
              <w:rPr>
                <w:rFonts w:eastAsiaTheme="minorEastAsia" w:hint="eastAsia"/>
                <w:lang w:val="en-US" w:eastAsia="zh-CN"/>
              </w:rPr>
              <w:t>Spreadtrum</w:t>
            </w:r>
            <w:proofErr w:type="spellEnd"/>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proofErr w:type="spellStart"/>
            <w:r w:rsidRPr="003C0245">
              <w:rPr>
                <w:rFonts w:eastAsia="Yu Mincho" w:hint="eastAsia"/>
                <w:lang w:val="en-US" w:eastAsia="ja-JP"/>
              </w:rPr>
              <w:t>Spreadtrum</w:t>
            </w:r>
            <w:proofErr w:type="spellEnd"/>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2F1C44">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2F1C44">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2F1C44">
            <w:pPr>
              <w:tabs>
                <w:tab w:val="left" w:pos="551"/>
              </w:tabs>
              <w:rPr>
                <w:rFonts w:eastAsia="Yu Mincho" w:hint="eastAsia"/>
                <w:lang w:val="en-US" w:eastAsia="ja-JP"/>
              </w:rPr>
            </w:pPr>
            <w:r>
              <w:rPr>
                <w:rFonts w:eastAsia="Yu Mincho"/>
                <w:lang w:val="en-US" w:eastAsia="ja-JP"/>
              </w:rPr>
              <w:t>SONY</w:t>
            </w:r>
          </w:p>
        </w:tc>
        <w:tc>
          <w:tcPr>
            <w:tcW w:w="1372" w:type="dxa"/>
          </w:tcPr>
          <w:p w14:paraId="4F2BF478" w14:textId="35D2B6A2" w:rsidR="004A70A1" w:rsidRDefault="004A70A1" w:rsidP="002F1C44">
            <w:pPr>
              <w:tabs>
                <w:tab w:val="left" w:pos="551"/>
              </w:tabs>
              <w:rPr>
                <w:rFonts w:eastAsia="Yu Mincho" w:hint="eastAsia"/>
                <w:lang w:val="en-US" w:eastAsia="ja-JP"/>
              </w:rPr>
            </w:pPr>
            <w:r>
              <w:rPr>
                <w:rFonts w:eastAsia="Yu Mincho"/>
                <w:lang w:val="en-US" w:eastAsia="ja-JP"/>
              </w:rPr>
              <w:t>Y</w:t>
            </w:r>
          </w:p>
        </w:tc>
        <w:tc>
          <w:tcPr>
            <w:tcW w:w="6780" w:type="dxa"/>
          </w:tcPr>
          <w:p w14:paraId="644E8EDC" w14:textId="77777777" w:rsidR="004A70A1" w:rsidRDefault="004A70A1" w:rsidP="002F1C44">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w:t>
            </w:r>
            <w:r>
              <w:rPr>
                <w:rFonts w:eastAsiaTheme="minorEastAsia"/>
                <w:lang w:val="en-US" w:eastAsia="zh-CN"/>
              </w:rPr>
              <w:lastRenderedPageBreak/>
              <w:t>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lastRenderedPageBreak/>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proofErr w:type="spellStart"/>
            <w:r w:rsidRPr="003C0245">
              <w:rPr>
                <w:rFonts w:eastAsia="Yu Mincho" w:hint="eastAsia"/>
                <w:lang w:val="en-US" w:eastAsia="ja-JP"/>
              </w:rPr>
              <w:t>Spreadtrum</w:t>
            </w:r>
            <w:proofErr w:type="spellEnd"/>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2F1C44">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2F1C44">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eRedCap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w:t>
            </w:r>
            <w:r>
              <w:rPr>
                <w:rFonts w:eastAsiaTheme="minorEastAsia"/>
                <w:lang w:val="en-US" w:eastAsia="zh-CN"/>
              </w:rPr>
              <w:lastRenderedPageBreak/>
              <w:t>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w:t>
            </w:r>
            <w:r>
              <w:rPr>
                <w:rFonts w:eastAsiaTheme="minorEastAsia"/>
                <w:lang w:val="en-US" w:eastAsia="zh-CN"/>
              </w:rPr>
              <w:lastRenderedPageBreak/>
              <w:t xml:space="preserve">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 xml:space="preserve">We have tried to choose a subset of reasonably different options. While some of the other options have merit, studying them might not lead to a great deal of </w:t>
            </w:r>
            <w:r>
              <w:rPr>
                <w:rFonts w:eastAsiaTheme="minorEastAsia"/>
                <w:lang w:val="en-US" w:eastAsia="zh-CN"/>
              </w:rPr>
              <w:lastRenderedPageBreak/>
              <w:t>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w:t>
            </w:r>
            <w:r>
              <w:rPr>
                <w:rFonts w:eastAsiaTheme="minorEastAsia"/>
                <w:lang w:val="en-US" w:eastAsia="zh-CN"/>
              </w:rPr>
              <w:lastRenderedPageBreak/>
              <w:t xml:space="preserve">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lastRenderedPageBreak/>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proofErr w:type="spellStart"/>
            <w:r>
              <w:rPr>
                <w:rFonts w:eastAsiaTheme="minorEastAsia"/>
                <w:lang w:val="en-US" w:eastAsia="zh-CN"/>
              </w:rPr>
              <w:t>Spreadtrum</w:t>
            </w:r>
            <w:proofErr w:type="spellEnd"/>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lastRenderedPageBreak/>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lastRenderedPageBreak/>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w:t>
            </w:r>
            <w:r>
              <w:rPr>
                <w:rFonts w:ascii="Times New Roman" w:eastAsia="Malgun Gothic" w:hAnsi="Times New Roman" w:cs="Times New Roman"/>
                <w:sz w:val="20"/>
                <w:szCs w:val="20"/>
                <w:lang w:val="en-US" w:eastAsia="ko-KR"/>
              </w:rPr>
              <w:lastRenderedPageBreak/>
              <w:t xml:space="preserve">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ListParagraph"/>
              <w:jc w:val="left"/>
              <w:rPr>
                <w:rFonts w:eastAsia="Malgun Gothic"/>
                <w:lang w:val="en-US" w:eastAsia="ko-KR"/>
              </w:rPr>
            </w:pPr>
          </w:p>
          <w:p w14:paraId="0188ED17" w14:textId="77777777" w:rsidR="00AC4E6C" w:rsidRDefault="00AC4E6C">
            <w:pPr>
              <w:pStyle w:val="ListParagraph"/>
              <w:jc w:val="left"/>
              <w:rPr>
                <w:rFonts w:eastAsia="Malgun Gothic"/>
                <w:lang w:val="en-US" w:eastAsia="ko-KR"/>
              </w:rPr>
            </w:pPr>
          </w:p>
          <w:p w14:paraId="0188ED18" w14:textId="77777777" w:rsidR="00AC4E6C" w:rsidRDefault="00AC4E6C">
            <w:pPr>
              <w:pStyle w:val="ListParagraph"/>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lastRenderedPageBreak/>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w:t>
            </w:r>
            <w:r>
              <w:rPr>
                <w:rFonts w:eastAsiaTheme="minorEastAsia" w:hint="eastAsia"/>
                <w:lang w:val="en-US" w:eastAsia="zh-CN"/>
              </w:rPr>
              <w:lastRenderedPageBreak/>
              <w:t>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proofErr w:type="spellStart"/>
            <w:r w:rsidRPr="003C0245">
              <w:rPr>
                <w:rFonts w:eastAsia="Yu Mincho" w:hint="eastAsia"/>
                <w:lang w:val="en-US" w:eastAsia="ja-JP"/>
              </w:rPr>
              <w:t>Spreadtrum</w:t>
            </w:r>
            <w:proofErr w:type="spellEnd"/>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2F1C44">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hint="eastAsia"/>
                <w:lang w:val="en-US" w:eastAsia="ja-JP"/>
              </w:rPr>
            </w:pPr>
            <w:r>
              <w:rPr>
                <w:rFonts w:eastAsia="Yu Mincho"/>
                <w:lang w:val="en-US" w:eastAsia="ja-JP"/>
              </w:rPr>
              <w:lastRenderedPageBreak/>
              <w:t>SONY</w:t>
            </w:r>
          </w:p>
        </w:tc>
        <w:tc>
          <w:tcPr>
            <w:tcW w:w="1583" w:type="dxa"/>
          </w:tcPr>
          <w:p w14:paraId="66E3E46A" w14:textId="4A625A01" w:rsidR="00550019" w:rsidRDefault="00550019" w:rsidP="00FE0F56">
            <w:pPr>
              <w:tabs>
                <w:tab w:val="left" w:pos="551"/>
              </w:tabs>
              <w:jc w:val="left"/>
              <w:rPr>
                <w:rFonts w:eastAsia="Yu Mincho" w:hint="eastAsia"/>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w:t>
            </w:r>
            <w:r>
              <w:rPr>
                <w:rFonts w:eastAsiaTheme="minorEastAsia"/>
                <w:lang w:val="en-US" w:eastAsia="zh-CN"/>
              </w:rPr>
              <w:lastRenderedPageBreak/>
              <w:t>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lastRenderedPageBreak/>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w:t>
            </w:r>
            <w:r>
              <w:rPr>
                <w:rFonts w:eastAsiaTheme="minorEastAsia"/>
                <w:lang w:val="en-US" w:eastAsia="zh-CN"/>
              </w:rPr>
              <w:lastRenderedPageBreak/>
              <w:t xml:space="preserve">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w:t>
            </w:r>
            <w:proofErr w:type="spellStart"/>
            <w:r>
              <w:rPr>
                <w:rFonts w:eastAsiaTheme="minorEastAsia"/>
                <w:lang w:val="en-US" w:eastAsia="zh-CN"/>
              </w:rPr>
              <w:t>gNB</w:t>
            </w:r>
            <w:proofErr w:type="spellEnd"/>
            <w:r>
              <w:rPr>
                <w:rFonts w:eastAsiaTheme="minorEastAsia"/>
                <w:lang w:val="en-US" w:eastAsia="zh-CN"/>
              </w:rPr>
              <w:t xml:space="preserve"> to transmit separate broadcast PDSCHs for a UE in idle mode and another UE in connected mode with different BW capability? </w:t>
            </w: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lastRenderedPageBreak/>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w:t>
            </w:r>
            <w:r>
              <w:rPr>
                <w:rFonts w:eastAsiaTheme="minorEastAsia"/>
                <w:lang w:val="en-US" w:eastAsia="zh-CN"/>
              </w:rPr>
              <w:lastRenderedPageBreak/>
              <w:t xml:space="preserve">evaluation. </w:t>
            </w:r>
          </w:p>
          <w:p w14:paraId="0188EDE1" w14:textId="77777777" w:rsidR="00AC4E6C" w:rsidRDefault="00C66DB1">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lastRenderedPageBreak/>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lastRenderedPageBreak/>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lastRenderedPageBreak/>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lastRenderedPageBreak/>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proofErr w:type="spellStart"/>
            <w:r>
              <w:rPr>
                <w:rFonts w:eastAsiaTheme="minorEastAsia"/>
                <w:lang w:eastAsia="zh-CN"/>
              </w:rPr>
              <w:t>Spreadtrum</w:t>
            </w:r>
            <w:proofErr w:type="spellEnd"/>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lastRenderedPageBreak/>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w:t>
            </w:r>
            <w:r>
              <w:rPr>
                <w:rFonts w:ascii="Times New Roman" w:hAnsi="Times New Roman" w:cs="Times New Roman"/>
                <w:b/>
                <w:bCs/>
                <w:color w:val="FF0000"/>
                <w:sz w:val="20"/>
                <w:szCs w:val="20"/>
                <w:lang w:val="en-US"/>
              </w:rPr>
              <w:lastRenderedPageBreak/>
              <w:t>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2F1C44">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2F1C44">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hint="eastAsia"/>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hint="eastAsia"/>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 xml:space="preserve">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w:t>
            </w:r>
            <w:r>
              <w:rPr>
                <w:rFonts w:eastAsia="Malgun Gothic"/>
                <w:lang w:val="en-US" w:eastAsia="ko-KR"/>
              </w:rPr>
              <w:lastRenderedPageBreak/>
              <w:t>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lastRenderedPageBreak/>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proofErr w:type="spellStart"/>
            <w:r>
              <w:rPr>
                <w:rFonts w:eastAsiaTheme="minorEastAsia"/>
                <w:lang w:eastAsia="zh-CN"/>
              </w:rPr>
              <w:t>Spreadtrum</w:t>
            </w:r>
            <w:proofErr w:type="spellEnd"/>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 xml:space="preserve">But, if majority companies think study one option is enough, we can accept it. </w:t>
            </w:r>
            <w:r>
              <w:rPr>
                <w:rFonts w:eastAsiaTheme="minorEastAsia"/>
                <w:lang w:val="en-US" w:eastAsia="zh-CN"/>
              </w:rPr>
              <w:lastRenderedPageBreak/>
              <w:t>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lastRenderedPageBreak/>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 xml:space="preserve">Both BW3 and PR3 should be studied. BW3 is localized 5MHz for data channel, while PR3 allows a flexibility of distributed frequency resource </w:t>
            </w:r>
            <w:r>
              <w:rPr>
                <w:rFonts w:eastAsiaTheme="minorEastAsia"/>
                <w:lang w:val="en-US" w:eastAsia="zh-CN"/>
              </w:rPr>
              <w:lastRenderedPageBreak/>
              <w:t>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lastRenderedPageBreak/>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 xml:space="preserve">At least for UL, it is enough to study BW3 only, because UL PUSCH has contiguous PRB 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t>
            </w:r>
            <w:r>
              <w:rPr>
                <w:rFonts w:eastAsiaTheme="minorEastAsia"/>
                <w:lang w:val="en-US" w:eastAsia="zh-CN"/>
              </w:rPr>
              <w:lastRenderedPageBreak/>
              <w:t xml:space="preserve">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lastRenderedPageBreak/>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lastRenderedPageBreak/>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2F1C44">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2F1C44">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2F1C44">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w:t>
            </w:r>
            <w:r>
              <w:rPr>
                <w:rFonts w:eastAsiaTheme="minorEastAsia"/>
                <w:lang w:val="en-US" w:eastAsia="zh-CN"/>
              </w:rPr>
              <w:lastRenderedPageBreak/>
              <w:t xml:space="preserve">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lastRenderedPageBreak/>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w:t>
            </w:r>
            <w:r>
              <w:rPr>
                <w:rFonts w:eastAsiaTheme="minorEastAsia"/>
                <w:lang w:val="en-US" w:eastAsia="zh-CN"/>
              </w:rPr>
              <w:lastRenderedPageBreak/>
              <w:t xml:space="preserve">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complexity reduction estimates for relaxed UE processing timeline are only </w:t>
            </w:r>
            <w:r>
              <w:rPr>
                <w:rFonts w:ascii="Times New Roman" w:hAnsi="Times New Roman" w:cs="Times New Roman"/>
                <w:b/>
                <w:bCs/>
                <w:sz w:val="20"/>
                <w:szCs w:val="20"/>
                <w:lang w:val="en-US"/>
              </w:rPr>
              <w:lastRenderedPageBreak/>
              <w:t>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lastRenderedPageBreak/>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lastRenderedPageBreak/>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w:t>
            </w:r>
            <w:r>
              <w:rPr>
                <w:rFonts w:eastAsiaTheme="minorEastAsia"/>
                <w:lang w:val="en-US" w:eastAsia="zh-CN"/>
              </w:rPr>
              <w:lastRenderedPageBreak/>
              <w:t xml:space="preserve">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w:t>
            </w:r>
            <w:r>
              <w:rPr>
                <w:rFonts w:eastAsiaTheme="minorEastAsia"/>
                <w:lang w:val="en-US" w:eastAsia="zh-CN"/>
              </w:rPr>
              <w:lastRenderedPageBreak/>
              <w:t xml:space="preserve">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550019"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in order to operate </w:t>
            </w:r>
            <w:r>
              <w:rPr>
                <w:rFonts w:eastAsiaTheme="minorEastAsia"/>
                <w:lang w:val="en-US" w:eastAsia="zh-CN"/>
              </w:rPr>
              <w:lastRenderedPageBreak/>
              <w:t>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 xml:space="preserve">hope we can reduce the combination number, e.g. only consider relax N but not </w:t>
            </w:r>
            <w:r>
              <w:rPr>
                <w:rFonts w:eastAsiaTheme="minorEastAsia"/>
                <w:lang w:val="en-US" w:eastAsia="zh-CN"/>
              </w:rPr>
              <w:lastRenderedPageBreak/>
              <w:t>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lastRenderedPageBreak/>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lastRenderedPageBreak/>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 xml:space="preserve">Considering the limited time available to conclude the Rel-18 eRedCap SI, the study should focus on UE bandwidth reduction, UE peak rate reduction, and UE </w:t>
            </w:r>
            <w:r>
              <w:rPr>
                <w:rFonts w:eastAsiaTheme="minorEastAsia"/>
                <w:lang w:val="en-US" w:eastAsia="zh-CN"/>
              </w:rPr>
              <w:lastRenderedPageBreak/>
              <w:t>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w:t>
            </w:r>
            <w:r>
              <w:rPr>
                <w:rFonts w:eastAsiaTheme="minorEastAsia"/>
                <w:lang w:val="en-US" w:eastAsia="zh-CN"/>
              </w:rPr>
              <w:lastRenderedPageBreak/>
              <w:t>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lastRenderedPageBreak/>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 xml:space="preserve">The following complexity reduction techniques will not be studied in this study </w:t>
            </w:r>
            <w:r>
              <w:rPr>
                <w:rFonts w:eastAsiaTheme="minorEastAsia"/>
                <w:lang w:val="en-US" w:eastAsia="zh-CN"/>
              </w:rPr>
              <w:lastRenderedPageBreak/>
              <w:t>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 xml:space="preserve">They are discussed in Rel-17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lastRenderedPageBreak/>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 xml:space="preserve">in SID, it was clarified by moderator in FLS at RAN#94-e meeting discussion that they are not precluded as </w:t>
            </w:r>
            <w:proofErr w:type="gramStart"/>
            <w:r>
              <w:rPr>
                <w:rFonts w:eastAsia="Yu Mincho"/>
                <w:lang w:val="en-US" w:eastAsia="ja-JP"/>
              </w:rPr>
              <w:t>follows;</w:t>
            </w:r>
            <w:proofErr w:type="gramEnd"/>
          </w:p>
          <w:p w14:paraId="05B90398" w14:textId="31ADC2B5" w:rsidR="00FE0F56" w:rsidRDefault="009F38AD" w:rsidP="00FE0F56">
            <w:pPr>
              <w:ind w:leftChars="200" w:left="40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lastRenderedPageBreak/>
              <w:t>Accordingly, we think they should be allowed to study at least with low priority.</w:t>
            </w:r>
          </w:p>
        </w:tc>
      </w:tr>
      <w:tr w:rsidR="0075599F" w14:paraId="79DB0703" w14:textId="77777777" w:rsidTr="00B05EB6">
        <w:tc>
          <w:tcPr>
            <w:tcW w:w="1479" w:type="dxa"/>
          </w:tcPr>
          <w:p w14:paraId="26AFCE77" w14:textId="1656C0CD" w:rsidR="0075599F" w:rsidRDefault="00EF082A" w:rsidP="0075599F">
            <w:pPr>
              <w:rPr>
                <w:rFonts w:eastAsia="Yu Mincho" w:hint="eastAsia"/>
                <w:lang w:val="en-US" w:eastAsia="ja-JP"/>
              </w:rPr>
            </w:pPr>
            <w:r>
              <w:rPr>
                <w:rFonts w:eastAsia="Yu Mincho"/>
                <w:lang w:val="en-US" w:eastAsia="ja-JP"/>
              </w:rPr>
              <w:lastRenderedPageBreak/>
              <w:t>SONY</w:t>
            </w:r>
          </w:p>
        </w:tc>
        <w:tc>
          <w:tcPr>
            <w:tcW w:w="1372" w:type="dxa"/>
          </w:tcPr>
          <w:p w14:paraId="41907CDD" w14:textId="1CBEA64F" w:rsidR="0075599F" w:rsidRDefault="0075599F" w:rsidP="0075599F">
            <w:pPr>
              <w:tabs>
                <w:tab w:val="left" w:pos="551"/>
              </w:tabs>
              <w:jc w:val="left"/>
              <w:rPr>
                <w:rFonts w:eastAsia="Yu Mincho" w:hint="eastAsia"/>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F1586A">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F1586A">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F1586A">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F1586A">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F1586A">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F1586A">
            <w:pPr>
              <w:jc w:val="left"/>
              <w:rPr>
                <w:rStyle w:val="Hyperlink"/>
                <w:color w:val="0000FF"/>
                <w:lang w:eastAsia="sv-SE"/>
              </w:rPr>
            </w:pPr>
            <w:hyperlink r:id="rId18"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F1586A">
            <w:pPr>
              <w:jc w:val="left"/>
              <w:rPr>
                <w:rStyle w:val="Hyperlink"/>
                <w:color w:val="0000FF"/>
                <w:lang w:eastAsia="sv-SE"/>
              </w:rPr>
            </w:pPr>
            <w:hyperlink r:id="rId19"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F1586A">
            <w:pPr>
              <w:jc w:val="left"/>
              <w:rPr>
                <w:rStyle w:val="Hyperlink"/>
                <w:color w:val="0000FF"/>
                <w:lang w:eastAsia="sv-SE"/>
              </w:rPr>
            </w:pPr>
            <w:hyperlink r:id="rId20"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F1586A">
            <w:pPr>
              <w:jc w:val="left"/>
              <w:rPr>
                <w:rStyle w:val="Hyperlink"/>
                <w:color w:val="0000FF"/>
                <w:lang w:eastAsia="sv-SE"/>
              </w:rPr>
            </w:pPr>
            <w:hyperlink r:id="rId21"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F1586A">
            <w:pPr>
              <w:jc w:val="left"/>
              <w:rPr>
                <w:rStyle w:val="Hyperlink"/>
                <w:color w:val="0000FF"/>
                <w:lang w:eastAsia="sv-SE"/>
              </w:rPr>
            </w:pPr>
            <w:hyperlink r:id="rId22"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F1586A">
            <w:pPr>
              <w:jc w:val="left"/>
              <w:rPr>
                <w:rStyle w:val="Hyperlink"/>
                <w:color w:val="0000FF"/>
                <w:lang w:eastAsia="sv-SE"/>
              </w:rPr>
            </w:pPr>
            <w:hyperlink r:id="rId23"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 xml:space="preserve">Huawei, </w:t>
            </w:r>
            <w:proofErr w:type="spellStart"/>
            <w:r>
              <w:t>HiSilicon</w:t>
            </w:r>
            <w:proofErr w:type="spellEnd"/>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F1586A">
            <w:pPr>
              <w:jc w:val="left"/>
              <w:rPr>
                <w:rStyle w:val="Hyperlink"/>
                <w:color w:val="0000FF"/>
                <w:lang w:eastAsia="sv-SE"/>
              </w:rPr>
            </w:pPr>
            <w:hyperlink r:id="rId24"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proofErr w:type="spellStart"/>
            <w:r>
              <w:t>Spreadtrum</w:t>
            </w:r>
            <w:proofErr w:type="spellEnd"/>
            <w:r>
              <w:t xml:space="preserve">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F1586A">
            <w:pPr>
              <w:jc w:val="left"/>
              <w:rPr>
                <w:rStyle w:val="Hyperlink"/>
                <w:color w:val="0000FF"/>
                <w:lang w:eastAsia="sv-SE"/>
              </w:rPr>
            </w:pPr>
            <w:hyperlink r:id="rId25"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F1586A">
            <w:pPr>
              <w:jc w:val="left"/>
              <w:rPr>
                <w:rStyle w:val="Hyperlink"/>
                <w:color w:val="0000FF"/>
                <w:lang w:eastAsia="sv-SE"/>
              </w:rPr>
            </w:pPr>
            <w:hyperlink r:id="rId26"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F1586A">
            <w:pPr>
              <w:jc w:val="left"/>
              <w:rPr>
                <w:rStyle w:val="Hyperlink"/>
                <w:color w:val="0000FF"/>
                <w:lang w:eastAsia="sv-SE"/>
              </w:rPr>
            </w:pPr>
            <w:hyperlink r:id="rId27"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 xml:space="preserve">ZTE, </w:t>
            </w:r>
            <w:proofErr w:type="spellStart"/>
            <w:r>
              <w:t>Sanechips</w:t>
            </w:r>
            <w:proofErr w:type="spellEnd"/>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F1586A">
            <w:pPr>
              <w:jc w:val="left"/>
              <w:rPr>
                <w:rStyle w:val="Hyperlink"/>
                <w:color w:val="0000FF"/>
                <w:lang w:eastAsia="sv-SE"/>
              </w:rPr>
            </w:pPr>
            <w:hyperlink r:id="rId28"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F1586A">
            <w:pPr>
              <w:jc w:val="left"/>
              <w:rPr>
                <w:rStyle w:val="Hyperlink"/>
                <w:color w:val="0000FF"/>
                <w:lang w:eastAsia="sv-SE"/>
              </w:rPr>
            </w:pPr>
            <w:hyperlink r:id="rId29"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F1586A">
            <w:pPr>
              <w:jc w:val="left"/>
              <w:rPr>
                <w:rStyle w:val="Hyperlink"/>
                <w:color w:val="0000FF"/>
                <w:lang w:eastAsia="sv-SE"/>
              </w:rPr>
            </w:pPr>
            <w:hyperlink r:id="rId30"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F1586A">
            <w:pPr>
              <w:jc w:val="left"/>
              <w:rPr>
                <w:rStyle w:val="Hyperlink"/>
                <w:color w:val="0000FF"/>
                <w:lang w:eastAsia="sv-SE"/>
              </w:rPr>
            </w:pPr>
            <w:hyperlink r:id="rId31"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F1586A">
            <w:pPr>
              <w:jc w:val="left"/>
              <w:rPr>
                <w:rStyle w:val="Hyperlink"/>
                <w:color w:val="0000FF"/>
                <w:lang w:eastAsia="sv-SE"/>
              </w:rPr>
            </w:pPr>
            <w:hyperlink r:id="rId32"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lastRenderedPageBreak/>
              <w:t>[21]</w:t>
            </w:r>
          </w:p>
        </w:tc>
        <w:tc>
          <w:tcPr>
            <w:tcW w:w="1456" w:type="dxa"/>
            <w:tcMar>
              <w:top w:w="0" w:type="dxa"/>
              <w:left w:w="70" w:type="dxa"/>
              <w:bottom w:w="0" w:type="dxa"/>
              <w:right w:w="70" w:type="dxa"/>
            </w:tcMar>
          </w:tcPr>
          <w:p w14:paraId="0188F4A2" w14:textId="77777777" w:rsidR="00AC4E6C" w:rsidRDefault="00F1586A">
            <w:pPr>
              <w:jc w:val="left"/>
              <w:rPr>
                <w:rStyle w:val="Hyperlink"/>
                <w:color w:val="0000FF"/>
                <w:lang w:eastAsia="sv-SE"/>
              </w:rPr>
            </w:pPr>
            <w:hyperlink r:id="rId33"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F1586A">
            <w:pPr>
              <w:jc w:val="left"/>
              <w:rPr>
                <w:rStyle w:val="Hyperlink"/>
                <w:color w:val="0000FF"/>
                <w:lang w:eastAsia="sv-SE"/>
              </w:rPr>
            </w:pPr>
            <w:hyperlink r:id="rId34"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F1586A">
            <w:pPr>
              <w:jc w:val="left"/>
              <w:rPr>
                <w:rStyle w:val="Hyperlink"/>
                <w:color w:val="0000FF"/>
                <w:lang w:eastAsia="sv-SE"/>
              </w:rPr>
            </w:pPr>
            <w:hyperlink r:id="rId35"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F1586A">
            <w:pPr>
              <w:jc w:val="left"/>
              <w:rPr>
                <w:rStyle w:val="Hyperlink"/>
                <w:color w:val="0000FF"/>
                <w:lang w:eastAsia="sv-SE"/>
              </w:rPr>
            </w:pPr>
            <w:hyperlink r:id="rId36"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F1586A">
            <w:pPr>
              <w:jc w:val="left"/>
              <w:rPr>
                <w:rStyle w:val="Hyperlink"/>
                <w:color w:val="0000FF"/>
                <w:lang w:eastAsia="sv-SE"/>
              </w:rPr>
            </w:pPr>
            <w:hyperlink r:id="rId37"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F1586A">
            <w:pPr>
              <w:jc w:val="left"/>
              <w:rPr>
                <w:rStyle w:val="Hyperlink"/>
                <w:color w:val="0000FF"/>
                <w:lang w:eastAsia="sv-SE"/>
              </w:rPr>
            </w:pPr>
            <w:hyperlink r:id="rId38"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F1586A">
            <w:pPr>
              <w:jc w:val="left"/>
              <w:rPr>
                <w:rStyle w:val="Hyperlink"/>
                <w:color w:val="0000FF"/>
                <w:lang w:eastAsia="sv-SE"/>
              </w:rPr>
            </w:pPr>
            <w:hyperlink r:id="rId39"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F1586A">
            <w:pPr>
              <w:jc w:val="left"/>
              <w:rPr>
                <w:rStyle w:val="Hyperlink"/>
                <w:color w:val="0000FF"/>
                <w:lang w:eastAsia="sv-SE"/>
              </w:rPr>
            </w:pPr>
            <w:hyperlink r:id="rId40"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proofErr w:type="spellStart"/>
            <w:r>
              <w:t>Transsion</w:t>
            </w:r>
            <w:proofErr w:type="spellEnd"/>
            <w:r>
              <w:t xml:space="preserve">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F1586A">
            <w:pPr>
              <w:jc w:val="left"/>
              <w:rPr>
                <w:rStyle w:val="Hyperlink"/>
                <w:color w:val="0000FF"/>
                <w:lang w:eastAsia="sv-SE"/>
              </w:rPr>
            </w:pPr>
            <w:hyperlink r:id="rId41"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F1586A">
            <w:pPr>
              <w:jc w:val="left"/>
              <w:rPr>
                <w:rStyle w:val="Hyperlink"/>
                <w:color w:val="0000FF"/>
                <w:lang w:eastAsia="sv-SE"/>
              </w:rPr>
            </w:pPr>
            <w:hyperlink r:id="rId42"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F1586A">
            <w:pPr>
              <w:jc w:val="left"/>
              <w:rPr>
                <w:rStyle w:val="Hyperlink"/>
                <w:color w:val="0000FF"/>
                <w:lang w:eastAsia="sv-SE"/>
              </w:rPr>
            </w:pPr>
            <w:hyperlink r:id="rId43"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F1586A">
            <w:pPr>
              <w:jc w:val="left"/>
              <w:rPr>
                <w:rStyle w:val="Hyperlink"/>
                <w:color w:val="0000FF"/>
                <w:lang w:eastAsia="sv-SE"/>
              </w:rPr>
            </w:pPr>
            <w:hyperlink r:id="rId44"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F1586A">
            <w:pPr>
              <w:jc w:val="left"/>
              <w:rPr>
                <w:color w:val="000000"/>
                <w:lang w:val="en-US"/>
              </w:rPr>
            </w:pPr>
            <w:hyperlink r:id="rId45"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proofErr w:type="spellStart"/>
            <w:r>
              <w:t>InterDigital</w:t>
            </w:r>
            <w:proofErr w:type="spellEnd"/>
            <w:r>
              <w:t>,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F1586A">
            <w:pPr>
              <w:jc w:val="left"/>
              <w:rPr>
                <w:color w:val="000000"/>
                <w:lang w:val="en-US"/>
              </w:rPr>
            </w:pPr>
            <w:hyperlink r:id="rId46"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F1586A">
            <w:pPr>
              <w:jc w:val="left"/>
              <w:rPr>
                <w:color w:val="000000"/>
                <w:lang w:val="en-US"/>
              </w:rPr>
            </w:pPr>
            <w:hyperlink r:id="rId47"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F1586A">
            <w:pPr>
              <w:jc w:val="left"/>
              <w:rPr>
                <w:color w:val="000000"/>
                <w:lang w:val="en-US"/>
              </w:rPr>
            </w:pPr>
            <w:hyperlink r:id="rId48"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proofErr w:type="spellStart"/>
            <w:r>
              <w:t>Spreadtrum</w:t>
            </w:r>
            <w:proofErr w:type="spellEnd"/>
            <w:r>
              <w:t xml:space="preserve">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F1586A">
            <w:pPr>
              <w:jc w:val="left"/>
              <w:rPr>
                <w:color w:val="000000"/>
                <w:lang w:val="en-US"/>
              </w:rPr>
            </w:pPr>
            <w:hyperlink r:id="rId49"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 xml:space="preserve">ZTE, </w:t>
            </w:r>
            <w:proofErr w:type="spellStart"/>
            <w:r>
              <w:t>Sanechips</w:t>
            </w:r>
            <w:proofErr w:type="spellEnd"/>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F1586A">
            <w:pPr>
              <w:jc w:val="left"/>
              <w:rPr>
                <w:color w:val="000000"/>
                <w:lang w:val="en-US"/>
              </w:rPr>
            </w:pPr>
            <w:hyperlink r:id="rId50"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F1586A">
            <w:pPr>
              <w:jc w:val="left"/>
              <w:rPr>
                <w:color w:val="000000"/>
                <w:lang w:val="en-US"/>
              </w:rPr>
            </w:pPr>
            <w:hyperlink r:id="rId51"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F1586A">
            <w:pPr>
              <w:jc w:val="left"/>
              <w:rPr>
                <w:color w:val="000000"/>
                <w:lang w:val="en-US"/>
              </w:rPr>
            </w:pPr>
            <w:hyperlink r:id="rId52"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F1586A">
            <w:pPr>
              <w:jc w:val="left"/>
              <w:rPr>
                <w:color w:val="000000"/>
                <w:lang w:val="en-US"/>
              </w:rPr>
            </w:pPr>
            <w:hyperlink r:id="rId53"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proofErr w:type="spellStart"/>
            <w:r>
              <w:t>Transsion</w:t>
            </w:r>
            <w:proofErr w:type="spellEnd"/>
            <w:r>
              <w:t xml:space="preserve">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F1586A">
            <w:pPr>
              <w:jc w:val="left"/>
              <w:rPr>
                <w:color w:val="000000"/>
                <w:lang w:val="en-US"/>
              </w:rPr>
            </w:pPr>
            <w:hyperlink r:id="rId54"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F1586A">
            <w:pPr>
              <w:jc w:val="left"/>
            </w:pPr>
            <w:hyperlink r:id="rId55"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F1586A">
            <w:pPr>
              <w:jc w:val="left"/>
            </w:pPr>
            <w:hyperlink r:id="rId56"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F1586A">
            <w:pPr>
              <w:jc w:val="left"/>
            </w:pPr>
            <w:hyperlink r:id="rId57"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 xml:space="preserve">ZTE, </w:t>
            </w:r>
            <w:proofErr w:type="spellStart"/>
            <w:r>
              <w:rPr>
                <w:rFonts w:eastAsia="Times New Roman"/>
              </w:rPr>
              <w:t>Sanechips</w:t>
            </w:r>
            <w:proofErr w:type="spellEnd"/>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F1586A">
            <w:pPr>
              <w:jc w:val="left"/>
            </w:pPr>
            <w:hyperlink r:id="rId58"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lastRenderedPageBreak/>
              <w:t>[47]</w:t>
            </w:r>
          </w:p>
        </w:tc>
        <w:tc>
          <w:tcPr>
            <w:tcW w:w="1456" w:type="dxa"/>
            <w:tcMar>
              <w:top w:w="0" w:type="dxa"/>
              <w:left w:w="70" w:type="dxa"/>
              <w:bottom w:w="0" w:type="dxa"/>
              <w:right w:w="70" w:type="dxa"/>
            </w:tcMar>
          </w:tcPr>
          <w:p w14:paraId="0188F524" w14:textId="77777777" w:rsidR="00AC4E6C" w:rsidRDefault="00F1586A">
            <w:pPr>
              <w:jc w:val="left"/>
            </w:pPr>
            <w:hyperlink r:id="rId59"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F1586A">
            <w:pPr>
              <w:jc w:val="left"/>
            </w:pPr>
            <w:hyperlink r:id="rId60"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F1586A">
            <w:pPr>
              <w:jc w:val="left"/>
            </w:pPr>
            <w:hyperlink r:id="rId61"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F1586A">
            <w:pPr>
              <w:jc w:val="left"/>
            </w:pPr>
            <w:hyperlink r:id="rId62"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87F6" w14:textId="77777777" w:rsidR="00F1586A" w:rsidRDefault="00F1586A">
      <w:pPr>
        <w:spacing w:line="240" w:lineRule="auto"/>
      </w:pPr>
      <w:r>
        <w:separator/>
      </w:r>
    </w:p>
  </w:endnote>
  <w:endnote w:type="continuationSeparator" w:id="0">
    <w:p w14:paraId="05950E5F" w14:textId="77777777" w:rsidR="00F1586A" w:rsidRDefault="00F15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µÈÏß"/>
    <w:panose1 w:val="02010600030101010101"/>
    <w:charset w:val="86"/>
    <w:family w:val="script"/>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30C0" w14:textId="77777777" w:rsidR="00F1586A" w:rsidRDefault="00F1586A">
      <w:pPr>
        <w:spacing w:after="0"/>
      </w:pPr>
      <w:r>
        <w:separator/>
      </w:r>
    </w:p>
  </w:footnote>
  <w:footnote w:type="continuationSeparator" w:id="0">
    <w:p w14:paraId="5A3A8A41" w14:textId="77777777" w:rsidR="00F1586A" w:rsidRDefault="00F158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057F61C-30ED-46C5-89AC-2431FA6AB1C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61</Pages>
  <Words>21780</Words>
  <Characters>124148</Characters>
  <Application>Microsoft Office Word</Application>
  <DocSecurity>0</DocSecurity>
  <Lines>1034</Lines>
  <Paragraphs>291</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145637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9</cp:revision>
  <dcterms:created xsi:type="dcterms:W3CDTF">2022-05-17T09:09:00Z</dcterms:created>
  <dcterms:modified xsi:type="dcterms:W3CDTF">2022-05-17T10:19:00Z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