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w:t>
      </w:r>
      <w:proofErr w:type="spellStart"/>
      <w:r>
        <w:rPr>
          <w:highlight w:val="cyan"/>
          <w:lang w:eastAsia="x-none"/>
        </w:rPr>
        <w:t>Debdeep</w:t>
      </w:r>
      <w:proofErr w:type="spellEnd"/>
      <w:r>
        <w:rPr>
          <w:highlight w:val="cyan"/>
          <w:lang w:eastAsia="x-none"/>
        </w:rPr>
        <w:t xml:space="preserve">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r>
              <w:rPr>
                <w:rFonts w:eastAsiaTheme="minorEastAsia"/>
              </w:rPr>
              <w:t>Huaming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r w:rsidR="00376EEF" w14:paraId="7760DE80" w14:textId="77777777" w:rsidTr="00376EEF">
        <w:tc>
          <w:tcPr>
            <w:tcW w:w="2263" w:type="dxa"/>
          </w:tcPr>
          <w:p w14:paraId="229516C7" w14:textId="2AAF3B75" w:rsidR="00376EEF" w:rsidRDefault="00376EEF" w:rsidP="002C62D2">
            <w:pPr>
              <w:spacing w:after="0"/>
              <w:jc w:val="left"/>
              <w:rPr>
                <w:rFonts w:eastAsiaTheme="minorEastAsia"/>
              </w:rPr>
            </w:pPr>
            <w:r>
              <w:rPr>
                <w:rFonts w:eastAsiaTheme="minorEastAsia"/>
              </w:rPr>
              <w:t>CATT</w:t>
            </w:r>
          </w:p>
        </w:tc>
        <w:tc>
          <w:tcPr>
            <w:tcW w:w="2977" w:type="dxa"/>
          </w:tcPr>
          <w:p w14:paraId="4C97A2A4" w14:textId="1B606B53" w:rsidR="00376EEF" w:rsidRDefault="00376EEF" w:rsidP="002C62D2">
            <w:pPr>
              <w:spacing w:after="0"/>
              <w:jc w:val="left"/>
              <w:rPr>
                <w:rFonts w:eastAsiaTheme="minorEastAsia"/>
              </w:rPr>
            </w:pPr>
            <w:r>
              <w:rPr>
                <w:rFonts w:eastAsiaTheme="minorEastAsia"/>
              </w:rPr>
              <w:t>Ren Da</w:t>
            </w:r>
          </w:p>
        </w:tc>
        <w:tc>
          <w:tcPr>
            <w:tcW w:w="4394" w:type="dxa"/>
          </w:tcPr>
          <w:p w14:paraId="704738F4" w14:textId="20A0E7C1" w:rsidR="00376EEF" w:rsidRDefault="00376EEF" w:rsidP="002C62D2">
            <w:pPr>
              <w:spacing w:after="0"/>
              <w:jc w:val="left"/>
              <w:rPr>
                <w:rFonts w:eastAsiaTheme="minorEastAsia"/>
              </w:rPr>
            </w:pPr>
            <w:r>
              <w:rPr>
                <w:rFonts w:eastAsiaTheme="minorEastAsia"/>
              </w:rPr>
              <w:t>renda@catt.cn</w:t>
            </w:r>
          </w:p>
        </w:tc>
      </w:tr>
      <w:tr w:rsidR="00F22490" w14:paraId="1EC4D90C" w14:textId="77777777" w:rsidTr="00376EEF">
        <w:tc>
          <w:tcPr>
            <w:tcW w:w="2263" w:type="dxa"/>
          </w:tcPr>
          <w:p w14:paraId="4A6E1AEB" w14:textId="1EE5933A" w:rsidR="00F22490" w:rsidRPr="00F22490" w:rsidRDefault="00F22490" w:rsidP="002C62D2">
            <w:pPr>
              <w:spacing w:after="0"/>
              <w:jc w:val="left"/>
              <w:rPr>
                <w:rFonts w:eastAsia="Malgun Gothic"/>
                <w:lang w:eastAsia="ko-KR"/>
              </w:rPr>
            </w:pPr>
            <w:r>
              <w:rPr>
                <w:rFonts w:eastAsia="Malgun Gothic" w:hint="eastAsia"/>
                <w:lang w:eastAsia="ko-KR"/>
              </w:rPr>
              <w:t>Samsung</w:t>
            </w:r>
          </w:p>
        </w:tc>
        <w:tc>
          <w:tcPr>
            <w:tcW w:w="2977" w:type="dxa"/>
          </w:tcPr>
          <w:p w14:paraId="7D0B74F8" w14:textId="7C6A49E8" w:rsidR="00F22490" w:rsidRPr="00F22490" w:rsidRDefault="00F22490" w:rsidP="002C62D2">
            <w:pPr>
              <w:spacing w:after="0"/>
              <w:jc w:val="left"/>
              <w:rPr>
                <w:rFonts w:eastAsia="Malgun Gothic"/>
                <w:lang w:eastAsia="ko-KR"/>
              </w:rPr>
            </w:pPr>
            <w:proofErr w:type="spellStart"/>
            <w:r>
              <w:rPr>
                <w:rFonts w:eastAsia="Malgun Gothic" w:hint="eastAsia"/>
                <w:lang w:eastAsia="ko-KR"/>
              </w:rPr>
              <w:t>Cheolkyu</w:t>
            </w:r>
            <w:proofErr w:type="spellEnd"/>
          </w:p>
        </w:tc>
        <w:tc>
          <w:tcPr>
            <w:tcW w:w="4394" w:type="dxa"/>
          </w:tcPr>
          <w:p w14:paraId="3B9358DD" w14:textId="351FA2D1" w:rsidR="00F22490" w:rsidRPr="00F22490" w:rsidRDefault="00F22490" w:rsidP="002C62D2">
            <w:pPr>
              <w:spacing w:after="0"/>
              <w:jc w:val="left"/>
              <w:rPr>
                <w:rFonts w:eastAsia="Malgun Gothic"/>
                <w:lang w:eastAsia="ko-KR"/>
              </w:rPr>
            </w:pPr>
            <w:r>
              <w:rPr>
                <w:rFonts w:eastAsia="Malgun Gothic"/>
                <w:lang w:eastAsia="ko-KR"/>
              </w:rPr>
              <w:t>ck13.shin@samsung.com</w:t>
            </w:r>
          </w:p>
        </w:tc>
      </w:tr>
      <w:tr w:rsidR="00C361A2" w14:paraId="28077AEC" w14:textId="77777777" w:rsidTr="00376EEF">
        <w:tc>
          <w:tcPr>
            <w:tcW w:w="2263" w:type="dxa"/>
          </w:tcPr>
          <w:p w14:paraId="3DE68423" w14:textId="44E0BFF7" w:rsidR="00C361A2" w:rsidRPr="00C361A2" w:rsidRDefault="00C361A2" w:rsidP="002C62D2">
            <w:pPr>
              <w:spacing w:after="0"/>
              <w:jc w:val="left"/>
              <w:rPr>
                <w:rFonts w:eastAsiaTheme="minorEastAsia"/>
              </w:rPr>
            </w:pPr>
            <w:proofErr w:type="spellStart"/>
            <w:r>
              <w:rPr>
                <w:rFonts w:eastAsiaTheme="minorEastAsia"/>
              </w:rPr>
              <w:t>x</w:t>
            </w:r>
            <w:r>
              <w:rPr>
                <w:rFonts w:eastAsiaTheme="minorEastAsia" w:hint="eastAsia"/>
              </w:rPr>
              <w:t>iaomi</w:t>
            </w:r>
            <w:proofErr w:type="spellEnd"/>
          </w:p>
        </w:tc>
        <w:tc>
          <w:tcPr>
            <w:tcW w:w="2977" w:type="dxa"/>
          </w:tcPr>
          <w:p w14:paraId="4F67FE77" w14:textId="52EC3014" w:rsidR="00C361A2" w:rsidRPr="00C361A2" w:rsidRDefault="00C361A2" w:rsidP="002C62D2">
            <w:pPr>
              <w:spacing w:after="0"/>
              <w:jc w:val="left"/>
              <w:rPr>
                <w:rFonts w:eastAsiaTheme="minorEastAsia"/>
              </w:rPr>
            </w:pPr>
            <w:r>
              <w:rPr>
                <w:rFonts w:eastAsiaTheme="minorEastAsia" w:hint="eastAsia"/>
              </w:rPr>
              <w:t xml:space="preserve">Zhao </w:t>
            </w:r>
            <w:proofErr w:type="spellStart"/>
            <w:r>
              <w:rPr>
                <w:rFonts w:eastAsiaTheme="minorEastAsia" w:hint="eastAsia"/>
              </w:rPr>
              <w:t>Qun</w:t>
            </w:r>
            <w:proofErr w:type="spellEnd"/>
          </w:p>
        </w:tc>
        <w:tc>
          <w:tcPr>
            <w:tcW w:w="4394" w:type="dxa"/>
          </w:tcPr>
          <w:p w14:paraId="639A0D92" w14:textId="25F7715E" w:rsidR="00C361A2" w:rsidRPr="00C361A2" w:rsidRDefault="00C361A2" w:rsidP="002C62D2">
            <w:pPr>
              <w:spacing w:after="0"/>
              <w:jc w:val="left"/>
              <w:rPr>
                <w:rFonts w:eastAsiaTheme="minorEastAsia"/>
              </w:rPr>
            </w:pPr>
            <w:r>
              <w:rPr>
                <w:rFonts w:eastAsiaTheme="minorEastAsia"/>
              </w:rPr>
              <w:t>z</w:t>
            </w:r>
            <w:r>
              <w:rPr>
                <w:rFonts w:eastAsiaTheme="minorEastAsia" w:hint="eastAsia"/>
              </w:rPr>
              <w:t>haoqun1</w:t>
            </w:r>
            <w:r>
              <w:rPr>
                <w:rFonts w:eastAsiaTheme="minorEastAsia"/>
              </w:rPr>
              <w:t>@xiaomi.com</w:t>
            </w:r>
          </w:p>
        </w:tc>
      </w:tr>
      <w:tr w:rsidR="00A86631" w14:paraId="731FD8DD" w14:textId="77777777" w:rsidTr="00376EEF">
        <w:tc>
          <w:tcPr>
            <w:tcW w:w="2263" w:type="dxa"/>
          </w:tcPr>
          <w:p w14:paraId="3ECAEED0" w14:textId="2F9CE4EC" w:rsidR="00A86631" w:rsidRDefault="00A86631" w:rsidP="002C62D2">
            <w:pPr>
              <w:spacing w:after="0"/>
              <w:jc w:val="left"/>
              <w:rPr>
                <w:rFonts w:eastAsiaTheme="minorEastAsia"/>
              </w:rPr>
            </w:pPr>
            <w:proofErr w:type="spellStart"/>
            <w:r w:rsidRPr="00A86631">
              <w:rPr>
                <w:rFonts w:eastAsiaTheme="minorEastAsia"/>
              </w:rPr>
              <w:t>InterDigital</w:t>
            </w:r>
            <w:proofErr w:type="spellEnd"/>
          </w:p>
        </w:tc>
        <w:tc>
          <w:tcPr>
            <w:tcW w:w="2977" w:type="dxa"/>
          </w:tcPr>
          <w:p w14:paraId="0A38726A" w14:textId="0C141CB8" w:rsidR="00A86631" w:rsidRDefault="00A86631" w:rsidP="002C62D2">
            <w:pPr>
              <w:spacing w:after="0"/>
              <w:jc w:val="left"/>
              <w:rPr>
                <w:rFonts w:eastAsiaTheme="minorEastAsia"/>
              </w:rPr>
            </w:pPr>
            <w:r>
              <w:rPr>
                <w:rFonts w:eastAsiaTheme="minorEastAsia"/>
              </w:rPr>
              <w:t>Fumihiro Hasegawa</w:t>
            </w:r>
          </w:p>
        </w:tc>
        <w:tc>
          <w:tcPr>
            <w:tcW w:w="4394" w:type="dxa"/>
          </w:tcPr>
          <w:p w14:paraId="3289FF9C" w14:textId="76C46289" w:rsidR="00A86631" w:rsidRDefault="00A86631" w:rsidP="002C62D2">
            <w:pPr>
              <w:spacing w:after="0"/>
              <w:jc w:val="left"/>
              <w:rPr>
                <w:rFonts w:eastAsiaTheme="minorEastAsia"/>
              </w:rPr>
            </w:pPr>
            <w:r>
              <w:rPr>
                <w:rFonts w:eastAsiaTheme="minorEastAsia"/>
              </w:rPr>
              <w:t>Fumihiro.hasegawa@</w:t>
            </w:r>
            <w:r w:rsidRPr="00A86631">
              <w:rPr>
                <w:rFonts w:eastAsiaTheme="minorEastAsia"/>
              </w:rPr>
              <w:t>InterDigital</w:t>
            </w:r>
            <w:r>
              <w:rPr>
                <w:rFonts w:eastAsiaTheme="minorEastAsia"/>
              </w:rPr>
              <w:t>.com</w:t>
            </w:r>
          </w:p>
        </w:tc>
      </w:tr>
      <w:tr w:rsidR="00E843C6" w14:paraId="2C2CA874" w14:textId="77777777" w:rsidTr="00376EEF">
        <w:tc>
          <w:tcPr>
            <w:tcW w:w="2263" w:type="dxa"/>
          </w:tcPr>
          <w:p w14:paraId="23453D6B" w14:textId="2FA8D6BB" w:rsidR="00E843C6" w:rsidRPr="00A86631" w:rsidRDefault="00E843C6" w:rsidP="002C62D2">
            <w:pPr>
              <w:spacing w:after="0"/>
              <w:jc w:val="left"/>
              <w:rPr>
                <w:rFonts w:eastAsiaTheme="minorEastAsia"/>
              </w:rPr>
            </w:pPr>
            <w:r>
              <w:rPr>
                <w:rFonts w:eastAsiaTheme="minorEastAsia"/>
              </w:rPr>
              <w:t>Nokia/NSB</w:t>
            </w:r>
          </w:p>
        </w:tc>
        <w:tc>
          <w:tcPr>
            <w:tcW w:w="2977" w:type="dxa"/>
          </w:tcPr>
          <w:p w14:paraId="3251FE39" w14:textId="70D7A4DE" w:rsidR="00E843C6" w:rsidRDefault="00E843C6" w:rsidP="002C62D2">
            <w:pPr>
              <w:spacing w:after="0"/>
              <w:jc w:val="left"/>
              <w:rPr>
                <w:rFonts w:eastAsiaTheme="minorEastAsia"/>
              </w:rPr>
            </w:pPr>
            <w:r>
              <w:rPr>
                <w:rFonts w:eastAsiaTheme="minorEastAsia"/>
              </w:rPr>
              <w:t>Ryan Keating</w:t>
            </w:r>
          </w:p>
        </w:tc>
        <w:tc>
          <w:tcPr>
            <w:tcW w:w="4394" w:type="dxa"/>
          </w:tcPr>
          <w:p w14:paraId="0E92AE12" w14:textId="569D1069" w:rsidR="00E843C6" w:rsidRDefault="00E843C6" w:rsidP="002C62D2">
            <w:pPr>
              <w:spacing w:after="0"/>
              <w:jc w:val="left"/>
              <w:rPr>
                <w:rFonts w:eastAsiaTheme="minorEastAsia"/>
              </w:rPr>
            </w:pPr>
            <w:r>
              <w:rPr>
                <w:rFonts w:eastAsiaTheme="minorEastAsia"/>
              </w:rPr>
              <w:t>Ryan.keating@nokia.com</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1. Current section 5.1 captured some text of requirements for sidelink</w:t>
            </w:r>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xml:space="preserve">” of sidelink positioning, we suggest </w:t>
            </w:r>
            <w:proofErr w:type="gramStart"/>
            <w:r>
              <w:rPr>
                <w:bCs/>
              </w:rPr>
              <w:t>to put</w:t>
            </w:r>
            <w:proofErr w:type="gramEnd"/>
            <w:r>
              <w:rPr>
                <w:bCs/>
              </w:rPr>
              <w:t xml:space="preserve"> them into bracket or to add note clarifying that this part can be updated with RAN1 agreements on sidelink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sidelink,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 xml:space="preserve">egarding Section 6.4, we suggest </w:t>
            </w:r>
            <w:proofErr w:type="gramStart"/>
            <w:r w:rsidRPr="00F1119E">
              <w:t>to add</w:t>
            </w:r>
            <w:proofErr w:type="gramEnd"/>
            <w:r w:rsidRPr="00F1119E">
              <w:t xml:space="preserve">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Evaluation methodology of sidelink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 xml:space="preserve">We suggest </w:t>
            </w:r>
            <w:proofErr w:type="gramStart"/>
            <w:r w:rsidR="00371A4D" w:rsidRPr="002A5494">
              <w:t>to divide</w:t>
            </w:r>
            <w:proofErr w:type="gramEnd"/>
            <w:r w:rsidR="00371A4D" w:rsidRPr="002A5494">
              <w:t xml:space="preserv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proofErr w:type="gramStart"/>
            <w:r w:rsidR="005313CC" w:rsidRPr="002A5494">
              <w:t>at the moment</w:t>
            </w:r>
            <w:proofErr w:type="gramEnd"/>
            <w:r w:rsidR="005313CC" w:rsidRPr="002A5494">
              <w:t xml:space="preserve"> since </w:t>
            </w:r>
            <w:r w:rsidR="007C6FCD" w:rsidRPr="002A5494">
              <w:t xml:space="preserve">the necessity of enhancements </w:t>
            </w:r>
            <w:r w:rsidR="008C012F" w:rsidRPr="002A5494">
              <w:t xml:space="preserve">needs to be </w:t>
            </w:r>
            <w:r w:rsidR="007C6FCD" w:rsidRPr="002A5494">
              <w:t xml:space="preserve">assessed before we decide to do many </w:t>
            </w:r>
            <w:r w:rsidR="007C6FCD" w:rsidRPr="002A5494">
              <w:lastRenderedPageBreak/>
              <w:t>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lastRenderedPageBreak/>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w:t>
            </w:r>
            <w:proofErr w:type="spellStart"/>
            <w:r w:rsidR="001B6596" w:rsidRPr="005F5FA1">
              <w:t>assumation</w:t>
            </w:r>
            <w:proofErr w:type="spellEnd"/>
            <w:r w:rsidR="001B6596" w:rsidRPr="005F5FA1">
              <w:t xml:space="preserve"> and use A.1 for sidelink positioning, A.2 for </w:t>
            </w:r>
            <w:r w:rsidR="001157E0" w:rsidRPr="005F5FA1">
              <w:t>PRS/SRS aggregation, A.3 for carrier phase, A.4 for LPHA</w:t>
            </w:r>
            <w:r w:rsidR="001A619C" w:rsidRPr="005F5FA1">
              <w:t xml:space="preserve">P, A.5 for </w:t>
            </w:r>
            <w:proofErr w:type="spellStart"/>
            <w:r w:rsidR="001A619C" w:rsidRPr="005F5FA1">
              <w:t>RedCap</w:t>
            </w:r>
            <w:proofErr w:type="spellEnd"/>
            <w:r w:rsidR="001A619C" w:rsidRPr="005F5FA1">
              <w:t xml:space="preserve">.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Solutions for Sidelink Positioning</w:t>
            </w:r>
          </w:p>
          <w:p w14:paraId="694F35A6" w14:textId="77777777" w:rsidR="00EE4FA0" w:rsidRDefault="00EE4FA0" w:rsidP="00EE4FA0">
            <w:pPr>
              <w:pStyle w:val="Heading2"/>
              <w:outlineLvl w:val="1"/>
            </w:pPr>
            <w:bookmarkStart w:id="2" w:name="_Toc101407679"/>
          </w:p>
          <w:p w14:paraId="1ECA1EF6" w14:textId="77777777" w:rsidR="00EE4FA0" w:rsidRPr="002C3B43" w:rsidRDefault="00EE4FA0" w:rsidP="00EE4FA0">
            <w:pPr>
              <w:pStyle w:val="Heading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Heading2"/>
              <w:outlineLvl w:val="1"/>
            </w:pPr>
            <w:r>
              <w:t>5</w:t>
            </w:r>
            <w:r w:rsidRPr="004D3578">
              <w:t>.</w:t>
            </w:r>
            <w:r>
              <w:t>4</w:t>
            </w:r>
            <w:r w:rsidRPr="004D3578">
              <w:tab/>
            </w:r>
            <w:r>
              <w:t>Summary of Sidelink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proofErr w:type="gramStart"/>
            <w:r>
              <w:t>Current Sec</w:t>
            </w:r>
            <w:r w:rsidR="003809BF">
              <w:t>.</w:t>
            </w:r>
            <w:r>
              <w:t xml:space="preserve"> 6 title,</w:t>
            </w:r>
            <w:proofErr w:type="gramEnd"/>
            <w:r>
              <w:t xml:space="preserv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w:t>
            </w:r>
            <w:proofErr w:type="spellStart"/>
            <w:r w:rsidRPr="0034181C">
              <w:rPr>
                <w:color w:val="C00000"/>
              </w:rPr>
              <w:t>Uu</w:t>
            </w:r>
            <w:proofErr w:type="spellEnd"/>
            <w:r w:rsidRPr="0034181C">
              <w:rPr>
                <w:color w:val="C00000"/>
              </w:rPr>
              <w:t>)</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r w:rsidR="00376EEF" w:rsidRPr="005F5FA1" w14:paraId="506C99D2" w14:textId="77777777" w:rsidTr="00376EEF">
        <w:trPr>
          <w:trHeight w:val="402"/>
        </w:trPr>
        <w:tc>
          <w:tcPr>
            <w:tcW w:w="1671" w:type="dxa"/>
          </w:tcPr>
          <w:p w14:paraId="13704591" w14:textId="77777777" w:rsidR="00376EEF" w:rsidRPr="005F5FA1" w:rsidRDefault="00376EEF" w:rsidP="002C62D2">
            <w:r>
              <w:t>CATT</w:t>
            </w:r>
          </w:p>
        </w:tc>
        <w:tc>
          <w:tcPr>
            <w:tcW w:w="8023" w:type="dxa"/>
          </w:tcPr>
          <w:p w14:paraId="55299421" w14:textId="77777777" w:rsidR="00376EEF" w:rsidRDefault="00376EEF" w:rsidP="002C62D2">
            <w:pPr>
              <w:rPr>
                <w:b/>
                <w:bCs/>
              </w:rPr>
            </w:pPr>
            <w:r>
              <w:rPr>
                <w:b/>
                <w:bCs/>
              </w:rPr>
              <w:t>Comment 1:</w:t>
            </w:r>
          </w:p>
          <w:p w14:paraId="3724A8A1" w14:textId="77777777" w:rsidR="00376EEF" w:rsidRDefault="00376EEF" w:rsidP="002C62D2">
            <w:pPr>
              <w:rPr>
                <w:bCs/>
              </w:rPr>
            </w:pPr>
            <w:r w:rsidRPr="00DC7798">
              <w:rPr>
                <w:bCs/>
              </w:rPr>
              <w:t xml:space="preserve">For </w:t>
            </w:r>
            <w:r>
              <w:rPr>
                <w:bCs/>
              </w:rPr>
              <w:t xml:space="preserve">the heading of </w:t>
            </w:r>
            <w:r w:rsidRPr="00DC7798">
              <w:rPr>
                <w:bCs/>
              </w:rPr>
              <w:t xml:space="preserve">Section </w:t>
            </w:r>
            <w:r>
              <w:rPr>
                <w:bCs/>
              </w:rPr>
              <w:t>6.3.1, we assume it will contain various p</w:t>
            </w:r>
            <w:r w:rsidRPr="00DC7798">
              <w:rPr>
                <w:bCs/>
              </w:rPr>
              <w:t xml:space="preserve">otential </w:t>
            </w:r>
            <w:r>
              <w:rPr>
                <w:bCs/>
              </w:rPr>
              <w:t>s</w:t>
            </w:r>
            <w:r w:rsidRPr="00DC7798">
              <w:rPr>
                <w:bCs/>
              </w:rPr>
              <w:t>olutions</w:t>
            </w:r>
            <w:r>
              <w:rPr>
                <w:bCs/>
              </w:rPr>
              <w:t xml:space="preserve"> for the NR carrier phase positioning. The c</w:t>
            </w:r>
            <w:r>
              <w:t xml:space="preserve">arrier phase measurements will be used for supporting </w:t>
            </w:r>
            <w:r>
              <w:rPr>
                <w:bCs/>
              </w:rPr>
              <w:t xml:space="preserve">NR carrier phase positioning, and </w:t>
            </w:r>
            <w:proofErr w:type="spellStart"/>
            <w:r>
              <w:rPr>
                <w:bCs/>
              </w:rPr>
              <w:t>potentia</w:t>
            </w:r>
            <w:proofErr w:type="spellEnd"/>
            <w:r>
              <w:t xml:space="preserve"> </w:t>
            </w:r>
            <w:r>
              <w:rPr>
                <w:bCs/>
              </w:rPr>
              <w:t>s</w:t>
            </w:r>
            <w:r w:rsidRPr="00DC7798">
              <w:rPr>
                <w:bCs/>
              </w:rPr>
              <w:t>olutions</w:t>
            </w:r>
            <w:r>
              <w:rPr>
                <w:bCs/>
              </w:rPr>
              <w:t xml:space="preserve"> may be based on various techniques. Thus, we suggest the following modification:</w:t>
            </w:r>
          </w:p>
          <w:p w14:paraId="1465FEE2" w14:textId="77777777" w:rsidR="00376EEF" w:rsidRPr="00A703C1" w:rsidRDefault="00376EEF" w:rsidP="002C62D2"/>
          <w:p w14:paraId="27EFE823" w14:textId="77777777" w:rsidR="00376EEF" w:rsidRDefault="00376EEF" w:rsidP="002C62D2">
            <w:pPr>
              <w:rPr>
                <w:strike/>
                <w:color w:val="FF0000"/>
              </w:rPr>
            </w:pPr>
            <w:bookmarkStart w:id="3" w:name="_Toc101407688"/>
            <w:r>
              <w:t>6</w:t>
            </w:r>
            <w:r w:rsidRPr="004D3578">
              <w:t>.</w:t>
            </w:r>
            <w:r>
              <w:t>3.1</w:t>
            </w:r>
            <w:r w:rsidRPr="004D3578">
              <w:tab/>
            </w:r>
            <w:r>
              <w:t xml:space="preserve">Potential Solutions </w:t>
            </w:r>
            <w:r w:rsidRPr="005F02C9">
              <w:rPr>
                <w:color w:val="FF0000"/>
                <w:u w:val="single"/>
              </w:rPr>
              <w:t>for</w:t>
            </w:r>
            <w:r w:rsidRPr="005F02C9">
              <w:rPr>
                <w:color w:val="FF0000"/>
              </w:rPr>
              <w:t xml:space="preserve"> </w:t>
            </w:r>
            <w:r w:rsidRPr="00A703C1">
              <w:rPr>
                <w:strike/>
                <w:color w:val="FF0000"/>
              </w:rPr>
              <w:t>Based on</w:t>
            </w:r>
            <w:r w:rsidRPr="00A703C1">
              <w:rPr>
                <w:color w:val="FF0000"/>
              </w:rPr>
              <w:t xml:space="preserve"> </w:t>
            </w:r>
            <w:r w:rsidRPr="00A703C1">
              <w:rPr>
                <w:color w:val="FF0000"/>
                <w:u w:val="single"/>
              </w:rPr>
              <w:t xml:space="preserve">NR </w:t>
            </w:r>
            <w:r>
              <w:t xml:space="preserve">Carrier Phase </w:t>
            </w:r>
            <w:r w:rsidRPr="00A703C1">
              <w:rPr>
                <w:color w:val="FF0000"/>
                <w:u w:val="single"/>
              </w:rPr>
              <w:t>Positioning</w:t>
            </w:r>
            <w:r w:rsidRPr="00A703C1">
              <w:rPr>
                <w:color w:val="FF0000"/>
              </w:rPr>
              <w:t xml:space="preserve"> </w:t>
            </w:r>
            <w:r w:rsidRPr="00A703C1">
              <w:rPr>
                <w:strike/>
                <w:color w:val="FF0000"/>
              </w:rPr>
              <w:t>Measurements</w:t>
            </w:r>
            <w:bookmarkEnd w:id="3"/>
          </w:p>
          <w:p w14:paraId="39A95DDB" w14:textId="77777777" w:rsidR="00376EEF" w:rsidRDefault="00376EEF" w:rsidP="002C62D2"/>
          <w:p w14:paraId="31827DEA" w14:textId="77777777" w:rsidR="00376EEF" w:rsidRDefault="00376EEF" w:rsidP="002C62D2">
            <w:pPr>
              <w:rPr>
                <w:b/>
                <w:bCs/>
              </w:rPr>
            </w:pPr>
            <w:r>
              <w:rPr>
                <w:b/>
                <w:bCs/>
              </w:rPr>
              <w:t>Comment 2:</w:t>
            </w:r>
          </w:p>
          <w:p w14:paraId="76254E4D" w14:textId="77777777" w:rsidR="00376EEF" w:rsidRPr="00A703C1" w:rsidRDefault="00376EEF" w:rsidP="002C62D2">
            <w:pPr>
              <w:rPr>
                <w:bCs/>
              </w:rPr>
            </w:pPr>
            <w:r w:rsidRPr="00DC7798">
              <w:rPr>
                <w:bCs/>
              </w:rPr>
              <w:t xml:space="preserve">For </w:t>
            </w:r>
            <w:r>
              <w:rPr>
                <w:bCs/>
              </w:rPr>
              <w:t xml:space="preserve">the heading of </w:t>
            </w:r>
            <w:r w:rsidRPr="00DC7798">
              <w:rPr>
                <w:bCs/>
              </w:rPr>
              <w:t xml:space="preserve">Section </w:t>
            </w:r>
            <w:r>
              <w:rPr>
                <w:bCs/>
              </w:rPr>
              <w:t xml:space="preserve">6.3.2, we suggest the following changes: </w:t>
            </w:r>
          </w:p>
          <w:p w14:paraId="1039C714" w14:textId="77777777" w:rsidR="00376EEF" w:rsidRPr="00A703C1" w:rsidRDefault="00376EEF" w:rsidP="002C62D2">
            <w:pPr>
              <w:pStyle w:val="Heading3"/>
              <w:numPr>
                <w:ilvl w:val="0"/>
                <w:numId w:val="0"/>
              </w:numPr>
              <w:ind w:left="720" w:hanging="720"/>
              <w:outlineLvl w:val="2"/>
              <w:rPr>
                <w:b w:val="0"/>
              </w:rPr>
            </w:pPr>
            <w:bookmarkStart w:id="4" w:name="_Toc101407689"/>
            <w:r w:rsidRPr="00A703C1">
              <w:rPr>
                <w:b w:val="0"/>
              </w:rPr>
              <w:t>6.3.2</w:t>
            </w:r>
            <w:r w:rsidRPr="00A703C1">
              <w:rPr>
                <w:b w:val="0"/>
              </w:rPr>
              <w:tab/>
              <w:t xml:space="preserve">Summary of Evaluations </w:t>
            </w:r>
            <w:r w:rsidRPr="00A703C1">
              <w:rPr>
                <w:b w:val="0"/>
                <w:strike/>
                <w:color w:val="FF0000"/>
              </w:rPr>
              <w:t>Based on</w:t>
            </w:r>
            <w:r w:rsidRPr="00A703C1">
              <w:rPr>
                <w:b w:val="0"/>
                <w:color w:val="FF0000"/>
              </w:rPr>
              <w:t xml:space="preserve"> </w:t>
            </w:r>
            <w:r w:rsidRPr="00A703C1">
              <w:rPr>
                <w:b w:val="0"/>
                <w:color w:val="FF0000"/>
                <w:u w:val="single"/>
              </w:rPr>
              <w:t>for</w:t>
            </w:r>
            <w:r>
              <w:rPr>
                <w:b w:val="0"/>
                <w:color w:val="FF0000"/>
              </w:rPr>
              <w:t xml:space="preserve"> </w:t>
            </w:r>
            <w:r w:rsidRPr="00A703C1">
              <w:rPr>
                <w:b w:val="0"/>
              </w:rPr>
              <w:t xml:space="preserve">Carrier Phase </w:t>
            </w:r>
            <w:r w:rsidRPr="00A703C1">
              <w:rPr>
                <w:b w:val="0"/>
                <w:color w:val="FF0000"/>
                <w:u w:val="single"/>
              </w:rPr>
              <w:t>Positioning</w:t>
            </w:r>
            <w:r w:rsidRPr="00A703C1">
              <w:rPr>
                <w:color w:val="FF0000"/>
              </w:rPr>
              <w:t xml:space="preserve"> </w:t>
            </w:r>
            <w:r w:rsidRPr="00A703C1">
              <w:rPr>
                <w:b w:val="0"/>
                <w:strike/>
                <w:color w:val="FF0000"/>
              </w:rPr>
              <w:t>Measurements</w:t>
            </w:r>
            <w:bookmarkEnd w:id="4"/>
          </w:p>
          <w:p w14:paraId="1396FB59" w14:textId="77777777" w:rsidR="00376EEF" w:rsidRDefault="00376EEF" w:rsidP="002C62D2"/>
          <w:p w14:paraId="223537D6" w14:textId="77777777" w:rsidR="00376EEF" w:rsidRDefault="00376EEF" w:rsidP="002C62D2"/>
          <w:p w14:paraId="6EABD08D" w14:textId="77777777" w:rsidR="00376EEF" w:rsidRPr="005F5FA1" w:rsidRDefault="00376EEF" w:rsidP="002C62D2"/>
        </w:tc>
      </w:tr>
      <w:tr w:rsidR="00F22490" w:rsidRPr="005F5FA1" w14:paraId="02DEE63F" w14:textId="77777777" w:rsidTr="00376EEF">
        <w:trPr>
          <w:trHeight w:val="402"/>
        </w:trPr>
        <w:tc>
          <w:tcPr>
            <w:tcW w:w="1671" w:type="dxa"/>
          </w:tcPr>
          <w:p w14:paraId="5AE14B2E" w14:textId="4DE61D76" w:rsidR="00F22490" w:rsidRPr="00F22490" w:rsidRDefault="00F22490" w:rsidP="002C62D2">
            <w:pPr>
              <w:rPr>
                <w:rFonts w:eastAsia="Malgun Gothic"/>
                <w:lang w:eastAsia="ko-KR"/>
              </w:rPr>
            </w:pPr>
            <w:r>
              <w:rPr>
                <w:rFonts w:eastAsia="Malgun Gothic" w:hint="eastAsia"/>
                <w:lang w:eastAsia="ko-KR"/>
              </w:rPr>
              <w:t>Samsung</w:t>
            </w:r>
          </w:p>
        </w:tc>
        <w:tc>
          <w:tcPr>
            <w:tcW w:w="8023" w:type="dxa"/>
          </w:tcPr>
          <w:p w14:paraId="27C41E81" w14:textId="5BAF0AD6" w:rsidR="00F22490" w:rsidRDefault="00F22490" w:rsidP="00F22490">
            <w:pPr>
              <w:rPr>
                <w:rFonts w:eastAsia="Malgun Gothic"/>
                <w:bCs/>
                <w:lang w:eastAsia="ko-KR"/>
              </w:rPr>
            </w:pPr>
            <w:r w:rsidRPr="00447A24">
              <w:rPr>
                <w:rFonts w:eastAsia="Malgun Gothic" w:hint="eastAsia"/>
                <w:bCs/>
                <w:lang w:eastAsia="ko-KR"/>
              </w:rPr>
              <w:t>We</w:t>
            </w:r>
            <w:r>
              <w:rPr>
                <w:rFonts w:eastAsia="Malgun Gothic"/>
                <w:bCs/>
                <w:lang w:eastAsia="ko-KR"/>
              </w:rPr>
              <w:t xml:space="preserve"> suggest </w:t>
            </w:r>
            <w:proofErr w:type="gramStart"/>
            <w:r>
              <w:rPr>
                <w:rFonts w:eastAsia="Malgun Gothic"/>
                <w:bCs/>
                <w:lang w:eastAsia="ko-KR"/>
              </w:rPr>
              <w:t>to change</w:t>
            </w:r>
            <w:proofErr w:type="gramEnd"/>
            <w:r>
              <w:rPr>
                <w:rFonts w:eastAsia="Malgun Gothic"/>
                <w:bCs/>
                <w:lang w:eastAsia="ko-KR"/>
              </w:rPr>
              <w:t xml:space="preserve"> the title of section 6 (Downlink and Uplink positioning </w:t>
            </w:r>
            <w:r w:rsidRPr="00447A24">
              <w:rPr>
                <w:rFonts w:eastAsia="Malgun Gothic"/>
                <w:bCs/>
                <w:lang w:eastAsia="ko-KR"/>
              </w:rPr>
              <w:sym w:font="Wingdings" w:char="F0E0"/>
            </w:r>
            <w:r>
              <w:rPr>
                <w:rFonts w:eastAsia="Malgun Gothic"/>
                <w:bCs/>
                <w:lang w:eastAsia="ko-KR"/>
              </w:rPr>
              <w:t xml:space="preserve"> </w:t>
            </w:r>
            <w:proofErr w:type="spellStart"/>
            <w:r>
              <w:rPr>
                <w:rFonts w:eastAsia="Malgun Gothic"/>
                <w:bCs/>
                <w:lang w:eastAsia="ko-KR"/>
              </w:rPr>
              <w:t>Positioning</w:t>
            </w:r>
            <w:proofErr w:type="spellEnd"/>
            <w:r>
              <w:rPr>
                <w:rFonts w:eastAsia="Malgun Gothic"/>
                <w:bCs/>
                <w:lang w:eastAsia="ko-KR"/>
              </w:rPr>
              <w:t xml:space="preserve"> enhancement) since some of features in section 6 can be applied for sidelink also. Other suggestion would be O.K for the title if it does not limit into DL and UL.</w:t>
            </w:r>
          </w:p>
          <w:p w14:paraId="100DF78F" w14:textId="7C29AA75" w:rsidR="00F22490" w:rsidRDefault="00F22490" w:rsidP="00F22490">
            <w:pPr>
              <w:rPr>
                <w:b/>
                <w:bCs/>
              </w:rPr>
            </w:pPr>
            <w:r>
              <w:rPr>
                <w:rFonts w:eastAsia="Malgun Gothic"/>
                <w:bCs/>
                <w:lang w:eastAsia="ko-KR"/>
              </w:rPr>
              <w:t xml:space="preserve">We suggest </w:t>
            </w:r>
            <w:proofErr w:type="gramStart"/>
            <w:r>
              <w:rPr>
                <w:rFonts w:eastAsia="Malgun Gothic"/>
                <w:bCs/>
                <w:lang w:eastAsia="ko-KR"/>
              </w:rPr>
              <w:t>to add</w:t>
            </w:r>
            <w:proofErr w:type="gramEnd"/>
            <w:r>
              <w:rPr>
                <w:rFonts w:eastAsia="Malgun Gothic"/>
                <w:bCs/>
                <w:lang w:eastAsia="ko-KR"/>
              </w:rPr>
              <w:t xml:space="preserve"> Annex for ‘Evaluation Methodology for Carrier Phase Measurements’ because we need to define a model for carrier phase measurement considering measurement errors and impairments.</w:t>
            </w:r>
          </w:p>
        </w:tc>
      </w:tr>
      <w:tr w:rsidR="006D33C4" w:rsidRPr="005F5FA1" w14:paraId="14D00C7C" w14:textId="77777777" w:rsidTr="00376EEF">
        <w:trPr>
          <w:trHeight w:val="402"/>
        </w:trPr>
        <w:tc>
          <w:tcPr>
            <w:tcW w:w="1671" w:type="dxa"/>
          </w:tcPr>
          <w:p w14:paraId="4E78FDF7" w14:textId="13913BA4" w:rsidR="006D33C4" w:rsidRPr="006D33C4" w:rsidRDefault="006D33C4" w:rsidP="002C62D2">
            <w:pPr>
              <w:rPr>
                <w:rFonts w:eastAsiaTheme="minorEastAsia"/>
              </w:rPr>
            </w:pPr>
            <w:r>
              <w:rPr>
                <w:rFonts w:eastAsiaTheme="minorEastAsia"/>
              </w:rPr>
              <w:lastRenderedPageBreak/>
              <w:t>Xiaomi</w:t>
            </w:r>
          </w:p>
        </w:tc>
        <w:tc>
          <w:tcPr>
            <w:tcW w:w="8023" w:type="dxa"/>
          </w:tcPr>
          <w:p w14:paraId="069BF1DE" w14:textId="77777777" w:rsidR="006D33C4" w:rsidRPr="006D33C4" w:rsidRDefault="006D33C4" w:rsidP="006D33C4">
            <w:pPr>
              <w:numPr>
                <w:ilvl w:val="0"/>
                <w:numId w:val="28"/>
              </w:numPr>
              <w:autoSpaceDE/>
              <w:autoSpaceDN/>
              <w:adjustRightInd/>
              <w:snapToGrid/>
              <w:spacing w:after="0"/>
              <w:ind w:left="540"/>
              <w:jc w:val="left"/>
              <w:textAlignment w:val="center"/>
              <w:rPr>
                <w:rFonts w:ascii="Calibri" w:hAnsi="Calibri" w:cs="Calibri"/>
              </w:rPr>
            </w:pPr>
            <w:r w:rsidRPr="006D33C4">
              <w:rPr>
                <w:rFonts w:ascii="Calibri" w:hAnsi="Calibri" w:cs="Calibri"/>
              </w:rPr>
              <w:t xml:space="preserve">In section 5.1, A separate sub-section would be needed to capture the identified service requirement of sidelink </w:t>
            </w:r>
            <w:proofErr w:type="gramStart"/>
            <w:r w:rsidRPr="006D33C4">
              <w:rPr>
                <w:rFonts w:ascii="Calibri" w:hAnsi="Calibri" w:cs="Calibri"/>
              </w:rPr>
              <w:t>positioning;</w:t>
            </w:r>
            <w:proofErr w:type="gramEnd"/>
          </w:p>
          <w:p w14:paraId="12B3BFC1" w14:textId="0A7398F8" w:rsidR="006D33C4" w:rsidRPr="006D33C4" w:rsidRDefault="00D67A66" w:rsidP="00D67A66">
            <w:pPr>
              <w:numPr>
                <w:ilvl w:val="0"/>
                <w:numId w:val="28"/>
              </w:numPr>
              <w:autoSpaceDE/>
              <w:autoSpaceDN/>
              <w:adjustRightInd/>
              <w:snapToGrid/>
              <w:spacing w:after="0"/>
              <w:ind w:left="540"/>
              <w:jc w:val="left"/>
              <w:textAlignment w:val="center"/>
              <w:rPr>
                <w:rFonts w:eastAsia="Malgun Gothic"/>
                <w:bCs/>
                <w:lang w:eastAsia="ko-KR"/>
              </w:rPr>
            </w:pPr>
            <w:r>
              <w:rPr>
                <w:rFonts w:ascii="Calibri" w:hAnsi="Calibri" w:cs="Calibri"/>
              </w:rPr>
              <w:t>For section 5.2, m</w:t>
            </w:r>
            <w:r w:rsidR="006D33C4" w:rsidRPr="006D33C4">
              <w:rPr>
                <w:rFonts w:ascii="Calibri" w:hAnsi="Calibri" w:cs="Calibri"/>
              </w:rPr>
              <w:t xml:space="preserve">any positioning methods </w:t>
            </w:r>
            <w:r>
              <w:rPr>
                <w:rFonts w:ascii="Calibri" w:hAnsi="Calibri" w:cs="Calibri"/>
              </w:rPr>
              <w:t>are not just PHY solutions</w:t>
            </w:r>
            <w:r w:rsidR="006D33C4" w:rsidRPr="006D33C4">
              <w:rPr>
                <w:rFonts w:ascii="Calibri" w:hAnsi="Calibri" w:cs="Calibri"/>
              </w:rPr>
              <w:t xml:space="preserve">; we suggest </w:t>
            </w:r>
            <w:proofErr w:type="gramStart"/>
            <w:r w:rsidR="006D33C4" w:rsidRPr="006D33C4">
              <w:rPr>
                <w:rFonts w:ascii="Calibri" w:hAnsi="Calibri" w:cs="Calibri"/>
              </w:rPr>
              <w:t>to use</w:t>
            </w:r>
            <w:proofErr w:type="gramEnd"/>
            <w:r w:rsidR="006D33C4" w:rsidRPr="006D33C4">
              <w:rPr>
                <w:rFonts w:ascii="Calibri" w:hAnsi="Calibri" w:cs="Calibri"/>
              </w:rPr>
              <w:t xml:space="preserve"> </w:t>
            </w:r>
            <w:r>
              <w:rPr>
                <w:rFonts w:ascii="Calibri" w:hAnsi="Calibri" w:cs="Calibri"/>
              </w:rPr>
              <w:t>different</w:t>
            </w:r>
            <w:r w:rsidR="006D33C4" w:rsidRPr="006D33C4">
              <w:rPr>
                <w:rFonts w:ascii="Calibri" w:hAnsi="Calibri" w:cs="Calibri"/>
              </w:rPr>
              <w:t xml:space="preserve"> section</w:t>
            </w:r>
            <w:r>
              <w:rPr>
                <w:rFonts w:ascii="Calibri" w:hAnsi="Calibri" w:cs="Calibri"/>
              </w:rPr>
              <w:t>s</w:t>
            </w:r>
            <w:r w:rsidR="006D33C4" w:rsidRPr="006D33C4">
              <w:rPr>
                <w:rFonts w:ascii="Calibri" w:hAnsi="Calibri" w:cs="Calibri"/>
              </w:rPr>
              <w:t xml:space="preserve"> to capture</w:t>
            </w:r>
            <w:r w:rsidR="006D33C4">
              <w:rPr>
                <w:rFonts w:ascii="Calibri" w:hAnsi="Calibri" w:cs="Calibri"/>
              </w:rPr>
              <w:t xml:space="preserve"> </w:t>
            </w:r>
            <w:r>
              <w:rPr>
                <w:rFonts w:ascii="Calibri" w:hAnsi="Calibri" w:cs="Calibri"/>
              </w:rPr>
              <w:t>potential</w:t>
            </w:r>
            <w:r w:rsidR="006D33C4" w:rsidRPr="006D33C4">
              <w:rPr>
                <w:rFonts w:ascii="Calibri" w:hAnsi="Calibri" w:cs="Calibri"/>
              </w:rPr>
              <w:t xml:space="preserve"> positioning methods and potential physical layer </w:t>
            </w:r>
            <w:r w:rsidR="006D33C4">
              <w:rPr>
                <w:rFonts w:ascii="Calibri" w:hAnsi="Calibri" w:cs="Calibri"/>
              </w:rPr>
              <w:t>impacts</w:t>
            </w:r>
            <w:r w:rsidR="006D33C4" w:rsidRPr="006D33C4">
              <w:rPr>
                <w:rFonts w:ascii="Calibri" w:hAnsi="Calibri" w:cs="Calibri"/>
              </w:rPr>
              <w:t>.</w:t>
            </w:r>
          </w:p>
        </w:tc>
      </w:tr>
      <w:tr w:rsidR="00A86631" w:rsidRPr="005F5FA1" w14:paraId="034789D2" w14:textId="77777777" w:rsidTr="00376EEF">
        <w:trPr>
          <w:trHeight w:val="402"/>
        </w:trPr>
        <w:tc>
          <w:tcPr>
            <w:tcW w:w="1671" w:type="dxa"/>
          </w:tcPr>
          <w:p w14:paraId="24F2948D" w14:textId="6F3329C3" w:rsidR="00A86631" w:rsidRDefault="00A86631" w:rsidP="002C62D2">
            <w:pPr>
              <w:rPr>
                <w:rFonts w:eastAsiaTheme="minorEastAsia"/>
              </w:rPr>
            </w:pPr>
            <w:proofErr w:type="spellStart"/>
            <w:r w:rsidRPr="00A86631">
              <w:rPr>
                <w:rFonts w:eastAsiaTheme="minorEastAsia"/>
              </w:rPr>
              <w:t>InterDigital</w:t>
            </w:r>
            <w:proofErr w:type="spellEnd"/>
          </w:p>
        </w:tc>
        <w:tc>
          <w:tcPr>
            <w:tcW w:w="8023" w:type="dxa"/>
          </w:tcPr>
          <w:p w14:paraId="0939A3A4" w14:textId="7C817C1D" w:rsidR="00A86631" w:rsidRPr="006D33C4" w:rsidRDefault="00A86631" w:rsidP="00C31E0F">
            <w:pPr>
              <w:autoSpaceDE/>
              <w:autoSpaceDN/>
              <w:adjustRightInd/>
              <w:snapToGrid/>
              <w:spacing w:after="0"/>
              <w:jc w:val="left"/>
              <w:textAlignment w:val="center"/>
              <w:rPr>
                <w:rFonts w:ascii="Calibri" w:hAnsi="Calibri" w:cs="Calibri"/>
              </w:rPr>
            </w:pPr>
            <w:r>
              <w:rPr>
                <w:rFonts w:ascii="Calibri" w:hAnsi="Calibri" w:cs="Calibri"/>
              </w:rPr>
              <w:t>In Annex, we propose to add</w:t>
            </w:r>
            <w:r w:rsidR="003B6533">
              <w:rPr>
                <w:rFonts w:ascii="Calibri" w:hAnsi="Calibri" w:cs="Calibri"/>
              </w:rPr>
              <w:t xml:space="preserve"> a dedicated annex</w:t>
            </w:r>
            <w:r>
              <w:rPr>
                <w:rFonts w:ascii="Calibri" w:hAnsi="Calibri" w:cs="Calibri"/>
              </w:rPr>
              <w:t xml:space="preserve"> </w:t>
            </w:r>
            <w:r w:rsidR="003B6533">
              <w:rPr>
                <w:rFonts w:ascii="Calibri" w:hAnsi="Calibri" w:cs="Calibri"/>
              </w:rPr>
              <w:t>“</w:t>
            </w:r>
            <w:r>
              <w:rPr>
                <w:rFonts w:ascii="Calibri" w:hAnsi="Calibri" w:cs="Calibri"/>
              </w:rPr>
              <w:t xml:space="preserve">Evaluation Results for </w:t>
            </w:r>
            <w:r w:rsidRPr="00A86631">
              <w:rPr>
                <w:rFonts w:ascii="Calibri" w:hAnsi="Calibri" w:cs="Calibri"/>
              </w:rPr>
              <w:t>Integrity for RAT-Dependent Positioning Techniques</w:t>
            </w:r>
            <w:r w:rsidR="003B6533">
              <w:rPr>
                <w:rFonts w:ascii="Calibri" w:hAnsi="Calibri" w:cs="Calibri"/>
              </w:rPr>
              <w:t>”</w:t>
            </w:r>
            <w:r>
              <w:rPr>
                <w:rFonts w:ascii="Calibri" w:hAnsi="Calibri" w:cs="Calibri"/>
              </w:rPr>
              <w:t>.</w:t>
            </w:r>
            <w:r w:rsidR="00116962">
              <w:rPr>
                <w:rFonts w:ascii="Calibri" w:hAnsi="Calibri" w:cs="Calibri"/>
              </w:rPr>
              <w:t xml:space="preserve"> As discussed in</w:t>
            </w:r>
            <w:r>
              <w:rPr>
                <w:rFonts w:ascii="Calibri" w:hAnsi="Calibri" w:cs="Calibri"/>
              </w:rPr>
              <w:t xml:space="preserve"> </w:t>
            </w:r>
            <w:r w:rsidRPr="00A86631">
              <w:rPr>
                <w:rFonts w:ascii="Calibri" w:hAnsi="Calibri" w:cs="Calibri"/>
              </w:rPr>
              <w:t>[109-e-R18-Pos-05]</w:t>
            </w:r>
            <w:r w:rsidR="00116962">
              <w:rPr>
                <w:rFonts w:ascii="Calibri" w:hAnsi="Calibri" w:cs="Calibri"/>
              </w:rPr>
              <w:t xml:space="preserve">, error modeling may </w:t>
            </w:r>
            <w:r w:rsidR="003B6533">
              <w:rPr>
                <w:rFonts w:ascii="Calibri" w:hAnsi="Calibri" w:cs="Calibri"/>
              </w:rPr>
              <w:t>require</w:t>
            </w:r>
            <w:r w:rsidR="00116962">
              <w:rPr>
                <w:rFonts w:ascii="Calibri" w:hAnsi="Calibri" w:cs="Calibri"/>
              </w:rPr>
              <w:t xml:space="preserve"> evaluations of distributions of an error source. Thus, </w:t>
            </w:r>
            <w:r w:rsidR="003B6533">
              <w:rPr>
                <w:rFonts w:ascii="Calibri" w:hAnsi="Calibri" w:cs="Calibri"/>
              </w:rPr>
              <w:t>dedicated annex can be used for demonstrating evaluation results. Similarly, we would like to propose to add</w:t>
            </w:r>
            <w:r w:rsidR="0053276E">
              <w:rPr>
                <w:rFonts w:ascii="Calibri" w:hAnsi="Calibri" w:cs="Calibri"/>
              </w:rPr>
              <w:t xml:space="preserve"> a subsection</w:t>
            </w:r>
            <w:r w:rsidR="003B6533">
              <w:rPr>
                <w:rFonts w:ascii="Calibri" w:hAnsi="Calibri" w:cs="Calibri"/>
              </w:rPr>
              <w:t xml:space="preserve"> “Summary of Evaluation Results for </w:t>
            </w:r>
            <w:r w:rsidR="003B6533" w:rsidRPr="00A86631">
              <w:rPr>
                <w:rFonts w:ascii="Calibri" w:hAnsi="Calibri" w:cs="Calibri"/>
              </w:rPr>
              <w:t>Integrity for RAT-Dependent Positioning Techniques</w:t>
            </w:r>
            <w:r w:rsidR="0053276E">
              <w:rPr>
                <w:rFonts w:ascii="Calibri" w:hAnsi="Calibri" w:cs="Calibri"/>
              </w:rPr>
              <w:t>” in 6.1</w:t>
            </w:r>
            <w:r w:rsidR="009031A2">
              <w:rPr>
                <w:rFonts w:ascii="Calibri" w:hAnsi="Calibri" w:cs="Calibri"/>
              </w:rPr>
              <w:t>.</w:t>
            </w:r>
          </w:p>
        </w:tc>
      </w:tr>
      <w:tr w:rsidR="00E843C6" w:rsidRPr="005F5FA1" w14:paraId="052A260C" w14:textId="77777777" w:rsidTr="00376EEF">
        <w:trPr>
          <w:trHeight w:val="402"/>
        </w:trPr>
        <w:tc>
          <w:tcPr>
            <w:tcW w:w="1671" w:type="dxa"/>
          </w:tcPr>
          <w:p w14:paraId="55DC89FF" w14:textId="603116B8" w:rsidR="00E843C6" w:rsidRPr="00A86631" w:rsidRDefault="00E843C6" w:rsidP="00E843C6">
            <w:pPr>
              <w:rPr>
                <w:rFonts w:eastAsiaTheme="minorEastAsia"/>
              </w:rPr>
            </w:pPr>
            <w:r>
              <w:t>Nokia/NSB</w:t>
            </w:r>
          </w:p>
        </w:tc>
        <w:tc>
          <w:tcPr>
            <w:tcW w:w="8023" w:type="dxa"/>
          </w:tcPr>
          <w:p w14:paraId="56416DD4" w14:textId="77777777" w:rsidR="00E843C6" w:rsidRPr="00425AF0" w:rsidRDefault="00E843C6" w:rsidP="00E843C6">
            <w:pPr>
              <w:pStyle w:val="ListParagraph"/>
              <w:numPr>
                <w:ilvl w:val="0"/>
                <w:numId w:val="23"/>
              </w:numPr>
            </w:pPr>
            <w:r w:rsidRPr="00425AF0">
              <w:t xml:space="preserve">For Section 6.3 (and relevant changes to sub-sections/Annex D) we suggest changing the title slightly to </w:t>
            </w:r>
            <w:r w:rsidRPr="00425AF0">
              <w:rPr>
                <w:color w:val="FF0000"/>
              </w:rPr>
              <w:t xml:space="preserve">NR </w:t>
            </w:r>
            <w:r w:rsidRPr="00425AF0">
              <w:t xml:space="preserve">Carrier Phase </w:t>
            </w:r>
            <w:r w:rsidRPr="00425AF0">
              <w:rPr>
                <w:color w:val="FF0000"/>
              </w:rPr>
              <w:t>Positioning</w:t>
            </w:r>
            <w:r w:rsidRPr="00425AF0">
              <w:rPr>
                <w:strike/>
              </w:rPr>
              <w:t xml:space="preserve"> Measurements</w:t>
            </w:r>
            <w:r w:rsidRPr="00425AF0">
              <w:t xml:space="preserve">. To make it clear we are talking about NR based carrier phase for outside readers. </w:t>
            </w:r>
          </w:p>
          <w:p w14:paraId="271F47D1" w14:textId="77777777" w:rsidR="00E843C6" w:rsidRDefault="00E843C6" w:rsidP="00E843C6">
            <w:pPr>
              <w:pStyle w:val="ListParagraph"/>
              <w:numPr>
                <w:ilvl w:val="0"/>
                <w:numId w:val="23"/>
              </w:numPr>
            </w:pPr>
            <w:r>
              <w:t xml:space="preserve">For some topics (e.g., LPHAP) we may need to define new evaluations methodologies. Is the plan to add those sub-sections to Section 6 (as CMCC suggests) or to add a new Annex for each new methodology? Suggest </w:t>
            </w:r>
            <w:proofErr w:type="gramStart"/>
            <w:r>
              <w:t>to take</w:t>
            </w:r>
            <w:proofErr w:type="gramEnd"/>
            <w:r>
              <w:t xml:space="preserve"> a common approach for all topics. </w:t>
            </w:r>
          </w:p>
          <w:p w14:paraId="08A6E19E" w14:textId="7612E2AE" w:rsidR="00E843C6" w:rsidRDefault="00E843C6" w:rsidP="00E843C6">
            <w:pPr>
              <w:autoSpaceDE/>
              <w:autoSpaceDN/>
              <w:adjustRightInd/>
              <w:snapToGrid/>
              <w:spacing w:after="0"/>
              <w:jc w:val="left"/>
              <w:textAlignment w:val="center"/>
              <w:rPr>
                <w:rFonts w:ascii="Calibri" w:hAnsi="Calibri" w:cs="Calibri"/>
              </w:rPr>
            </w:pPr>
            <w:r>
              <w:t>Clause 4: typo “uses cases”</w:t>
            </w:r>
          </w:p>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5"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5"/>
    </w:p>
    <w:p w14:paraId="194FAB41" w14:textId="0929ED72" w:rsidR="000A4CAB" w:rsidRPr="0059163E" w:rsidRDefault="00853842" w:rsidP="00853842">
      <w:pPr>
        <w:widowControl w:val="0"/>
        <w:numPr>
          <w:ilvl w:val="0"/>
          <w:numId w:val="2"/>
        </w:numPr>
        <w:overflowPunct w:val="0"/>
        <w:snapToGrid/>
        <w:rPr>
          <w:lang w:eastAsia="x-none"/>
        </w:rPr>
      </w:pPr>
      <w:bookmarkStart w:id="6" w:name="_Ref102941782"/>
      <w:bookmarkStart w:id="7"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6"/>
      <w:r>
        <w:rPr>
          <w:lang w:eastAsia="x-none"/>
        </w:rPr>
        <w:t>.</w:t>
      </w:r>
      <w:bookmarkEnd w:id="7"/>
    </w:p>
    <w:sectPr w:rsidR="000A4CAB" w:rsidRPr="005916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295E" w14:textId="77777777" w:rsidR="00017D49" w:rsidRDefault="00017D49" w:rsidP="004C0876">
      <w:pPr>
        <w:spacing w:after="0"/>
      </w:pPr>
      <w:r>
        <w:separator/>
      </w:r>
    </w:p>
  </w:endnote>
  <w:endnote w:type="continuationSeparator" w:id="0">
    <w:p w14:paraId="0C4D319E" w14:textId="77777777" w:rsidR="00017D49" w:rsidRDefault="00017D49"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FEE9ED0"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7A6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A66">
              <w:rPr>
                <w:b/>
                <w:bCs/>
                <w:noProof/>
              </w:rPr>
              <w:t>4</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5BB2" w14:textId="77777777" w:rsidR="00017D49" w:rsidRDefault="00017D49" w:rsidP="004C0876">
      <w:pPr>
        <w:spacing w:after="0"/>
      </w:pPr>
      <w:r>
        <w:separator/>
      </w:r>
    </w:p>
  </w:footnote>
  <w:footnote w:type="continuationSeparator" w:id="0">
    <w:p w14:paraId="516F7406" w14:textId="77777777" w:rsidR="00017D49" w:rsidRDefault="00017D49"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557C5"/>
    <w:multiLevelType w:val="multilevel"/>
    <w:tmpl w:val="DC3A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17D49"/>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962"/>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6EEF"/>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533"/>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423F"/>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76E"/>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6CB"/>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33C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1A2"/>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631"/>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4CFC"/>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1E0F"/>
    <w:rsid w:val="00C320E5"/>
    <w:rsid w:val="00C32C8F"/>
    <w:rsid w:val="00C32D87"/>
    <w:rsid w:val="00C32E52"/>
    <w:rsid w:val="00C33209"/>
    <w:rsid w:val="00C33A38"/>
    <w:rsid w:val="00C33EC2"/>
    <w:rsid w:val="00C34276"/>
    <w:rsid w:val="00C3563D"/>
    <w:rsid w:val="00C35760"/>
    <w:rsid w:val="00C357C4"/>
    <w:rsid w:val="00C361A2"/>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A66"/>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43C6"/>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490"/>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29EB"/>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1994606382">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94549-8668-40CD-875A-1232EBB4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Ryan Keating</cp:lastModifiedBy>
  <cp:revision>2</cp:revision>
  <dcterms:created xsi:type="dcterms:W3CDTF">2022-05-11T04:17:00Z</dcterms:created>
  <dcterms:modified xsi:type="dcterms:W3CDTF">2022-05-11T04:17:00Z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CWMa8069fc47625470893eee2811e121f0d">
    <vt:lpwstr>CWMGlsQ5J+PE+12Lyq2/UogV/wcxPXuVkwFUocKNRhwu94nlFkfhEj+lVCx9KRdqmq17ahXPAARnyU8djjy5Ktq5g==</vt:lpwstr>
  </property>
</Properties>
</file>