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‘Inbox/drafts/9.3/draftSkeleton’).</w:t>
      </w:r>
    </w:p>
    <w:p w14:paraId="139454F7" w14:textId="72B248D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inter-gNB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subband half-duplex (SBHD) as discussed in our tdoc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r>
                    <w:rPr>
                      <w:highlight w:val="green"/>
                    </w:rPr>
                    <w:t xml:space="preserve">subband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 xml:space="preserve">The feasibility study should be applicable to individual SBFD scheme, rather than the general SBFD principle. </w:t>
            </w:r>
            <w:proofErr w:type="gramStart"/>
            <w:r>
              <w:rPr>
                <w:lang w:val="en-US"/>
              </w:rPr>
              <w:t>So</w:t>
            </w:r>
            <w:proofErr w:type="gramEnd"/>
            <w:r>
              <w:rPr>
                <w:lang w:val="en-US"/>
              </w:rPr>
              <w:t xml:space="preserve">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w:t>
            </w:r>
            <w:proofErr w:type="gramStart"/>
            <w:r>
              <w:rPr>
                <w:lang w:val="en-US"/>
              </w:rPr>
              <w:t>to  say</w:t>
            </w:r>
            <w:proofErr w:type="gramEnd"/>
            <w:r>
              <w:rPr>
                <w:lang w:val="en-US"/>
              </w:rPr>
              <w:t xml:space="preserve">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w:t>
            </w:r>
            <w:proofErr w:type="gramStart"/>
            <w:r>
              <w:rPr>
                <w:lang w:val="en-US"/>
              </w:rPr>
              <w:t>operation  is</w:t>
            </w:r>
            <w:proofErr w:type="gramEnd"/>
            <w:r>
              <w:rPr>
                <w:lang w:val="en-US"/>
              </w:rPr>
              <w:t xml:space="preserve">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 xml:space="preserve">Scenario </w:t>
            </w:r>
            <w:proofErr w:type="gramStart"/>
            <w:r w:rsidRPr="00967062">
              <w:rPr>
                <w:i/>
                <w:iCs/>
                <w:lang w:val="fr-FR"/>
              </w:rPr>
              <w:t>y:</w:t>
            </w:r>
            <w:proofErr w:type="gramEnd"/>
            <w:r w:rsidRPr="00967062">
              <w:rPr>
                <w:i/>
                <w:iCs/>
                <w:lang w:val="fr-FR"/>
              </w:rPr>
              <w:t xml:space="preserve">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r>
              <w:rPr>
                <w:lang w:val="en-US"/>
              </w:rPr>
              <w:lastRenderedPageBreak/>
              <w:t>Spreadtrum</w:t>
            </w:r>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Huawei, HiSilicon</w:t>
            </w:r>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 xml:space="preserve">feasibility aspects of SBFD for section 6.1, we have a different view. The feasibility of SBFD not only depends on the general aspects of SBFD, it is also highly dependent on Section 6.2, </w:t>
            </w:r>
            <w:proofErr w:type="gramStart"/>
            <w:r>
              <w:t>i.e.</w:t>
            </w:r>
            <w:proofErr w:type="gramEnd"/>
            <w:r>
              <w:t xml:space="preserv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intra-gNB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“Inter-gNB and Inter-UE CLI handling” in section 6 and section 8, we are ok with the moderator skeleton, as the solutions of inter-gNB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Inter-gNB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tdoc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inter-gNB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w:t>
            </w:r>
            <w:proofErr w:type="gramStart"/>
            <w:r>
              <w:t>) ?</w:t>
            </w:r>
            <w:proofErr w:type="gramEnd"/>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Inter-gNB and inter-UE CLI handling schemes</w:t>
            </w:r>
            <w:r>
              <w:t xml:space="preserve"> </w:t>
            </w:r>
          </w:p>
          <w:p w14:paraId="6974ECE8" w14:textId="77777777" w:rsidR="004B4511" w:rsidRDefault="004B4511" w:rsidP="004B4511">
            <w:r>
              <w:lastRenderedPageBreak/>
              <w:t xml:space="preserve">8.1 </w:t>
            </w:r>
            <w:r w:rsidRPr="004B4511">
              <w:t>Inter-gNB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 xml:space="preserve">On chapter 6, we echo with HW’s comments that self-interference should be considered. As self-interference is quite different from inter-gNB and inter-UE CLI, it’s better to use a separate section to capture, </w:t>
            </w:r>
            <w:proofErr w:type="gramStart"/>
            <w:r>
              <w:rPr>
                <w:lang w:eastAsia="zh-CN"/>
              </w:rPr>
              <w:t>i.e.</w:t>
            </w:r>
            <w:proofErr w:type="gramEnd"/>
            <w:r>
              <w:rPr>
                <w:lang w:eastAsia="zh-CN"/>
              </w:rPr>
              <w:t xml:space="preserve"> ‘6.3 Self-interference handling scheme’. Accordingly, editor notes under section 6.1 should also be updated to capture self-interference, i.e. ‘</w:t>
            </w:r>
            <w:r w:rsidRPr="00692C14">
              <w:rPr>
                <w:i/>
              </w:rPr>
              <w:t>Editor’s note: This section captures the general aspects of SBFD schemes except the inter-gNB</w:t>
            </w:r>
            <w:r w:rsidRPr="00692C14">
              <w:rPr>
                <w:i/>
                <w:strike/>
              </w:rPr>
              <w:t xml:space="preserve"> </w:t>
            </w:r>
            <w:proofErr w:type="gramStart"/>
            <w:r w:rsidRPr="00692C14">
              <w:rPr>
                <w:i/>
                <w:strike/>
              </w:rPr>
              <w:t xml:space="preserve">and </w:t>
            </w:r>
            <w:r>
              <w:rPr>
                <w:i/>
              </w:rPr>
              <w:t>,</w:t>
            </w:r>
            <w:r w:rsidRPr="00692C14">
              <w:rPr>
                <w:i/>
              </w:rPr>
              <w:t>inter</w:t>
            </w:r>
            <w:proofErr w:type="gramEnd"/>
            <w:r w:rsidRPr="00692C14">
              <w:rPr>
                <w:i/>
              </w:rPr>
              <w:t>-UE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 xml:space="preserve">Sub-section can be added in the future to capture the evaluation cases according to the discussion, e.g. different frequency ranges, </w:t>
            </w:r>
            <w:proofErr w:type="gramStart"/>
            <w:r>
              <w:rPr>
                <w:color w:val="FF0000"/>
                <w:u w:val="single"/>
              </w:rPr>
              <w:t>methodologies(</w:t>
            </w:r>
            <w:proofErr w:type="gramEnd"/>
            <w:r>
              <w:rPr>
                <w:color w:val="FF0000"/>
                <w:u w:val="single"/>
              </w:rPr>
              <w:t>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he gNB-gNB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It seems SBFD gNBs with different UL/DL resource patterns are not listed in section 7. Although it may be treated as lower priority, it doesn’t mean this case can not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spreadtrum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SBFD schemes currently being discussed will have not only CLI impact but also may have impact on different UE physical layer procedures (</w:t>
            </w:r>
            <w:proofErr w:type="gramStart"/>
            <w:r>
              <w:t>e.g.</w:t>
            </w:r>
            <w:proofErr w:type="gramEnd"/>
            <w:r>
              <w:t xml:space="preserve"> for CSI-RS reception, TDD signaling).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inter-gNB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Inter-gNB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inter-gNB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gNB-side SI performance, we do not see much purpose in conducting LLS. Primary input for RAN1 SLS is the maximum Tx power at which DL transmissions in the SBFD DL SB can be supported while simultaneously receiving UL transmissions in the SBFD UL subband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4 (UE-UE and gNB-gNB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r>
              <w:lastRenderedPageBreak/>
              <w:t>InterDigital</w:t>
            </w:r>
          </w:p>
        </w:tc>
        <w:tc>
          <w:tcPr>
            <w:tcW w:w="8443" w:type="dxa"/>
          </w:tcPr>
          <w:p w14:paraId="23BF5D3A" w14:textId="630F433F" w:rsidR="00967062" w:rsidRDefault="00967062" w:rsidP="00967062">
            <w:r>
              <w:t xml:space="preserve">For study on dynamic/flexible TDD, SLS is sufficient. </w:t>
            </w:r>
            <w:proofErr w:type="gramStart"/>
            <w:r>
              <w:t>But,</w:t>
            </w:r>
            <w:proofErr w:type="gramEnd"/>
            <w:r>
              <w:t xml:space="preserve">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subband and UL subband</w:t>
            </w:r>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subband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gNB’s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Inter-gNB and inter-UE CLI handling schemes</w:t>
            </w:r>
          </w:p>
          <w:p w14:paraId="2A5B6B63" w14:textId="36727E22" w:rsidR="00625492" w:rsidRDefault="005B18DD" w:rsidP="00625492">
            <w:r>
              <w:t>As pointed out by others, in subband case, there is also gNB self interference.  Perhaps instead of restricting the title to only inter-gNb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6.2.1 gNB self interference</w:t>
            </w:r>
          </w:p>
          <w:p w14:paraId="00BD540C" w14:textId="22D16E4B" w:rsidR="005B18DD" w:rsidRPr="005B18DD" w:rsidRDefault="005B18DD" w:rsidP="005B18DD">
            <w:pPr>
              <w:ind w:left="284"/>
              <w:rPr>
                <w:b/>
                <w:bCs/>
              </w:rPr>
            </w:pPr>
            <w:r w:rsidRPr="005B18DD">
              <w:rPr>
                <w:b/>
                <w:bCs/>
              </w:rPr>
              <w:t>6.2.2 Inter-gNB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gNB,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UEs/gNBs.</w:t>
            </w:r>
          </w:p>
          <w:p w14:paraId="64B61267" w14:textId="6E13815D" w:rsidR="00431315" w:rsidRDefault="00431315" w:rsidP="00431315">
            <w:r>
              <w:t xml:space="preserve">For LLS, we don’t think RAN1 needs to reinvent the wheel. For any channel (PUSCH as an example), the required SINR to achieve a given BLER for a given code rate (which depends on data rate) is independent of what we discuss here. RAN1 can use the existing “required </w:t>
            </w:r>
            <w:proofErr w:type="gramStart"/>
            <w:r>
              <w:t>SINR”s</w:t>
            </w:r>
            <w:proofErr w:type="gramEnd"/>
            <w:r>
              <w:t xml:space="preserve"> from R17 CovEnh analysis, and Of course “link budget” numbers (not LLS) shall be updated based on self-interference at gNB,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Agree with Huawei and Xiaomi on highlighting the importance of the self-interference component (intra gNB CLI) on SBFD. Therefore, we suggest having a separate sub-section under Section 6 for the gNB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gNB-gNB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Heading1"/>
      </w:pPr>
      <w:r>
        <w:t>4</w:t>
      </w:r>
      <w:r>
        <w:tab/>
      </w:r>
      <w:r>
        <w:t>2</w:t>
      </w:r>
      <w:r w:rsidRPr="00AC213B">
        <w:rPr>
          <w:vertAlign w:val="superscript"/>
        </w:rPr>
        <w:t>nd</w:t>
      </w:r>
      <w:r>
        <w:t xml:space="preserve"> Round Discussion</w:t>
      </w:r>
    </w:p>
    <w:p w14:paraId="0EE90F77" w14:textId="5CD08A29" w:rsidR="009A4D96" w:rsidRPr="00FB7032" w:rsidRDefault="009A4D96" w:rsidP="009A4D96">
      <w:pPr>
        <w:pStyle w:val="ListParagraph"/>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TableGrid"/>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77777777" w:rsidR="009A4D96" w:rsidRDefault="009A4D96" w:rsidP="000203E7"/>
        </w:tc>
        <w:tc>
          <w:tcPr>
            <w:tcW w:w="8443" w:type="dxa"/>
          </w:tcPr>
          <w:p w14:paraId="652AB14D" w14:textId="77777777" w:rsidR="009A4D96" w:rsidRDefault="009A4D96" w:rsidP="000203E7"/>
        </w:tc>
      </w:tr>
      <w:tr w:rsidR="009A4D96" w14:paraId="2D38FBE7" w14:textId="77777777" w:rsidTr="000203E7">
        <w:tc>
          <w:tcPr>
            <w:tcW w:w="1188" w:type="dxa"/>
          </w:tcPr>
          <w:p w14:paraId="1824BC9C" w14:textId="77777777" w:rsidR="009A4D96" w:rsidRDefault="009A4D96" w:rsidP="000203E7"/>
        </w:tc>
        <w:tc>
          <w:tcPr>
            <w:tcW w:w="8443" w:type="dxa"/>
          </w:tcPr>
          <w:p w14:paraId="54647713" w14:textId="77777777" w:rsidR="009A4D96" w:rsidRDefault="009A4D96" w:rsidP="000203E7"/>
        </w:tc>
      </w:tr>
      <w:tr w:rsidR="009A4D96" w14:paraId="7CF786C8" w14:textId="77777777" w:rsidTr="000203E7">
        <w:tc>
          <w:tcPr>
            <w:tcW w:w="1188" w:type="dxa"/>
          </w:tcPr>
          <w:p w14:paraId="7E24AB40" w14:textId="77777777" w:rsidR="009A4D96" w:rsidRDefault="009A4D96" w:rsidP="000203E7"/>
        </w:tc>
        <w:tc>
          <w:tcPr>
            <w:tcW w:w="8443" w:type="dxa"/>
          </w:tcPr>
          <w:p w14:paraId="5FCAAA63" w14:textId="77777777" w:rsidR="009A4D96" w:rsidRDefault="009A4D96" w:rsidP="000203E7"/>
        </w:tc>
      </w:tr>
      <w:tr w:rsidR="009A4D96" w14:paraId="2832DD24" w14:textId="77777777" w:rsidTr="000203E7">
        <w:tc>
          <w:tcPr>
            <w:tcW w:w="1188" w:type="dxa"/>
          </w:tcPr>
          <w:p w14:paraId="3EFA994C" w14:textId="77777777" w:rsidR="009A4D96" w:rsidRDefault="009A4D96" w:rsidP="000203E7"/>
        </w:tc>
        <w:tc>
          <w:tcPr>
            <w:tcW w:w="8443" w:type="dxa"/>
          </w:tcPr>
          <w:p w14:paraId="2ED7CF27" w14:textId="77777777" w:rsidR="009A4D96" w:rsidRDefault="009A4D96" w:rsidP="000203E7"/>
        </w:tc>
      </w:tr>
      <w:tr w:rsidR="009A4D96" w14:paraId="606E5F59" w14:textId="77777777" w:rsidTr="000203E7">
        <w:tc>
          <w:tcPr>
            <w:tcW w:w="1188" w:type="dxa"/>
          </w:tcPr>
          <w:p w14:paraId="425A7CFA" w14:textId="77777777" w:rsidR="009A4D96" w:rsidRDefault="009A4D96" w:rsidP="000203E7"/>
        </w:tc>
        <w:tc>
          <w:tcPr>
            <w:tcW w:w="8443" w:type="dxa"/>
          </w:tcPr>
          <w:p w14:paraId="247966ED" w14:textId="77777777" w:rsidR="009A4D96" w:rsidRDefault="009A4D96" w:rsidP="000203E7"/>
        </w:tc>
      </w:tr>
      <w:tr w:rsidR="009A4D96" w14:paraId="0964353A" w14:textId="77777777" w:rsidTr="000203E7">
        <w:tc>
          <w:tcPr>
            <w:tcW w:w="1188" w:type="dxa"/>
          </w:tcPr>
          <w:p w14:paraId="054CBD97" w14:textId="77777777" w:rsidR="009A4D96" w:rsidRDefault="009A4D96" w:rsidP="000203E7"/>
        </w:tc>
        <w:tc>
          <w:tcPr>
            <w:tcW w:w="8443" w:type="dxa"/>
          </w:tcPr>
          <w:p w14:paraId="6C11FEAD" w14:textId="77777777" w:rsidR="009A4D96" w:rsidRDefault="009A4D96" w:rsidP="000203E7"/>
        </w:tc>
      </w:tr>
      <w:tr w:rsidR="009A4D96" w14:paraId="5C6078BC" w14:textId="77777777" w:rsidTr="000203E7">
        <w:tc>
          <w:tcPr>
            <w:tcW w:w="1188" w:type="dxa"/>
          </w:tcPr>
          <w:p w14:paraId="645AA7A4" w14:textId="77777777" w:rsidR="009A4D96" w:rsidRDefault="009A4D96" w:rsidP="000203E7"/>
        </w:tc>
        <w:tc>
          <w:tcPr>
            <w:tcW w:w="8443" w:type="dxa"/>
          </w:tcPr>
          <w:p w14:paraId="04DE39EA" w14:textId="77777777" w:rsidR="009A4D96" w:rsidRDefault="009A4D96" w:rsidP="000203E7"/>
        </w:tc>
      </w:tr>
    </w:tbl>
    <w:p w14:paraId="4C1254A0" w14:textId="77777777" w:rsidR="009F114A" w:rsidRDefault="009F114A" w:rsidP="00842688"/>
    <w:p w14:paraId="6CD283B8" w14:textId="2F6F30CA" w:rsidR="00842688" w:rsidRPr="00FB7032" w:rsidRDefault="009A4D96" w:rsidP="00842688">
      <w:pPr>
        <w:pStyle w:val="ListParagraph"/>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TableGrid"/>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3418E430" w:rsidR="00295B6D" w:rsidRDefault="00295B6D" w:rsidP="000203E7"/>
        </w:tc>
        <w:tc>
          <w:tcPr>
            <w:tcW w:w="8443" w:type="dxa"/>
          </w:tcPr>
          <w:p w14:paraId="1607C2A1" w14:textId="77777777" w:rsidR="00295B6D" w:rsidRDefault="00295B6D" w:rsidP="000203E7"/>
        </w:tc>
      </w:tr>
      <w:tr w:rsidR="00262BA4" w14:paraId="279A44D8" w14:textId="77777777" w:rsidTr="000203E7">
        <w:tc>
          <w:tcPr>
            <w:tcW w:w="1188" w:type="dxa"/>
          </w:tcPr>
          <w:p w14:paraId="3983562E" w14:textId="721585D6" w:rsidR="00262BA4" w:rsidRDefault="00262BA4" w:rsidP="000203E7"/>
        </w:tc>
        <w:tc>
          <w:tcPr>
            <w:tcW w:w="8443" w:type="dxa"/>
          </w:tcPr>
          <w:p w14:paraId="7E8DF91A" w14:textId="77777777" w:rsidR="00262BA4" w:rsidRDefault="00262BA4" w:rsidP="000203E7"/>
        </w:tc>
      </w:tr>
      <w:tr w:rsidR="00262BA4" w14:paraId="6C949D30" w14:textId="77777777" w:rsidTr="000203E7">
        <w:tc>
          <w:tcPr>
            <w:tcW w:w="1188" w:type="dxa"/>
          </w:tcPr>
          <w:p w14:paraId="378C9FE0" w14:textId="77777777" w:rsidR="00262BA4" w:rsidRDefault="00262BA4" w:rsidP="000203E7"/>
        </w:tc>
        <w:tc>
          <w:tcPr>
            <w:tcW w:w="8443" w:type="dxa"/>
          </w:tcPr>
          <w:p w14:paraId="28DE2094" w14:textId="77777777" w:rsidR="00262BA4" w:rsidRDefault="00262BA4" w:rsidP="000203E7"/>
        </w:tc>
      </w:tr>
      <w:tr w:rsidR="00262BA4" w14:paraId="7059B86D" w14:textId="77777777" w:rsidTr="000203E7">
        <w:tc>
          <w:tcPr>
            <w:tcW w:w="1188" w:type="dxa"/>
          </w:tcPr>
          <w:p w14:paraId="4A4C58A7" w14:textId="77777777" w:rsidR="00262BA4" w:rsidRDefault="00262BA4" w:rsidP="000203E7"/>
        </w:tc>
        <w:tc>
          <w:tcPr>
            <w:tcW w:w="8443" w:type="dxa"/>
          </w:tcPr>
          <w:p w14:paraId="6DF1CD31" w14:textId="77777777" w:rsidR="00262BA4" w:rsidRDefault="00262BA4" w:rsidP="000203E7"/>
        </w:tc>
      </w:tr>
      <w:tr w:rsidR="00262BA4" w14:paraId="0EDFF822" w14:textId="77777777" w:rsidTr="000203E7">
        <w:tc>
          <w:tcPr>
            <w:tcW w:w="1188" w:type="dxa"/>
          </w:tcPr>
          <w:p w14:paraId="04EC7691" w14:textId="77777777" w:rsidR="00262BA4" w:rsidRDefault="00262BA4" w:rsidP="000203E7"/>
        </w:tc>
        <w:tc>
          <w:tcPr>
            <w:tcW w:w="8443" w:type="dxa"/>
          </w:tcPr>
          <w:p w14:paraId="7E8D5417" w14:textId="77777777" w:rsidR="00262BA4" w:rsidRDefault="00262BA4" w:rsidP="000203E7"/>
        </w:tc>
      </w:tr>
      <w:tr w:rsidR="00262BA4" w14:paraId="5A48321D" w14:textId="77777777" w:rsidTr="000203E7">
        <w:tc>
          <w:tcPr>
            <w:tcW w:w="1188" w:type="dxa"/>
          </w:tcPr>
          <w:p w14:paraId="22AEB870" w14:textId="77777777" w:rsidR="00262BA4" w:rsidRDefault="00262BA4" w:rsidP="000203E7"/>
        </w:tc>
        <w:tc>
          <w:tcPr>
            <w:tcW w:w="8443" w:type="dxa"/>
          </w:tcPr>
          <w:p w14:paraId="23E66F4A" w14:textId="77777777" w:rsidR="00262BA4" w:rsidRDefault="00262BA4" w:rsidP="000203E7"/>
        </w:tc>
      </w:tr>
      <w:tr w:rsidR="00262BA4" w14:paraId="3F1A9942" w14:textId="77777777" w:rsidTr="000203E7">
        <w:tc>
          <w:tcPr>
            <w:tcW w:w="1188" w:type="dxa"/>
          </w:tcPr>
          <w:p w14:paraId="51C14666" w14:textId="77777777" w:rsidR="00262BA4" w:rsidRDefault="00262BA4" w:rsidP="000203E7"/>
        </w:tc>
        <w:tc>
          <w:tcPr>
            <w:tcW w:w="8443" w:type="dxa"/>
          </w:tcPr>
          <w:p w14:paraId="7EB69FBA" w14:textId="77777777" w:rsidR="00262BA4" w:rsidRDefault="00262BA4" w:rsidP="000203E7"/>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2" w:name="_Ref450735844"/>
      <w:bookmarkStart w:id="23" w:name="_Ref450342757"/>
      <w:bookmarkStart w:id="24"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5" w:name="_Ref102202366"/>
      <w:bookmarkEnd w:id="22"/>
      <w:bookmarkEnd w:id="23"/>
      <w:bookmarkEnd w:id="24"/>
      <w:r>
        <w:rPr>
          <w:lang w:eastAsia="ko-KR"/>
        </w:rPr>
        <w:t>RP-213591, New SI: Study on evolution of NR duplex operation, CMCC</w:t>
      </w:r>
      <w:bookmarkEnd w:id="25"/>
    </w:p>
    <w:p w14:paraId="4AF83602" w14:textId="77777777" w:rsidR="001F4D55" w:rsidRDefault="0026544B">
      <w:pPr>
        <w:pStyle w:val="ListParagraph"/>
        <w:numPr>
          <w:ilvl w:val="0"/>
          <w:numId w:val="4"/>
        </w:numPr>
        <w:spacing w:after="0" w:line="240" w:lineRule="auto"/>
        <w:contextualSpacing w:val="0"/>
        <w:rPr>
          <w:lang w:eastAsia="ko-KR"/>
        </w:rPr>
      </w:pPr>
      <w:bookmarkStart w:id="26" w:name="_Ref102202373"/>
      <w:r>
        <w:rPr>
          <w:lang w:eastAsia="ko-KR"/>
        </w:rPr>
        <w:t>RP-220633, Revised SID: Study on evolution of NR duplex operation, CMCC</w:t>
      </w:r>
      <w:bookmarkEnd w:id="26"/>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CB03F" w14:textId="77777777" w:rsidR="00677705" w:rsidRDefault="00677705">
      <w:pPr>
        <w:spacing w:after="0"/>
      </w:pPr>
      <w:r>
        <w:separator/>
      </w:r>
    </w:p>
  </w:endnote>
  <w:endnote w:type="continuationSeparator" w:id="0">
    <w:p w14:paraId="09D4F811" w14:textId="77777777" w:rsidR="00677705" w:rsidRDefault="006777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2E3CB" w14:textId="77777777" w:rsidR="00677705" w:rsidRDefault="00677705">
      <w:pPr>
        <w:spacing w:after="0"/>
      </w:pPr>
      <w:r>
        <w:separator/>
      </w:r>
    </w:p>
  </w:footnote>
  <w:footnote w:type="continuationSeparator" w:id="0">
    <w:p w14:paraId="7ACB0A32" w14:textId="77777777" w:rsidR="00677705" w:rsidRDefault="006777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98558B8"/>
    <w:multiLevelType w:val="hybridMultilevel"/>
    <w:tmpl w:val="8286E0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640110007">
    <w:abstractNumId w:val="3"/>
  </w:num>
  <w:num w:numId="2" w16cid:durableId="118913106">
    <w:abstractNumId w:val="2"/>
  </w:num>
  <w:num w:numId="3" w16cid:durableId="1281188744">
    <w:abstractNumId w:val="0"/>
  </w:num>
  <w:num w:numId="4" w16cid:durableId="1922908414">
    <w:abstractNumId w:val="1"/>
  </w:num>
  <w:num w:numId="5" w16cid:durableId="938174002">
    <w:abstractNumId w:val="7"/>
  </w:num>
  <w:num w:numId="6" w16cid:durableId="1039011399">
    <w:abstractNumId w:val="4"/>
  </w:num>
  <w:num w:numId="7" w16cid:durableId="2049135921">
    <w:abstractNumId w:val="2"/>
  </w:num>
  <w:num w:numId="8" w16cid:durableId="471947778">
    <w:abstractNumId w:val="6"/>
  </w:num>
  <w:num w:numId="9" w16cid:durableId="835340614">
    <w:abstractNumId w:val="8"/>
  </w:num>
  <w:num w:numId="10" w16cid:durableId="11053503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677"/>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宋体"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4800</Words>
  <Characters>27363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Wang Fei</cp:lastModifiedBy>
  <cp:revision>55</cp:revision>
  <cp:lastPrinted>2020-05-14T06:07:00Z</cp:lastPrinted>
  <dcterms:created xsi:type="dcterms:W3CDTF">2022-05-10T17:24:00Z</dcterms:created>
  <dcterms:modified xsi:type="dcterms:W3CDTF">2022-05-11T06:37:00Z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