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19B" w14:textId="77777777" w:rsidR="001F4D55" w:rsidRPr="00A15DA3" w:rsidRDefault="0026544B">
      <w:pPr>
        <w:pStyle w:val="Header"/>
        <w:tabs>
          <w:tab w:val="right" w:pos="9498"/>
        </w:tabs>
        <w:rPr>
          <w:rFonts w:cs="Arial"/>
          <w:bCs/>
          <w:sz w:val="22"/>
          <w:lang w:val="de-DE"/>
        </w:rPr>
      </w:pPr>
      <w:bookmarkStart w:id="0" w:name="page1"/>
      <w:r w:rsidRPr="00A15DA3">
        <w:rPr>
          <w:rFonts w:cs="Arial"/>
          <w:bCs/>
          <w:sz w:val="22"/>
          <w:lang w:val="de-DE"/>
        </w:rPr>
        <w:t>3GPP TSG RAN WG1 #109-e</w:t>
      </w:r>
      <w:r w:rsidRPr="00A15DA3">
        <w:rPr>
          <w:rFonts w:cs="Arial"/>
          <w:bCs/>
          <w:sz w:val="22"/>
          <w:lang w:val="de-DE"/>
        </w:rPr>
        <w:tab/>
        <w:t xml:space="preserve">                          </w:t>
      </w:r>
      <w:r w:rsidRPr="00A15DA3">
        <w:rPr>
          <w:rFonts w:cs="Arial"/>
          <w:bCs/>
          <w:sz w:val="22"/>
          <w:highlight w:val="yellow"/>
          <w:lang w:val="de-DE"/>
        </w:rPr>
        <w:t>R1-220XXXX</w:t>
      </w:r>
    </w:p>
    <w:p w14:paraId="75D4F45E" w14:textId="77777777" w:rsidR="001F4D55" w:rsidRDefault="0026544B">
      <w:pPr>
        <w:pStyle w:val="Header"/>
        <w:tabs>
          <w:tab w:val="right" w:pos="9498"/>
        </w:tabs>
        <w:rPr>
          <w:rFonts w:cs="Arial"/>
          <w:bCs/>
          <w:sz w:val="22"/>
        </w:rPr>
      </w:pPr>
      <w:r>
        <w:rPr>
          <w:rFonts w:cs="Arial"/>
          <w:bCs/>
          <w:sz w:val="22"/>
        </w:rPr>
        <w:t>e-Meeting, May 9th – 20th, 2022</w:t>
      </w:r>
    </w:p>
    <w:p w14:paraId="05AFAAEB" w14:textId="77777777" w:rsidR="001F4D55" w:rsidRDefault="001F4D55">
      <w:pPr>
        <w:pStyle w:val="Header"/>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Header"/>
        <w:tabs>
          <w:tab w:val="right" w:pos="9639"/>
        </w:tabs>
        <w:rPr>
          <w:rFonts w:cs="Arial"/>
          <w:bCs/>
          <w:sz w:val="22"/>
        </w:rPr>
      </w:pPr>
    </w:p>
    <w:p w14:paraId="47DAFE1F" w14:textId="77777777" w:rsidR="001F4D55" w:rsidRDefault="0026544B">
      <w:pPr>
        <w:pStyle w:val="Heading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Heading1"/>
      </w:pPr>
      <w:r>
        <w:t>2</w:t>
      </w:r>
      <w:r>
        <w:tab/>
        <w:t>Draft TR skeleton</w:t>
      </w:r>
    </w:p>
    <w:p w14:paraId="586E1E7C" w14:textId="77777777" w:rsidR="001F4D55" w:rsidRDefault="0026544B">
      <w:pPr>
        <w:jc w:val="both"/>
      </w:pPr>
      <w:r>
        <w:t>A draft TR skeleton has been provided by the rapporteur in R1-2205187 (it can also be found in the draft folder ‘Inbox/drafts/9.3/draftSkeleton’) and presented in an online (GTW) session in RAN1#109e. The structure of the draft TR skeleton is inspired by TR 36.828.</w:t>
      </w:r>
    </w:p>
    <w:p w14:paraId="139454F7" w14:textId="77777777" w:rsidR="001F4D55" w:rsidRDefault="0026544B">
      <w:pPr>
        <w:pStyle w:val="Heading1"/>
      </w:pPr>
      <w:bookmarkStart w:id="9" w:name="clause4"/>
      <w:bookmarkStart w:id="10" w:name="references"/>
      <w:bookmarkStart w:id="11" w:name="definitions"/>
      <w:bookmarkStart w:id="12" w:name="_Toc41497765"/>
      <w:bookmarkEnd w:id="9"/>
      <w:bookmarkEnd w:id="10"/>
      <w:bookmarkEnd w:id="11"/>
      <w:r>
        <w:t>3</w:t>
      </w:r>
      <w:r>
        <w:tab/>
      </w:r>
      <w:bookmarkEnd w:id="12"/>
      <w:r>
        <w:t>Discussion</w:t>
      </w:r>
    </w:p>
    <w:tbl>
      <w:tblPr>
        <w:tblStyle w:val="TableGrid"/>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TableGrid"/>
              <w:tblW w:w="0" w:type="auto"/>
              <w:tblLook w:val="04A0" w:firstRow="1" w:lastRow="0" w:firstColumn="1" w:lastColumn="0" w:noHBand="0" w:noVBand="1"/>
            </w:tblPr>
            <w:tblGrid>
              <w:gridCol w:w="7468"/>
            </w:tblGrid>
            <w:tr w:rsidR="001F4D55" w14:paraId="7E3B94FB" w14:textId="77777777">
              <w:tc>
                <w:tcPr>
                  <w:tcW w:w="7468" w:type="dxa"/>
                </w:tcPr>
                <w:p w14:paraId="134B8292" w14:textId="77777777" w:rsidR="001F4D55" w:rsidRDefault="0026544B">
                  <w:pPr>
                    <w:pStyle w:val="Heading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14:paraId="4ECF5BFE" w14:textId="77777777" w:rsidR="001F4D55" w:rsidRDefault="001F4D55">
            <w:pPr>
              <w:rPr>
                <w:b/>
                <w:bCs/>
                <w:sz w:val="4"/>
                <w:szCs w:val="4"/>
                <w:u w:val="single"/>
              </w:rPr>
            </w:pPr>
          </w:p>
          <w:p w14:paraId="0408EE07" w14:textId="77777777"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TableGrid"/>
              <w:tblW w:w="0" w:type="auto"/>
              <w:tblLook w:val="04A0" w:firstRow="1" w:lastRow="0" w:firstColumn="1" w:lastColumn="0" w:noHBand="0" w:noVBand="1"/>
            </w:tblPr>
            <w:tblGrid>
              <w:gridCol w:w="7468"/>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t>Comment #3</w:t>
            </w:r>
          </w:p>
          <w:p w14:paraId="3E55F97A" w14:textId="77777777" w:rsidR="001F4D55" w:rsidRDefault="0026544B">
            <w:r>
              <w:lastRenderedPageBreak/>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77777777" w:rsidR="001F4D55" w:rsidRDefault="0026544B">
            <w:r>
              <w:t>For section 6.2 and 8.1 on cross-link interference, it should be clarified how to handle the common and SBFD specific enhancement or dynamic-TDD specific enhancements.</w:t>
            </w:r>
          </w:p>
          <w:p w14:paraId="5755E087" w14:textId="77777777" w:rsidR="001F4D55" w:rsidRDefault="0026544B">
            <w:pPr>
              <w:rPr>
                <w:b/>
                <w:bCs/>
                <w:u w:val="single"/>
              </w:rPr>
            </w:pPr>
            <w:r>
              <w:rPr>
                <w:b/>
                <w:bCs/>
                <w:u w:val="single"/>
              </w:rPr>
              <w:t>Comment #5</w:t>
            </w:r>
          </w:p>
          <w:p w14:paraId="14938A51" w14:textId="77777777"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맑은 고딕"/>
                <w:bCs/>
                <w:lang w:val="en-US" w:eastAsia="ko-KR"/>
              </w:rPr>
            </w:pPr>
            <w:r>
              <w:rPr>
                <w:rFonts w:eastAsia="맑은 고딕"/>
                <w:bCs/>
                <w:lang w:val="sv-SE" w:eastAsia="ko-KR"/>
              </w:rPr>
              <w:t xml:space="preserve">Study the </w:t>
            </w:r>
            <w:r>
              <w:rPr>
                <w:rFonts w:eastAsia="맑은 고딕"/>
                <w:bCs/>
                <w:highlight w:val="yellow"/>
                <w:lang w:val="sv-SE" w:eastAsia="ko-KR"/>
              </w:rPr>
              <w:t>performance</w:t>
            </w:r>
            <w:r>
              <w:rPr>
                <w:rFonts w:eastAsia="맑은 고딕"/>
                <w:bCs/>
                <w:lang w:val="sv-SE" w:eastAsia="ko-KR"/>
              </w:rPr>
              <w:t xml:space="preserve"> of the identified schemes as well as the </w:t>
            </w:r>
            <w:r>
              <w:rPr>
                <w:rFonts w:eastAsia="맑은 고딕"/>
                <w:bCs/>
                <w:highlight w:val="yellow"/>
                <w:lang w:val="sv-SE" w:eastAsia="ko-KR"/>
              </w:rPr>
              <w:t>impact on legacy operation assuming their co-existence in co-channel and adjacent channels (RAN1).</w:t>
            </w:r>
          </w:p>
          <w:p w14:paraId="6E7DA3C6" w14:textId="77777777" w:rsidR="001F4D55" w:rsidRDefault="0026544B">
            <w:pPr>
              <w:jc w:val="both"/>
            </w:pPr>
            <w:r>
              <w:t>This is in contrast to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맑은 고딕"/>
                <w:bCs/>
                <w:lang w:val="en-US" w:eastAsia="ko-KR"/>
              </w:rPr>
            </w:pPr>
            <w:r>
              <w:rPr>
                <w:rFonts w:eastAsia="맑은 고딕"/>
                <w:bCs/>
                <w:lang w:val="sv-SE" w:eastAsia="ko-KR"/>
              </w:rPr>
              <w:t xml:space="preserve">Study the </w:t>
            </w:r>
            <w:r>
              <w:rPr>
                <w:rFonts w:eastAsia="맑은 고딕"/>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 xml:space="preserve">Hence, since RAN1 shall evaluate performance in both co-channel (single-operator) and adjacent channel (two-operator) scenarios, we think the structure of the evaluation results in the TR should reflect </w:t>
            </w:r>
            <w:r>
              <w:lastRenderedPageBreak/>
              <w:t>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7777777" w:rsidR="001F4D55" w:rsidRDefault="0026544B">
            <w:pPr>
              <w:jc w:val="both"/>
            </w:pPr>
            <w:r>
              <w:t>…</w:t>
            </w: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lastRenderedPageBreak/>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77777777" w:rsidR="001F4D55" w:rsidRDefault="0026544B">
            <w:pPr>
              <w:rPr>
                <w:lang w:val="en-US"/>
              </w:rPr>
            </w:pPr>
            <w:r>
              <w:rPr>
                <w:b/>
                <w:bCs/>
                <w:u w:val="single"/>
                <w:lang w:val="en-US"/>
              </w:rPr>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w:t>
            </w:r>
            <w:r>
              <w:rPr>
                <w:lang w:val="en-US"/>
              </w:rPr>
              <w:lastRenderedPageBreak/>
              <w:t xml:space="preserve">operation  is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Pr="00967062" w:rsidRDefault="0026544B">
            <w:pPr>
              <w:rPr>
                <w:i/>
                <w:iCs/>
                <w:lang w:val="fr-FR"/>
              </w:rPr>
            </w:pPr>
            <w:r w:rsidRPr="00967062">
              <w:rPr>
                <w:i/>
                <w:iCs/>
                <w:lang w:val="fr-FR"/>
              </w:rPr>
              <w:t>7.x</w:t>
            </w:r>
            <w:r w:rsidRPr="00967062">
              <w:rPr>
                <w:i/>
                <w:iCs/>
                <w:lang w:val="fr-FR"/>
              </w:rPr>
              <w:tab/>
              <w:t>Scenario y: SBFD scenario 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r>
              <w:rPr>
                <w:lang w:val="en-US"/>
              </w:rPr>
              <w:lastRenderedPageBreak/>
              <w:t>Spreadtrum</w:t>
            </w:r>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528A068B" w14:textId="77777777" w:rsidR="001F4D55" w:rsidRPr="008F561D" w:rsidRDefault="008F561D" w:rsidP="008F561D">
            <w:pPr>
              <w:pStyle w:val="ListParagraph"/>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tc>
      </w:tr>
      <w:tr w:rsidR="00DB1CED" w14:paraId="31E2A964" w14:textId="77777777">
        <w:tc>
          <w:tcPr>
            <w:tcW w:w="1188" w:type="dxa"/>
          </w:tcPr>
          <w:p w14:paraId="25C2B7BC" w14:textId="77777777" w:rsidR="00DB1CED" w:rsidRDefault="00DB1CED" w:rsidP="00DB1CED">
            <w:r>
              <w:t>Huawei, HiSilicon</w:t>
            </w:r>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lastRenderedPageBreak/>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7777777" w:rsidR="00DB1CED" w:rsidRPr="007C6339" w:rsidRDefault="00DB1CED" w:rsidP="00DB1CED">
            <w:pPr>
              <w:jc w:val="both"/>
              <w:rPr>
                <w:lang w:eastAsia="zh-CN"/>
              </w:rPr>
            </w:pPr>
            <w:r>
              <w:rPr>
                <w:lang w:eastAsia="zh-CN"/>
              </w:rPr>
              <w:t>On section 6.2, we are wondering whether intra-gNB CLI (self-interference) should also be included.</w:t>
            </w:r>
          </w:p>
        </w:tc>
      </w:tr>
      <w:tr w:rsidR="00DB1CED" w14:paraId="62BE3EAA" w14:textId="77777777">
        <w:tc>
          <w:tcPr>
            <w:tcW w:w="1188" w:type="dxa"/>
          </w:tcPr>
          <w:p w14:paraId="5F893672" w14:textId="77777777" w:rsidR="00DB1CED" w:rsidRDefault="001F4D0D" w:rsidP="00DB1CED">
            <w:r>
              <w:lastRenderedPageBreak/>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in order to align section 6.1 with the objectives mentioned in the SID. </w:t>
            </w:r>
          </w:p>
          <w:p w14:paraId="0203B187" w14:textId="77777777"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Inter-gNB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tdoc </w:t>
            </w:r>
            <w:hyperlink r:id="rId8" w:history="1">
              <w:r>
                <w:rPr>
                  <w:rStyle w:val="Hyperlink"/>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inter-gNB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 ?</w:t>
            </w:r>
          </w:p>
          <w:p w14:paraId="6D3B8B78" w14:textId="77777777" w:rsidR="004B4511" w:rsidRDefault="004B4511"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Inter-gNB and inter-UE CLI handling schemes</w:t>
            </w:r>
            <w:r>
              <w:t xml:space="preserve"> </w:t>
            </w:r>
          </w:p>
          <w:p w14:paraId="6974ECE8" w14:textId="77777777" w:rsidR="004B4511" w:rsidRDefault="004B4511" w:rsidP="004B4511">
            <w:r>
              <w:t xml:space="preserve">8.1 </w:t>
            </w:r>
            <w:r w:rsidRPr="004B4511">
              <w:t>Inter-gNB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Default="004B4511" w:rsidP="004B4511">
            <w:pPr>
              <w:widowControl w:val="0"/>
              <w:spacing w:after="0"/>
              <w:jc w:val="both"/>
            </w:pPr>
          </w:p>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On chapter 6, we echo with HW’s comments that self-interference should be considered. As self-interference is quite different from inter-gNB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Heading2"/>
            </w:pPr>
            <w:bookmarkStart w:id="15" w:name="_Toc102993887"/>
            <w:r>
              <w:lastRenderedPageBreak/>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lastRenderedPageBreak/>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he gNB-gNB and UE-UE channel models can also be put in a separate section.</w:t>
            </w:r>
          </w:p>
          <w:p w14:paraId="61108126" w14:textId="77777777" w:rsidR="007432F5" w:rsidRDefault="007432F5" w:rsidP="007432F5">
            <w:pPr>
              <w:rPr>
                <w:lang w:eastAsia="zh-CN"/>
              </w:rPr>
            </w:pP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It seems SBFD gNBs with different UL/DL resource patterns are not listed in section 7. Although it may be treated as lower priority, it doesn’t mean this case can not be simulated.</w:t>
            </w:r>
          </w:p>
          <w:p w14:paraId="79731DAC" w14:textId="77777777" w:rsidR="007432F5" w:rsidRDefault="007432F5" w:rsidP="007432F5">
            <w:pPr>
              <w:rPr>
                <w:lang w:eastAsia="zh-CN"/>
              </w:rPr>
            </w:pPr>
          </w:p>
        </w:tc>
      </w:tr>
      <w:tr w:rsidR="00DB1CED" w14:paraId="0D10CD18" w14:textId="77777777">
        <w:tc>
          <w:tcPr>
            <w:tcW w:w="1188" w:type="dxa"/>
          </w:tcPr>
          <w:p w14:paraId="30C2CED9" w14:textId="77777777" w:rsidR="00DB1CED" w:rsidRDefault="00D6009C" w:rsidP="00DB1CED">
            <w:r>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all of proposed </w:t>
            </w:r>
            <w:r w:rsidRPr="00D6009C">
              <w:rPr>
                <w:rFonts w:hint="eastAsia"/>
                <w:lang w:eastAsia="zh-CN"/>
              </w:rPr>
              <w:t>SBFD schemes</w:t>
            </w:r>
            <w:r>
              <w:rPr>
                <w:lang w:eastAsia="zh-CN"/>
              </w:rPr>
              <w:t xml:space="preserve">. We can draw conclusions on </w:t>
            </w:r>
            <w:r>
              <w:t xml:space="preserve">all of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lastRenderedPageBreak/>
              <w:t xml:space="preserve">We have the similar view with spreadtrum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lastRenderedPageBreak/>
              <w:t>MediaTek</w:t>
            </w:r>
          </w:p>
        </w:tc>
        <w:tc>
          <w:tcPr>
            <w:tcW w:w="8443" w:type="dxa"/>
          </w:tcPr>
          <w:p w14:paraId="101A9F0A" w14:textId="77777777" w:rsidR="003959B3" w:rsidRDefault="003959B3" w:rsidP="003959B3">
            <w:pPr>
              <w:pStyle w:val="ListParagraph"/>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6853FC1A" w14:textId="77777777" w:rsidR="003959B3" w:rsidRDefault="003959B3" w:rsidP="003959B3">
            <w:pPr>
              <w:pStyle w:val="ListParagraph"/>
              <w:ind w:left="360"/>
            </w:pPr>
          </w:p>
          <w:p w14:paraId="78FB577F" w14:textId="77777777" w:rsidR="003959B3" w:rsidRDefault="003959B3" w:rsidP="003959B3">
            <w:pPr>
              <w:pStyle w:val="ListParagraph"/>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ListParagraph"/>
              <w:ind w:left="360"/>
            </w:pPr>
          </w:p>
          <w:p w14:paraId="2903FA72" w14:textId="77777777" w:rsidR="003959B3" w:rsidRDefault="003959B3" w:rsidP="003959B3">
            <w:pPr>
              <w:pStyle w:val="ListParagraph"/>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ListParagraph"/>
            </w:pPr>
          </w:p>
          <w:p w14:paraId="0D16AF56" w14:textId="77777777" w:rsidR="003959B3" w:rsidRDefault="003959B3" w:rsidP="003959B3">
            <w:pPr>
              <w:pStyle w:val="ListParagraph"/>
              <w:numPr>
                <w:ilvl w:val="0"/>
                <w:numId w:val="6"/>
              </w:numPr>
            </w:pPr>
            <w:r>
              <w:t xml:space="preserve">Impact to legacy operation: The impact to legacy operation has two parts: </w:t>
            </w:r>
          </w:p>
          <w:p w14:paraId="3A512D8A" w14:textId="77777777" w:rsidR="003959B3" w:rsidRDefault="003959B3" w:rsidP="003959B3">
            <w:pPr>
              <w:pStyle w:val="ListParagraph"/>
            </w:pPr>
          </w:p>
          <w:p w14:paraId="574CE2EB" w14:textId="77777777" w:rsidR="003959B3" w:rsidRDefault="003959B3" w:rsidP="003959B3">
            <w:pPr>
              <w:pStyle w:val="ListParagraph"/>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77816474" w14:textId="3BAA3EC4"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tc>
      </w:tr>
      <w:tr w:rsidR="003959B3" w14:paraId="4CCD3489" w14:textId="77777777">
        <w:tc>
          <w:tcPr>
            <w:tcW w:w="1188" w:type="dxa"/>
          </w:tcPr>
          <w:p w14:paraId="6CB3BB11" w14:textId="15096B9B" w:rsidR="003959B3" w:rsidRDefault="00AC10F7" w:rsidP="003959B3">
            <w:r>
              <w:t>NEC</w:t>
            </w:r>
          </w:p>
        </w:tc>
        <w:tc>
          <w:tcPr>
            <w:tcW w:w="8443" w:type="dxa"/>
          </w:tcPr>
          <w:p w14:paraId="2571D328" w14:textId="1FDB11C9" w:rsidR="00AC10F7" w:rsidRDefault="00AC10F7" w:rsidP="00AC10F7">
            <w:r w:rsidRPr="005F49F6">
              <w:rPr>
                <w:b/>
                <w:bCs/>
                <w:u w:val="single"/>
              </w:rPr>
              <w:t>Comment #1</w:t>
            </w:r>
            <w:r>
              <w:t>: SBFD schemes currently being discussed will have not only CLI impact but also may have impact on different UE physical layer procedures (e.g. for CSI-RS reception, TDD signaling). It would be better if we can also have a sub-section indicating the impact/enhancements on physical layer procedures as follows</w:t>
            </w:r>
          </w:p>
          <w:p w14:paraId="1ABE61B4" w14:textId="77777777" w:rsidR="00AC10F7" w:rsidRPr="00B87C5C" w:rsidRDefault="00AC10F7" w:rsidP="00AC10F7">
            <w:pPr>
              <w:pStyle w:val="Heading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inter-gNB and inter-UE CLI handling schemes, which are captured in a separate section.</w:t>
            </w:r>
          </w:p>
          <w:p w14:paraId="4764E4C3" w14:textId="77777777" w:rsidR="00AC10F7" w:rsidRPr="00B87C5C" w:rsidRDefault="00AC10F7" w:rsidP="00AC10F7">
            <w:pPr>
              <w:pStyle w:val="Heading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Heading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Inter-gNB and inter-UE CLI handling</w:t>
            </w:r>
            <w:bookmarkEnd w:id="18"/>
            <w:r w:rsidRPr="00B87C5C">
              <w:rPr>
                <w:color w:val="FF0000"/>
                <w:sz w:val="24"/>
                <w:szCs w:val="16"/>
              </w:rPr>
              <w:t xml:space="preserve"> schemes</w:t>
            </w:r>
            <w:bookmarkEnd w:id="17"/>
          </w:p>
          <w:p w14:paraId="38A42501"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inter-gNB and inter-UE CLI handling schemes for SBFD, some of the schemes may also be applicable for dynamic/flexible TDD.</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Heading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461C754F" w14:textId="37D5CA47" w:rsidR="003959B3" w:rsidRDefault="00AC10F7" w:rsidP="00AC10F7">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tc>
      </w:tr>
      <w:tr w:rsidR="003959B3" w14:paraId="1BC107EA" w14:textId="77777777">
        <w:tc>
          <w:tcPr>
            <w:tcW w:w="1188" w:type="dxa"/>
          </w:tcPr>
          <w:p w14:paraId="758D8B7A" w14:textId="4E4D5125" w:rsidR="003959B3" w:rsidRDefault="00283F4D" w:rsidP="003959B3">
            <w:r>
              <w:lastRenderedPageBreak/>
              <w:t>Intel</w:t>
            </w:r>
          </w:p>
        </w:tc>
        <w:tc>
          <w:tcPr>
            <w:tcW w:w="8443" w:type="dxa"/>
          </w:tcPr>
          <w:p w14:paraId="6E12D821" w14:textId="77777777" w:rsidR="00C12E82" w:rsidRDefault="00C12E82" w:rsidP="00283F4D">
            <w:r>
              <w:t xml:space="preserve">Thanks for the TR skeleton. </w:t>
            </w:r>
          </w:p>
          <w:p w14:paraId="3E060130" w14:textId="14451F8A" w:rsidR="00283F4D" w:rsidRPr="00267EA0" w:rsidRDefault="00283F4D" w:rsidP="00283F4D">
            <w:pPr>
              <w:rPr>
                <w:lang w:val="en-US"/>
              </w:rPr>
            </w:pPr>
            <w:r w:rsidRPr="00267EA0">
              <w:t xml:space="preserve">A </w:t>
            </w:r>
            <w:r w:rsidR="00680B6A" w:rsidRPr="00267EA0">
              <w:t>few</w:t>
            </w:r>
            <w:r w:rsidRPr="00267EA0">
              <w:t xml:space="preserve"> suggestions from our side:</w:t>
            </w:r>
          </w:p>
          <w:p w14:paraId="41F7AFDA" w14:textId="77777777" w:rsidR="00283F4D" w:rsidRPr="00267EA0" w:rsidRDefault="00283F4D" w:rsidP="00283F4D">
            <w:pPr>
              <w:pStyle w:val="ListParagraph"/>
              <w:numPr>
                <w:ilvl w:val="0"/>
                <w:numId w:val="7"/>
              </w:numPr>
              <w:spacing w:line="252" w:lineRule="auto"/>
            </w:pPr>
            <w:r w:rsidRPr="00267EA0">
              <w:t xml:space="preserve">We support the suggestions to add </w:t>
            </w:r>
            <w:r w:rsidRPr="00267EA0">
              <w:rPr>
                <w:i/>
                <w:iCs/>
                <w:u w:val="single"/>
              </w:rPr>
              <w:t>link budget</w:t>
            </w:r>
            <w:r w:rsidRPr="00267EA0">
              <w:t xml:space="preserve"> and </w:t>
            </w:r>
            <w:r w:rsidRPr="00267EA0">
              <w:rPr>
                <w:i/>
                <w:iCs/>
                <w:u w:val="single"/>
              </w:rPr>
              <w:t>link-level evaluations</w:t>
            </w:r>
            <w:r w:rsidRPr="00267EA0">
              <w:t xml:space="preserve"> in addition to system-level evaluations. </w:t>
            </w:r>
          </w:p>
          <w:p w14:paraId="2460AF67" w14:textId="7D775993" w:rsidR="00475320" w:rsidRPr="00267EA0" w:rsidRDefault="00D550B5" w:rsidP="00475320">
            <w:pPr>
              <w:pStyle w:val="ListParagraph"/>
              <w:numPr>
                <w:ilvl w:val="0"/>
                <w:numId w:val="7"/>
              </w:numPr>
              <w:spacing w:line="252" w:lineRule="auto"/>
            </w:pPr>
            <w:r w:rsidRPr="00267EA0">
              <w:rPr>
                <w:rFonts w:eastAsia="Times New Roman"/>
              </w:rPr>
              <w:t xml:space="preserve">We </w:t>
            </w:r>
            <w:r w:rsidR="00263665" w:rsidRPr="00267EA0">
              <w:rPr>
                <w:rFonts w:eastAsia="Times New Roman"/>
              </w:rPr>
              <w:t>share some of the views above and propose</w:t>
            </w:r>
            <w:r w:rsidR="00AB5262" w:rsidRPr="00267EA0">
              <w:rPr>
                <w:rFonts w:eastAsia="Times New Roman"/>
              </w:rPr>
              <w:t xml:space="preserve"> </w:t>
            </w:r>
            <w:r w:rsidR="00475104" w:rsidRPr="00267EA0">
              <w:rPr>
                <w:rFonts w:eastAsia="Times New Roman"/>
              </w:rPr>
              <w:t xml:space="preserve">have a separate </w:t>
            </w:r>
            <w:r w:rsidR="00243E96" w:rsidRPr="00267EA0">
              <w:rPr>
                <w:rFonts w:eastAsia="Times New Roman"/>
              </w:rPr>
              <w:t>sub-</w:t>
            </w:r>
            <w:r w:rsidR="00475104" w:rsidRPr="00267EA0">
              <w:rPr>
                <w:rFonts w:eastAsia="Times New Roman"/>
              </w:rPr>
              <w:t>section on handling of self-interference</w:t>
            </w:r>
            <w:r w:rsidR="00263665" w:rsidRPr="00267EA0">
              <w:rPr>
                <w:rFonts w:eastAsia="Times New Roman"/>
              </w:rPr>
              <w:t xml:space="preserve"> for SBFD</w:t>
            </w:r>
            <w:r w:rsidR="002D0554" w:rsidRPr="00267EA0">
              <w:rPr>
                <w:rFonts w:eastAsia="Times New Roman"/>
              </w:rPr>
              <w:t xml:space="preserve"> under Section 6</w:t>
            </w:r>
            <w:r w:rsidR="00475320" w:rsidRPr="00267EA0">
              <w:rPr>
                <w:rFonts w:eastAsia="Times New Roman"/>
              </w:rPr>
              <w:t>.</w:t>
            </w:r>
          </w:p>
          <w:p w14:paraId="3E2773CF" w14:textId="77777777" w:rsidR="00475320" w:rsidRPr="00267EA0" w:rsidRDefault="00475320" w:rsidP="00475320">
            <w:pPr>
              <w:pStyle w:val="ListParagraph"/>
              <w:numPr>
                <w:ilvl w:val="0"/>
                <w:numId w:val="7"/>
              </w:numPr>
              <w:spacing w:line="252" w:lineRule="auto"/>
            </w:pPr>
            <w:r w:rsidRPr="00267EA0">
              <w:t xml:space="preserve">A </w:t>
            </w:r>
            <w:r w:rsidR="002C00C4" w:rsidRPr="00267EA0">
              <w:t xml:space="preserve">separate </w:t>
            </w:r>
            <w:r w:rsidRPr="00267EA0">
              <w:t>se</w:t>
            </w:r>
            <w:r w:rsidR="000402B4" w:rsidRPr="00267EA0">
              <w:t>ction or sub-section (possibly under Section</w:t>
            </w:r>
            <w:r w:rsidR="002C00C4" w:rsidRPr="00267EA0">
              <w:t>s</w:t>
            </w:r>
            <w:r w:rsidR="000402B4" w:rsidRPr="00267EA0">
              <w:t xml:space="preserve"> 6</w:t>
            </w:r>
            <w:r w:rsidR="002C00C4" w:rsidRPr="00267EA0">
              <w:t xml:space="preserve"> or 7</w:t>
            </w:r>
            <w:r w:rsidR="000402B4" w:rsidRPr="00267EA0">
              <w:t>)</w:t>
            </w:r>
            <w:r w:rsidR="002C00C4" w:rsidRPr="00267EA0">
              <w:t xml:space="preserve"> on feasiblity of SBFD</w:t>
            </w:r>
            <w:r w:rsidR="000402B4" w:rsidRPr="00267EA0">
              <w:t xml:space="preserve"> should be added</w:t>
            </w:r>
            <w:r w:rsidR="002C00C4" w:rsidRPr="00267EA0">
              <w:t>.</w:t>
            </w:r>
          </w:p>
          <w:p w14:paraId="522CCCFE" w14:textId="2519093A" w:rsidR="002C00C4" w:rsidRDefault="002C00C4" w:rsidP="00475320">
            <w:pPr>
              <w:pStyle w:val="ListParagraph"/>
              <w:numPr>
                <w:ilvl w:val="0"/>
                <w:numId w:val="7"/>
              </w:numPr>
              <w:spacing w:line="252" w:lineRule="auto"/>
            </w:pPr>
            <w:r w:rsidRPr="00267EA0">
              <w:t xml:space="preserve">We do not see any </w:t>
            </w:r>
            <w:r w:rsidR="00606F5C" w:rsidRPr="00267EA0">
              <w:t xml:space="preserve">issue with capturing </w:t>
            </w:r>
            <w:r w:rsidR="00E647C9" w:rsidRPr="00267EA0">
              <w:t xml:space="preserve">inter-gNB and inter-UE CLI handling schemes under both </w:t>
            </w:r>
            <w:r w:rsidR="00E85ED6" w:rsidRPr="00267EA0">
              <w:t>Sections 6 and 8 for SBFD and flexible/dynamic TDD respectively. In the end, if there is no</w:t>
            </w:r>
            <w:r w:rsidR="00C7151C" w:rsidRPr="00267EA0">
              <w:t xml:space="preserve"> distinction between the two, the sub-sections could be merged or cross-referenced as appropriate, but good to have separate </w:t>
            </w:r>
            <w:r w:rsidR="002F1C31" w:rsidRPr="00267EA0">
              <w:t>placeholders since we see new CLI components for SBFD compared to dynamic/flexible TDD</w:t>
            </w:r>
            <w:r w:rsidR="00C7151C" w:rsidRPr="00267EA0">
              <w:t>.</w:t>
            </w:r>
          </w:p>
        </w:tc>
      </w:tr>
      <w:tr w:rsidR="003959B3" w14:paraId="1DD82F9C" w14:textId="77777777">
        <w:tc>
          <w:tcPr>
            <w:tcW w:w="1188" w:type="dxa"/>
          </w:tcPr>
          <w:p w14:paraId="62C78708" w14:textId="1CE5DA4C" w:rsidR="003959B3" w:rsidRDefault="00DB46AB" w:rsidP="003959B3">
            <w:r>
              <w:t>Samsung</w:t>
            </w:r>
          </w:p>
        </w:tc>
        <w:tc>
          <w:tcPr>
            <w:tcW w:w="8443" w:type="dxa"/>
          </w:tcPr>
          <w:p w14:paraId="38F464E2" w14:textId="77777777" w:rsidR="00DB46AB" w:rsidRPr="001B377B" w:rsidRDefault="00DB46AB" w:rsidP="00DB46AB">
            <w:pPr>
              <w:rPr>
                <w:b/>
                <w:bCs/>
                <w:u w:val="single"/>
              </w:rPr>
            </w:pPr>
            <w:r w:rsidRPr="001B377B">
              <w:rPr>
                <w:b/>
                <w:bCs/>
                <w:u w:val="single"/>
              </w:rPr>
              <w:t>Comment 1</w:t>
            </w:r>
            <w:r>
              <w:rPr>
                <w:b/>
                <w:bCs/>
                <w:u w:val="single"/>
              </w:rPr>
              <w:t xml:space="preserve"> (RF feasibility aspects)</w:t>
            </w:r>
          </w:p>
          <w:p w14:paraId="12CF12B0" w14:textId="77777777" w:rsidR="00DB46AB" w:rsidRDefault="00DB46AB" w:rsidP="00DB46AB">
            <w:r>
              <w:t>We prefer to document all RF feasibility aspects (for both SBFD and D-TDD) in Section 10 RF feasibility and impact of RF requirements. Sections 6 SBFD and 8 D-TDD are descriptive and followed by their respective performance evaluation sections 7 and 9. We expect that Section 10 will be largely based on RAN4 input, although many findings from the RAN1 co-channel SLS evaluations will also provide input here. For the rapporteurs, this will make handling text input much easier during the lifetime of the SI and also provide a self-contained analysis of the RF aspects.</w:t>
            </w:r>
          </w:p>
          <w:p w14:paraId="2D0CA296" w14:textId="77777777" w:rsidR="00DB46AB" w:rsidRDefault="00DB46AB" w:rsidP="00DB46AB">
            <w:r>
              <w:t>If needed, we can create separate sub-sections 10.1 RF aspects of SBFD and 10.2 RF aspects of D-TDD.</w:t>
            </w:r>
          </w:p>
          <w:p w14:paraId="58C61441" w14:textId="77777777" w:rsidR="00DB46AB" w:rsidRPr="001B377B" w:rsidRDefault="00DB46AB" w:rsidP="00DB46AB">
            <w:pPr>
              <w:rPr>
                <w:b/>
                <w:bCs/>
                <w:u w:val="single"/>
              </w:rPr>
            </w:pPr>
            <w:r w:rsidRPr="001B377B">
              <w:rPr>
                <w:b/>
                <w:bCs/>
                <w:u w:val="single"/>
              </w:rPr>
              <w:t xml:space="preserve">Comment </w:t>
            </w:r>
            <w:r>
              <w:rPr>
                <w:b/>
                <w:bCs/>
                <w:u w:val="single"/>
              </w:rPr>
              <w:t>2 (LLS)</w:t>
            </w:r>
          </w:p>
          <w:p w14:paraId="4203F18E" w14:textId="77777777" w:rsidR="00DB46AB" w:rsidRDefault="00DB46AB" w:rsidP="00DB46AB">
            <w:pPr>
              <w:rPr>
                <w:lang w:val="en-US"/>
              </w:rPr>
            </w:pPr>
            <w:r>
              <w:rPr>
                <w:lang w:val="en-US"/>
              </w:rPr>
              <w:t>It is too early for us to agree that we create separate sub-sections for LLS and SLS under 7.1 Evaluation methodologies as suggested by some companies. In our view, SLS will be sufficient for D-TDD. For SBFD, we should first agree if LLS are needed in addition to co-/adjacent channel SLS. For purpose of the gNB-side SI performance, we do not see much purpose in conducting LLS. Primary input for RAN1 SLS is the maximum Tx power at which DL transmissions in the SBFD DL SB can be supported while simultaneously receiving UL transmissions in the SBFD UL subband at an acceptable UL sensitivity degradation.</w:t>
            </w:r>
          </w:p>
          <w:p w14:paraId="2C56BCAA" w14:textId="77777777" w:rsidR="00DB46AB" w:rsidRDefault="00DB46AB" w:rsidP="00DB46AB">
            <w:pPr>
              <w:rPr>
                <w:lang w:val="en-US"/>
              </w:rPr>
            </w:pPr>
            <w:r>
              <w:rPr>
                <w:lang w:val="en-US"/>
              </w:rPr>
              <w:t>Similar to the views expressed by Oppo (comment #4), it may be sufficient for now to add to Section 7 in the editor’s note: “</w:t>
            </w:r>
            <w:r w:rsidRPr="006F1555">
              <w:t xml:space="preserve">This section captures the evaluation metrics, description of </w:t>
            </w:r>
            <w:r w:rsidRPr="001D0F1D">
              <w:rPr>
                <w:b/>
                <w:bCs/>
              </w:rPr>
              <w:t xml:space="preserve">SLS </w:t>
            </w:r>
            <w:r>
              <w:rPr>
                <w:b/>
                <w:bCs/>
              </w:rPr>
              <w:t xml:space="preserve">and LLS </w:t>
            </w:r>
            <w:r w:rsidRPr="006F1555">
              <w:t>evaluation methodologies</w:t>
            </w:r>
            <w:r>
              <w:t xml:space="preserve"> where needed</w:t>
            </w:r>
            <w:r w:rsidRPr="006F1555">
              <w:t>, etc</w:t>
            </w:r>
            <w:r w:rsidRPr="006F1555">
              <w:rPr>
                <w:lang w:val="en-US"/>
              </w:rPr>
              <w:t>.</w:t>
            </w:r>
            <w:r>
              <w:rPr>
                <w:lang w:val="en-US"/>
              </w:rPr>
              <w:t>”.</w:t>
            </w:r>
          </w:p>
          <w:p w14:paraId="169084B3" w14:textId="77777777" w:rsidR="00DB46AB" w:rsidRDefault="00DB46AB" w:rsidP="00DB46AB">
            <w:pPr>
              <w:rPr>
                <w:lang w:val="en-US"/>
              </w:rPr>
            </w:pPr>
            <w:r>
              <w:rPr>
                <w:lang w:val="en-US"/>
              </w:rPr>
              <w:t>If we agree that we need LLS in the SBFD evaluation part, then we think that we can follow the proposal made by Ericsson (comment #1).</w:t>
            </w:r>
          </w:p>
          <w:p w14:paraId="413F90AF" w14:textId="77777777" w:rsidR="00DB46AB" w:rsidRPr="001B377B" w:rsidRDefault="00DB46AB" w:rsidP="00DB46AB">
            <w:pPr>
              <w:rPr>
                <w:b/>
                <w:bCs/>
                <w:u w:val="single"/>
              </w:rPr>
            </w:pPr>
            <w:r w:rsidRPr="001B377B">
              <w:rPr>
                <w:b/>
                <w:bCs/>
                <w:u w:val="single"/>
              </w:rPr>
              <w:t xml:space="preserve">Comment </w:t>
            </w:r>
            <w:r>
              <w:rPr>
                <w:b/>
                <w:bCs/>
                <w:u w:val="single"/>
              </w:rPr>
              <w:t>3 (inter-SB CLI modelling)</w:t>
            </w:r>
          </w:p>
          <w:p w14:paraId="3E9E5241" w14:textId="77777777" w:rsidR="00DB46AB" w:rsidRPr="00021514" w:rsidRDefault="00DB46AB" w:rsidP="00DB46AB">
            <w:r>
              <w:t>We expect the detailed description of the inter-SB CLI modelling for the RAN1 SLS to become quite extensive. This part of the evaluation methodology in Section 7.1 may be best placed in a new Annex A.2.</w:t>
            </w:r>
          </w:p>
          <w:p w14:paraId="5AC668CB" w14:textId="77777777" w:rsidR="00DB46AB" w:rsidRPr="001B377B" w:rsidRDefault="00DB46AB" w:rsidP="00DB46AB">
            <w:pPr>
              <w:rPr>
                <w:b/>
                <w:bCs/>
                <w:u w:val="single"/>
              </w:rPr>
            </w:pPr>
            <w:r w:rsidRPr="001B377B">
              <w:rPr>
                <w:b/>
                <w:bCs/>
                <w:u w:val="single"/>
              </w:rPr>
              <w:t xml:space="preserve">Comment </w:t>
            </w:r>
            <w:r>
              <w:rPr>
                <w:b/>
                <w:bCs/>
                <w:u w:val="single"/>
              </w:rPr>
              <w:t>4 (UE-UE and gNB-gNB channel models)</w:t>
            </w:r>
          </w:p>
          <w:p w14:paraId="08AF2424" w14:textId="77777777" w:rsidR="00DB46AB" w:rsidRDefault="00DB46AB" w:rsidP="00DB46AB">
            <w:r>
              <w:t>If we agree to use different BS-BS channel and UE-UE channel models (than R16) for the RAN1 SLS evaluation part, we should place these in new Annex A.1 Channel models with A.1.1 BS-BS and A.1.2 UE-UE.</w:t>
            </w:r>
          </w:p>
          <w:p w14:paraId="420A3E3D" w14:textId="77777777" w:rsidR="00DB46AB" w:rsidRPr="00AC5027" w:rsidRDefault="00DB46AB" w:rsidP="00DB46AB">
            <w:pPr>
              <w:rPr>
                <w:b/>
                <w:bCs/>
                <w:u w:val="single"/>
              </w:rPr>
            </w:pPr>
            <w:r w:rsidRPr="00AC5027">
              <w:rPr>
                <w:b/>
                <w:bCs/>
                <w:u w:val="single"/>
              </w:rPr>
              <w:t>Comment 5 (FR1 vs. FR2)</w:t>
            </w:r>
          </w:p>
          <w:p w14:paraId="1B94283B" w14:textId="1E0276BD" w:rsidR="003959B3" w:rsidRDefault="00DB46AB" w:rsidP="00DB46AB">
            <w:r>
              <w:lastRenderedPageBreak/>
              <w:t>We have no strong views on creating separate sections for FR1 and FR2 evaluation methodology and performance evaluation as proposed by Qualcomm (comment #3). We will follow the preference of the group.</w:t>
            </w:r>
          </w:p>
        </w:tc>
      </w:tr>
      <w:tr w:rsidR="00967062" w14:paraId="2778C6B6" w14:textId="77777777">
        <w:tc>
          <w:tcPr>
            <w:tcW w:w="1188" w:type="dxa"/>
          </w:tcPr>
          <w:p w14:paraId="4DE590E9" w14:textId="41E90707" w:rsidR="00967062" w:rsidRDefault="00967062" w:rsidP="00967062">
            <w:r>
              <w:lastRenderedPageBreak/>
              <w:t>InterDigital</w:t>
            </w:r>
          </w:p>
        </w:tc>
        <w:tc>
          <w:tcPr>
            <w:tcW w:w="8443" w:type="dxa"/>
          </w:tcPr>
          <w:p w14:paraId="23BF5D3A" w14:textId="630F433F" w:rsidR="00967062" w:rsidRDefault="00967062" w:rsidP="00967062">
            <w:r>
              <w:t xml:space="preserve">For study on dynamic/flexible TDD, SLS is sufficient. But, LLS should be separately captured for SBFD study under Section 7, where the </w:t>
            </w:r>
            <w:r w:rsidRPr="00967062">
              <w:rPr>
                <w:b/>
                <w:bCs/>
              </w:rPr>
              <w:t>LLS</w:t>
            </w:r>
            <w:r>
              <w:t xml:space="preserve"> should be conducted based on </w:t>
            </w:r>
            <w:r w:rsidRPr="0066224C">
              <w:rPr>
                <w:b/>
                <w:bCs/>
                <w:u w:val="single"/>
              </w:rPr>
              <w:t>different RB gap values</w:t>
            </w:r>
            <w:r w:rsidRPr="0066224C">
              <w:rPr>
                <w:u w:val="single"/>
              </w:rPr>
              <w:t xml:space="preserve"> (as guard RBs), ranging from 0-RB gap to X-RB gap, between DL subband and UL subband</w:t>
            </w:r>
            <w:r>
              <w:t xml:space="preserve">, </w:t>
            </w:r>
            <w:r w:rsidR="00BF2D06">
              <w:t xml:space="preserve">which is </w:t>
            </w:r>
            <w:r>
              <w:t xml:space="preserve">an essential part </w:t>
            </w:r>
            <w:r w:rsidR="00BF2D06">
              <w:t>of</w:t>
            </w:r>
            <w:r>
              <w:t xml:space="preserve"> the </w:t>
            </w:r>
            <w:r w:rsidR="00BF2D06">
              <w:t xml:space="preserve">new </w:t>
            </w:r>
            <w:r>
              <w:t>SBFD structure which has never been considered in RAN1. Thus, it is obvious that LLS study for SBFD is needed.</w:t>
            </w:r>
          </w:p>
          <w:p w14:paraId="7AF516CE" w14:textId="7F68510F" w:rsidR="00967062" w:rsidRDefault="00967062" w:rsidP="00967062">
            <w:r>
              <w:t xml:space="preserve">Overall, it is important to draw conclusions from the study on how flexible DL/UL subband allocations may affect to the DL/UL performance, as the RB gap is not a fixed configuration (like a guard band) but is a </w:t>
            </w:r>
            <w:r w:rsidRPr="0066224C">
              <w:rPr>
                <w:b/>
                <w:bCs/>
              </w:rPr>
              <w:t>dynamic</w:t>
            </w:r>
            <w:r>
              <w:rPr>
                <w:b/>
                <w:bCs/>
              </w:rPr>
              <w:t>ally</w:t>
            </w:r>
            <w:r w:rsidRPr="0066224C">
              <w:rPr>
                <w:b/>
                <w:bCs/>
              </w:rPr>
              <w:t xml:space="preserve"> varying factor</w:t>
            </w:r>
            <w:r>
              <w:t xml:space="preserve"> in practice depending on gNB’s scheduling decisions, presence of CLI, traffic condition, beam/power-domain condition, etc., which all need to be taken into account during the study.</w:t>
            </w:r>
          </w:p>
        </w:tc>
      </w:tr>
      <w:tr w:rsidR="00625492" w14:paraId="438ABCA6" w14:textId="77777777" w:rsidTr="00625492">
        <w:tc>
          <w:tcPr>
            <w:tcW w:w="1188" w:type="dxa"/>
          </w:tcPr>
          <w:p w14:paraId="45B6150D" w14:textId="22C81C7E" w:rsidR="00625492" w:rsidRDefault="00625492" w:rsidP="00F63FCE">
            <w:r>
              <w:t>Sony</w:t>
            </w:r>
          </w:p>
        </w:tc>
        <w:tc>
          <w:tcPr>
            <w:tcW w:w="8443" w:type="dxa"/>
          </w:tcPr>
          <w:p w14:paraId="7E94A9BD" w14:textId="3084C186" w:rsidR="00625492" w:rsidRDefault="005B18DD" w:rsidP="005B18DD">
            <w:r>
              <w:t>On section 6.2:</w:t>
            </w:r>
          </w:p>
          <w:p w14:paraId="6932D6A7" w14:textId="5AD59DBD" w:rsidR="00625492" w:rsidRDefault="00625492" w:rsidP="00625492">
            <w:pPr>
              <w:ind w:left="284"/>
            </w:pPr>
            <w:r>
              <w:t xml:space="preserve">6.2 </w:t>
            </w:r>
            <w:r w:rsidRPr="00625492">
              <w:t>Inter-gNB and inter-UE CLI handling schemes</w:t>
            </w:r>
          </w:p>
          <w:p w14:paraId="2A5B6B63" w14:textId="36727E22" w:rsidR="00625492" w:rsidRDefault="005B18DD" w:rsidP="00625492">
            <w:r>
              <w:t>As pointed out by others, in subband case, there is also gNB self interference.  Perhaps instead of restricting the title to only inter-gNb and inter-UE CLI we can simply make it more general and insert sub-sections later on, that is we can just call it:</w:t>
            </w:r>
          </w:p>
          <w:p w14:paraId="240151DF" w14:textId="27857BF0" w:rsidR="005B18DD" w:rsidRPr="005B18DD" w:rsidRDefault="005B18DD" w:rsidP="005B18DD">
            <w:pPr>
              <w:ind w:left="284"/>
              <w:rPr>
                <w:b/>
                <w:bCs/>
              </w:rPr>
            </w:pPr>
            <w:r w:rsidRPr="005B18DD">
              <w:rPr>
                <w:b/>
                <w:bCs/>
              </w:rPr>
              <w:t>6.2 Interference Handling</w:t>
            </w:r>
          </w:p>
          <w:p w14:paraId="46F05DEF" w14:textId="5E01A900" w:rsidR="005B18DD" w:rsidRPr="005B18DD" w:rsidRDefault="005B18DD" w:rsidP="005B18DD">
            <w:pPr>
              <w:ind w:left="284"/>
              <w:rPr>
                <w:b/>
                <w:bCs/>
              </w:rPr>
            </w:pPr>
            <w:r w:rsidRPr="005B18DD">
              <w:rPr>
                <w:b/>
                <w:bCs/>
              </w:rPr>
              <w:t>6.2.1 gNB self interference</w:t>
            </w:r>
          </w:p>
          <w:p w14:paraId="00BD540C" w14:textId="22D16E4B" w:rsidR="005B18DD" w:rsidRPr="005B18DD" w:rsidRDefault="005B18DD" w:rsidP="005B18DD">
            <w:pPr>
              <w:ind w:left="284"/>
              <w:rPr>
                <w:b/>
                <w:bCs/>
              </w:rPr>
            </w:pPr>
            <w:r w:rsidRPr="005B18DD">
              <w:rPr>
                <w:b/>
                <w:bCs/>
              </w:rPr>
              <w:t>6.2.2 Inter-gNB CLI</w:t>
            </w:r>
          </w:p>
          <w:p w14:paraId="57810285" w14:textId="2E2E2C87" w:rsidR="005B18DD" w:rsidRPr="005B18DD" w:rsidRDefault="005B18DD" w:rsidP="005B18DD">
            <w:pPr>
              <w:ind w:left="284"/>
              <w:rPr>
                <w:b/>
                <w:bCs/>
              </w:rPr>
            </w:pPr>
            <w:r w:rsidRPr="005B18DD">
              <w:rPr>
                <w:b/>
                <w:bCs/>
              </w:rPr>
              <w:t>6.2.3 Inter-UE CLI</w:t>
            </w:r>
          </w:p>
          <w:p w14:paraId="74A6F17A" w14:textId="71F9D1F5" w:rsidR="00625492" w:rsidRDefault="00625492" w:rsidP="00F63FCE"/>
        </w:tc>
      </w:tr>
      <w:tr w:rsidR="00431315" w14:paraId="37ECECBC" w14:textId="77777777" w:rsidTr="00625492">
        <w:tc>
          <w:tcPr>
            <w:tcW w:w="1188" w:type="dxa"/>
          </w:tcPr>
          <w:p w14:paraId="27E704F6" w14:textId="214EBDBA" w:rsidR="00431315" w:rsidRDefault="00431315" w:rsidP="00431315">
            <w:r>
              <w:t>Apple</w:t>
            </w:r>
          </w:p>
        </w:tc>
        <w:tc>
          <w:tcPr>
            <w:tcW w:w="8443" w:type="dxa"/>
          </w:tcPr>
          <w:p w14:paraId="64D13F91" w14:textId="77777777" w:rsidR="00431315" w:rsidRDefault="00431315" w:rsidP="00431315">
            <w:r>
              <w:t>Thanks for the draft skeleton.</w:t>
            </w:r>
          </w:p>
          <w:p w14:paraId="4A8083F4" w14:textId="77777777" w:rsidR="00431315" w:rsidRDefault="00431315" w:rsidP="00431315">
            <w:r>
              <w:t xml:space="preserve">The evaluation assumptions shall be based on existing UE and gNB, without any new RF requirements, that is what enhancements (in terms of UL coverage, etc) is achievable, if any, by introducing new signalling but without any new RF requirements. That should be the starting point. </w:t>
            </w:r>
          </w:p>
          <w:p w14:paraId="3F52FF28" w14:textId="77777777" w:rsidR="00431315" w:rsidRDefault="00431315" w:rsidP="00431315">
            <w:r>
              <w:t>Any possible solutions shall be justified not only in provided uplink enhancement (coverage, etc), but also identifying (under realistic assumptions) the degradation to legacy victim UEs/gNBs.</w:t>
            </w:r>
          </w:p>
          <w:p w14:paraId="64B61267" w14:textId="6E13815D" w:rsidR="00431315" w:rsidRDefault="00431315" w:rsidP="00431315">
            <w:r>
              <w:t>For LLS, we don’t think RAN1 needs to reinvent the wheel. For any channel (PUSCH as an example), the required SINR to achieve a given BLER for a given code rate (which depends on data rate) is independent of what we discuss here. RAN1 can use the existing “required SINR”s from R17 CovEnh analysis, and Of course “link budget” numbers (not LLS) shall be updated based on self-interference at gNB, inter/intra sub-band CLI, etc. Those added interference numbers have nothing to do with LLS, indeed they come from RAN4 and/or SLS.</w:t>
            </w:r>
          </w:p>
        </w:tc>
      </w:tr>
      <w:tr w:rsidR="00A15DA3" w14:paraId="1869E3EC" w14:textId="77777777" w:rsidTr="00625492">
        <w:tc>
          <w:tcPr>
            <w:tcW w:w="1188" w:type="dxa"/>
          </w:tcPr>
          <w:p w14:paraId="62B7BAD7" w14:textId="4ED8751D" w:rsidR="00A15DA3" w:rsidRDefault="00A15DA3" w:rsidP="00A15DA3">
            <w:r>
              <w:t>Nokia, NSB</w:t>
            </w:r>
          </w:p>
        </w:tc>
        <w:tc>
          <w:tcPr>
            <w:tcW w:w="8443" w:type="dxa"/>
          </w:tcPr>
          <w:p w14:paraId="0217D926" w14:textId="77777777" w:rsidR="00A15DA3" w:rsidRDefault="00A15DA3" w:rsidP="00A15DA3">
            <w:pPr>
              <w:rPr>
                <w:b/>
                <w:bCs/>
              </w:rPr>
            </w:pPr>
            <w:r w:rsidRPr="7E27D20C">
              <w:rPr>
                <w:b/>
                <w:bCs/>
              </w:rPr>
              <w:t>Comment #1:</w:t>
            </w:r>
          </w:p>
          <w:p w14:paraId="67F24A2A" w14:textId="77777777" w:rsidR="00A15DA3" w:rsidRDefault="00A15DA3" w:rsidP="00A15DA3">
            <w:r>
              <w:t>We are in line with companies proposing to include link-budget, link-level and system-level simulation studies sub-sections as they are all relevant for understanding the feasibility of SBFD. For dynamic TDD, link-level and system-level evaluations sub-sections are sufficient.</w:t>
            </w:r>
          </w:p>
          <w:p w14:paraId="7E133F3A" w14:textId="245A5662" w:rsidR="00A15DA3" w:rsidRDefault="00A15DA3" w:rsidP="00A15DA3">
            <w:pPr>
              <w:rPr>
                <w:b/>
                <w:bCs/>
              </w:rPr>
            </w:pPr>
            <w:r>
              <w:t xml:space="preserve"> </w:t>
            </w:r>
            <w:r w:rsidRPr="7E27D20C">
              <w:rPr>
                <w:b/>
                <w:bCs/>
              </w:rPr>
              <w:t>Comment #2:</w:t>
            </w:r>
          </w:p>
          <w:p w14:paraId="436D824A" w14:textId="77777777" w:rsidR="00A15DA3" w:rsidRDefault="00A15DA3" w:rsidP="00A15DA3">
            <w:r>
              <w:t>The SI states the need of coexistence studies:</w:t>
            </w:r>
          </w:p>
          <w:p w14:paraId="5B2C3237" w14:textId="77777777" w:rsidR="00A15DA3" w:rsidRDefault="00A15DA3" w:rsidP="00A15DA3">
            <w:r>
              <w:t>-</w:t>
            </w:r>
            <w:r>
              <w:tab/>
              <w:t>Study the performance of the identified schemes as well as the impact on legacy operation assuming their co-existence in co-channel and adjacent channels (RAN1).</w:t>
            </w:r>
          </w:p>
          <w:p w14:paraId="498F3FF2" w14:textId="77777777" w:rsidR="00A15DA3" w:rsidRDefault="00A15DA3" w:rsidP="00A15DA3">
            <w:r>
              <w:t xml:space="preserve">However, it is also mentioned that the Rel-15 and Rel-16 outcome should be used as reference to avoid repetition. Therefore, we would like to mention that the adjacent-channel co-existence studies </w:t>
            </w:r>
            <w:r>
              <w:lastRenderedPageBreak/>
              <w:t>for dynamic TDD should only be performed if new scenario and/or assumptions are agreed. Otherwise, co-existence studies from previous releases could be re-used.</w:t>
            </w:r>
          </w:p>
          <w:p w14:paraId="4BB4ED7D" w14:textId="77777777" w:rsidR="00A15DA3" w:rsidRDefault="00A15DA3" w:rsidP="00A15DA3">
            <w:pPr>
              <w:rPr>
                <w:b/>
                <w:bCs/>
              </w:rPr>
            </w:pPr>
            <w:r w:rsidRPr="43D2D92A">
              <w:rPr>
                <w:b/>
                <w:bCs/>
              </w:rPr>
              <w:t>Comment #3:</w:t>
            </w:r>
          </w:p>
          <w:p w14:paraId="7707BFA1" w14:textId="77777777" w:rsidR="00A15DA3" w:rsidRDefault="00A15DA3" w:rsidP="00A15DA3">
            <w:r>
              <w:t xml:space="preserve">As mentioned in the SI objectives, the feasibility aspects of SBFD and dynamic TDD should be captured in Sections 6 and 8 respectively. Section 10 can cover detail of RF aspects. </w:t>
            </w:r>
          </w:p>
          <w:p w14:paraId="281193E9" w14:textId="59CCE42C" w:rsidR="00A15DA3" w:rsidRDefault="00A15DA3" w:rsidP="00A15DA3">
            <w:pPr>
              <w:rPr>
                <w:b/>
                <w:bCs/>
              </w:rPr>
            </w:pPr>
            <w:r>
              <w:t xml:space="preserve"> </w:t>
            </w:r>
            <w:r w:rsidRPr="7E27D20C">
              <w:rPr>
                <w:b/>
                <w:bCs/>
              </w:rPr>
              <w:t>Comment #4:</w:t>
            </w:r>
          </w:p>
          <w:p w14:paraId="456411B5" w14:textId="77777777" w:rsidR="00A15DA3" w:rsidRDefault="00A15DA3" w:rsidP="00A15DA3">
            <w:r>
              <w:t xml:space="preserve">Modelling of the new types of interference in SBFD are key to understand the feasibility of SBFD. Thus, we suggest including a separate section for this. </w:t>
            </w:r>
          </w:p>
          <w:p w14:paraId="747AF2D8" w14:textId="38B0C4BE" w:rsidR="00A15DA3" w:rsidRDefault="00A15DA3" w:rsidP="00A15DA3">
            <w:pPr>
              <w:rPr>
                <w:b/>
                <w:bCs/>
              </w:rPr>
            </w:pPr>
            <w:r>
              <w:t xml:space="preserve"> </w:t>
            </w:r>
            <w:r w:rsidRPr="7E27D20C">
              <w:rPr>
                <w:b/>
                <w:bCs/>
              </w:rPr>
              <w:t>Comment #5:</w:t>
            </w:r>
          </w:p>
          <w:p w14:paraId="2BC32F46" w14:textId="77777777" w:rsidR="00A15DA3" w:rsidRDefault="00A15DA3" w:rsidP="00A15DA3">
            <w:r>
              <w:t>Agree with Huawei and Xiaomi on highlighting the importance of the self-interference component (intra gNB CLI) on SBFD. Therefore, we suggest having a separate sub-section under Section 6 for the gNB self-interference.</w:t>
            </w:r>
          </w:p>
          <w:p w14:paraId="6BE55EFC" w14:textId="70789060" w:rsidR="00A15DA3" w:rsidRDefault="00A15DA3" w:rsidP="00A15DA3">
            <w:pPr>
              <w:rPr>
                <w:b/>
                <w:bCs/>
              </w:rPr>
            </w:pPr>
            <w:r>
              <w:t xml:space="preserve"> </w:t>
            </w:r>
            <w:r w:rsidRPr="7E27D20C">
              <w:rPr>
                <w:b/>
                <w:bCs/>
              </w:rPr>
              <w:t>Comment #6:</w:t>
            </w:r>
          </w:p>
          <w:p w14:paraId="5979D25F" w14:textId="77777777" w:rsidR="00A15DA3" w:rsidRDefault="00A15DA3" w:rsidP="00A15DA3">
            <w:r>
              <w:t>Agree with Qualcomm and others on having separate sub-sections for FR1 and FR2 evaluations for SBFD (Section 7) and dynamic TDD (Section 9).</w:t>
            </w:r>
          </w:p>
          <w:p w14:paraId="5891A69B" w14:textId="77777777" w:rsidR="00A15DA3" w:rsidRPr="00071BB3" w:rsidRDefault="00A15DA3" w:rsidP="00A15DA3">
            <w:pPr>
              <w:rPr>
                <w:b/>
                <w:bCs/>
              </w:rPr>
            </w:pPr>
            <w:r w:rsidRPr="00071BB3">
              <w:rPr>
                <w:b/>
                <w:bCs/>
              </w:rPr>
              <w:t>Comment #7:</w:t>
            </w:r>
          </w:p>
          <w:p w14:paraId="66B176FA" w14:textId="77777777" w:rsidR="00A15DA3" w:rsidRDefault="00A15DA3" w:rsidP="00A15DA3">
            <w:r>
              <w:t>For the section 7 and 9, instead of having separate sections for each scenario, we prefer to keep this as part of evaluation assumption. Agreed evaluation scenarios during RAN1#109 can be first included as sub-sections of 7.1 or 9.1. We can come back for the scenario part with any agreement on the evaluation assumption. Following is the example of the section structure.</w:t>
            </w:r>
          </w:p>
          <w:p w14:paraId="412E3986" w14:textId="77777777" w:rsidR="00A15DA3" w:rsidRDefault="00A15DA3" w:rsidP="00A15DA3">
            <w:r>
              <w:t>7.1 Evaluation assumption (including scenarios)</w:t>
            </w:r>
          </w:p>
          <w:p w14:paraId="700C9A4D" w14:textId="1C7DCCC6" w:rsidR="00A15DA3" w:rsidRDefault="00A15DA3" w:rsidP="00A15DA3">
            <w:r>
              <w:t>7.2 Evaluation results</w:t>
            </w:r>
            <w:r>
              <w:t xml:space="preserve"> (fine with what Huawei proposed)</w:t>
            </w:r>
          </w:p>
          <w:p w14:paraId="3D87A8F7" w14:textId="77777777" w:rsidR="00A15DA3" w:rsidRDefault="00A15DA3" w:rsidP="00A15DA3"/>
        </w:tc>
      </w:tr>
      <w:tr w:rsidR="00A15DA3" w14:paraId="797049D5" w14:textId="77777777" w:rsidTr="00625492">
        <w:tc>
          <w:tcPr>
            <w:tcW w:w="1188" w:type="dxa"/>
          </w:tcPr>
          <w:p w14:paraId="1611BEDD" w14:textId="77777777" w:rsidR="00A15DA3" w:rsidRDefault="00A15DA3" w:rsidP="00A15DA3"/>
        </w:tc>
        <w:tc>
          <w:tcPr>
            <w:tcW w:w="8443" w:type="dxa"/>
          </w:tcPr>
          <w:p w14:paraId="41D3E7CC" w14:textId="77777777" w:rsidR="00A15DA3" w:rsidRDefault="00A15DA3" w:rsidP="00A15DA3"/>
        </w:tc>
      </w:tr>
    </w:tbl>
    <w:p w14:paraId="6F155FF9" w14:textId="77777777" w:rsidR="001F4D55" w:rsidRDefault="001F4D55">
      <w:pPr>
        <w:ind w:left="567" w:hanging="567"/>
        <w:rPr>
          <w:u w:val="single"/>
          <w:lang w:val="en-US"/>
        </w:rPr>
      </w:pPr>
    </w:p>
    <w:p w14:paraId="220FBC0F" w14:textId="77777777" w:rsidR="001F4D55" w:rsidRDefault="0026544B">
      <w:pPr>
        <w:pStyle w:val="Heading1"/>
        <w:ind w:left="431" w:firstLine="0"/>
        <w:jc w:val="both"/>
        <w:rPr>
          <w:lang w:val="en-US"/>
        </w:rPr>
      </w:pPr>
      <w:r>
        <w:rPr>
          <w:lang w:val="en-US"/>
        </w:rPr>
        <w:t>References</w:t>
      </w:r>
      <w:bookmarkStart w:id="21" w:name="_Ref450735844"/>
      <w:bookmarkStart w:id="22" w:name="_Ref450342757"/>
      <w:bookmarkStart w:id="23" w:name="_Ref457730460"/>
    </w:p>
    <w:p w14:paraId="50AE54CE" w14:textId="77777777" w:rsidR="001F4D55" w:rsidRDefault="0026544B">
      <w:pPr>
        <w:pStyle w:val="ListParagraph"/>
        <w:numPr>
          <w:ilvl w:val="0"/>
          <w:numId w:val="4"/>
        </w:numPr>
        <w:spacing w:after="0" w:line="240" w:lineRule="auto"/>
        <w:contextualSpacing w:val="0"/>
        <w:rPr>
          <w:lang w:eastAsia="ko-KR"/>
        </w:rPr>
      </w:pPr>
      <w:bookmarkStart w:id="24" w:name="_Ref102202366"/>
      <w:bookmarkEnd w:id="21"/>
      <w:bookmarkEnd w:id="22"/>
      <w:bookmarkEnd w:id="23"/>
      <w:r>
        <w:rPr>
          <w:lang w:eastAsia="ko-KR"/>
        </w:rPr>
        <w:t>RP-213591, New SI: Study on evolution of NR duplex operation, CMCC</w:t>
      </w:r>
      <w:bookmarkEnd w:id="24"/>
    </w:p>
    <w:p w14:paraId="4AF83602" w14:textId="77777777" w:rsidR="001F4D55" w:rsidRDefault="0026544B">
      <w:pPr>
        <w:pStyle w:val="ListParagraph"/>
        <w:numPr>
          <w:ilvl w:val="0"/>
          <w:numId w:val="4"/>
        </w:numPr>
        <w:spacing w:after="0" w:line="240" w:lineRule="auto"/>
        <w:contextualSpacing w:val="0"/>
        <w:rPr>
          <w:lang w:eastAsia="ko-KR"/>
        </w:rPr>
      </w:pPr>
      <w:bookmarkStart w:id="25" w:name="_Ref102202373"/>
      <w:r>
        <w:rPr>
          <w:lang w:eastAsia="ko-KR"/>
        </w:rPr>
        <w:t>RP-220633, Revised SID: Study on evolution of NR duplex operation, CMCC</w:t>
      </w:r>
      <w:bookmarkEnd w:id="25"/>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1BB7" w14:textId="77777777" w:rsidR="00511B3C" w:rsidRDefault="00511B3C">
      <w:pPr>
        <w:spacing w:after="0"/>
      </w:pPr>
      <w:r>
        <w:separator/>
      </w:r>
    </w:p>
  </w:endnote>
  <w:endnote w:type="continuationSeparator" w:id="0">
    <w:p w14:paraId="3D33FAB5" w14:textId="77777777" w:rsidR="00511B3C" w:rsidRDefault="00511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449C" w14:textId="77777777" w:rsidR="00511B3C" w:rsidRDefault="00511B3C">
      <w:pPr>
        <w:spacing w:after="0"/>
      </w:pPr>
      <w:r>
        <w:separator/>
      </w:r>
    </w:p>
  </w:footnote>
  <w:footnote w:type="continuationSeparator" w:id="0">
    <w:p w14:paraId="7F69A6D1" w14:textId="77777777" w:rsidR="00511B3C" w:rsidRDefault="00511B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맑은 고딕"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02B4"/>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5C41"/>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3E96"/>
    <w:rsid w:val="00244A43"/>
    <w:rsid w:val="00245107"/>
    <w:rsid w:val="00245706"/>
    <w:rsid w:val="00245A40"/>
    <w:rsid w:val="0024610F"/>
    <w:rsid w:val="0024661A"/>
    <w:rsid w:val="00246819"/>
    <w:rsid w:val="00247C3F"/>
    <w:rsid w:val="002503F9"/>
    <w:rsid w:val="002507D1"/>
    <w:rsid w:val="00250AE3"/>
    <w:rsid w:val="00250CD2"/>
    <w:rsid w:val="00250D21"/>
    <w:rsid w:val="00250DD8"/>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665"/>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67EA0"/>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3F4D"/>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3F01"/>
    <w:rsid w:val="002949EE"/>
    <w:rsid w:val="00295183"/>
    <w:rsid w:val="002954A5"/>
    <w:rsid w:val="00295A24"/>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00C4"/>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554"/>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C31"/>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15"/>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50CB0"/>
    <w:rsid w:val="00450D94"/>
    <w:rsid w:val="004515CE"/>
    <w:rsid w:val="00451965"/>
    <w:rsid w:val="00451C35"/>
    <w:rsid w:val="00452C97"/>
    <w:rsid w:val="004538BC"/>
    <w:rsid w:val="00453D0E"/>
    <w:rsid w:val="004550B0"/>
    <w:rsid w:val="004550F4"/>
    <w:rsid w:val="00455E6D"/>
    <w:rsid w:val="004601B2"/>
    <w:rsid w:val="00460278"/>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04"/>
    <w:rsid w:val="004751BC"/>
    <w:rsid w:val="00475320"/>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3C"/>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8DD"/>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6F5C"/>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549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4C97"/>
    <w:rsid w:val="00675EAD"/>
    <w:rsid w:val="00675F94"/>
    <w:rsid w:val="0067647F"/>
    <w:rsid w:val="00677AB3"/>
    <w:rsid w:val="00677E94"/>
    <w:rsid w:val="006803AA"/>
    <w:rsid w:val="00680A59"/>
    <w:rsid w:val="00680B6A"/>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4ED"/>
    <w:rsid w:val="00963654"/>
    <w:rsid w:val="009636B2"/>
    <w:rsid w:val="009640E6"/>
    <w:rsid w:val="00965529"/>
    <w:rsid w:val="0096554A"/>
    <w:rsid w:val="00966285"/>
    <w:rsid w:val="009668D2"/>
    <w:rsid w:val="00966DD8"/>
    <w:rsid w:val="00967062"/>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5DA3"/>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262"/>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5E6"/>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D06"/>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2E82"/>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151C"/>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0B5"/>
    <w:rsid w:val="00D55EA4"/>
    <w:rsid w:val="00D5668D"/>
    <w:rsid w:val="00D56E7D"/>
    <w:rsid w:val="00D57172"/>
    <w:rsid w:val="00D578BE"/>
    <w:rsid w:val="00D57972"/>
    <w:rsid w:val="00D57D69"/>
    <w:rsid w:val="00D6009C"/>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6AB"/>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16F2"/>
    <w:rsid w:val="00DF2AC8"/>
    <w:rsid w:val="00DF2B1F"/>
    <w:rsid w:val="00DF2BE1"/>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7C9"/>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5ED6"/>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autoSpaceDE w:val="0"/>
      <w:autoSpaceDN w:val="0"/>
      <w:adjustRightInd w:val="0"/>
      <w:spacing w:after="120"/>
      <w:jc w:val="both"/>
    </w:pPr>
    <w:rPr>
      <w:rFonts w:ascii="Arial" w:hAnsi="Arial"/>
      <w:lang w:val="en-US" w:eastAsia="zh-CN"/>
    </w:rPr>
  </w:style>
  <w:style w:type="paragraph" w:styleId="Caption">
    <w:name w:val="caption"/>
    <w:basedOn w:val="Normal"/>
    <w:next w:val="Normal"/>
    <w:link w:val="CaptionChar"/>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563C1"/>
      <w:u w:val="single"/>
    </w:r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列表段落"/>
    <w:basedOn w:val="Normal"/>
    <w:link w:val="ListParagraphChar"/>
    <w:uiPriority w:val="34"/>
    <w:qFormat/>
    <w:pPr>
      <w:spacing w:line="254" w:lineRule="auto"/>
      <w:ind w:left="720"/>
      <w:contextualSpacing/>
    </w:pPr>
    <w:rPr>
      <w:rFonts w:ascii="Times"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HeaderChar">
    <w:name w:val="Header Char"/>
    <w:link w:val="Header"/>
    <w:qFormat/>
    <w:rPr>
      <w:rFonts w:ascii="Arial" w:hAnsi="Arial"/>
      <w:b/>
      <w:sz w:val="18"/>
      <w:lang w:val="en-GB" w:eastAsia="ja-JP"/>
    </w:rPr>
  </w:style>
  <w:style w:type="character" w:customStyle="1" w:styleId="BodyTextChar">
    <w:name w:val="Body Text Char"/>
    <w:basedOn w:val="DefaultParagraphFont"/>
    <w:link w:val="BodyText"/>
    <w:qFormat/>
    <w:rPr>
      <w:rFonts w:ascii="Arial" w:hAnsi="Arial"/>
      <w:lang w:val="en-US" w:eastAsia="zh-CN"/>
    </w:rPr>
  </w:style>
  <w:style w:type="character" w:customStyle="1" w:styleId="10">
    <w:name w:val="@他1"/>
    <w:basedOn w:val="DefaultParagraphFont"/>
    <w:uiPriority w:val="99"/>
    <w:unhideWhenUsed/>
    <w:qFormat/>
    <w:rPr>
      <w:color w:val="2B579A"/>
      <w:shd w:val="clear" w:color="auto" w:fill="E1DFDD"/>
    </w:rPr>
  </w:style>
  <w:style w:type="table" w:customStyle="1" w:styleId="1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aptionChar">
    <w:name w:val="Caption Char"/>
    <w:link w:val="Caption"/>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Normal"/>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Heading2Char">
    <w:name w:val="Heading 2 Char"/>
    <w:basedOn w:val="DefaultParagraphFont"/>
    <w:link w:val="Heading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47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4208</Words>
  <Characters>22475</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Yuk, Youngsoo (Nokia - KR/Seoul)</cp:lastModifiedBy>
  <cp:revision>2</cp:revision>
  <cp:lastPrinted>2020-05-14T06:07:00Z</cp:lastPrinted>
  <dcterms:created xsi:type="dcterms:W3CDTF">2022-05-10T17:24:00Z</dcterms:created>
  <dcterms:modified xsi:type="dcterms:W3CDTF">2022-05-10T17:24:00Z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