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331A50">
      <w:pPr>
        <w:pStyle w:val="af3"/>
        <w:numPr>
          <w:ilvl w:val="1"/>
          <w:numId w:val="5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A34843">
      <w:pPr>
        <w:pStyle w:val="af3"/>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A34843">
      <w:pPr>
        <w:pStyle w:val="af3"/>
        <w:numPr>
          <w:ilvl w:val="0"/>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A34843">
      <w:pPr>
        <w:pStyle w:val="af3"/>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A34843">
      <w:pPr>
        <w:pStyle w:val="af3"/>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A34843">
      <w:pPr>
        <w:pStyle w:val="af3"/>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A34843">
      <w:pPr>
        <w:pStyle w:val="af3"/>
        <w:numPr>
          <w:ilvl w:val="1"/>
          <w:numId w:val="5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0B6FA00E" w14:textId="7C3D43D6" w:rsidR="00573E0F" w:rsidRPr="00573E0F" w:rsidRDefault="00573E0F" w:rsidP="00A34843">
      <w:pPr>
        <w:rPr>
          <w:rFonts w:ascii="Times New Roman" w:hAnsi="Times New Roman" w:cs="Times New Roman"/>
          <w:sz w:val="18"/>
          <w:szCs w:val="18"/>
        </w:rPr>
      </w:pPr>
    </w:p>
    <w:p w14:paraId="1338032F" w14:textId="1C3D1C20"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On unified TCI framework extension for multi-DCI based MTRP, consider the following alternatives for TCI state update and study whether or not the single-DCI MTRP solution is applicable also to multi-DCI MTRP</w:t>
      </w:r>
    </w:p>
    <w:p w14:paraId="66DECCB5" w14:textId="77777777" w:rsidR="00573E0F" w:rsidRPr="00573E0F" w:rsidRDefault="00573E0F" w:rsidP="00A34843">
      <w:pPr>
        <w:pStyle w:val="af3"/>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C602329"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5F31827B"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967976E"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66291C45"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522E5D94"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5064800C" w14:textId="77777777" w:rsidR="00573E0F" w:rsidRPr="00573E0F" w:rsidRDefault="00573E0F" w:rsidP="00A34843">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Until RAN1#110, investigate the possibility to have one solution for sDCI and mDCI mTRP</w:t>
      </w:r>
    </w:p>
    <w:p w14:paraId="652BA06B" w14:textId="334A9D8C"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A34843">
      <w:pPr>
        <w:pStyle w:val="af3"/>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C5D8DC3" w14:textId="0D912B2A" w:rsidR="00573E0F" w:rsidRDefault="00573E0F" w:rsidP="00A34843">
      <w:pPr>
        <w:rPr>
          <w:rFonts w:ascii="Times New Roman" w:hAnsi="Times New Roman" w:cs="Times New Roman"/>
          <w:sz w:val="18"/>
          <w:szCs w:val="18"/>
          <w:lang w:val="en-GB"/>
        </w:rPr>
      </w:pPr>
    </w:p>
    <w:p w14:paraId="4ACCF861" w14:textId="3347A67E"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2</w:t>
      </w:r>
      <w:r w:rsidRPr="00BB5EB5">
        <w:rPr>
          <w:rFonts w:cs="Times New Roman"/>
          <w:b w:val="0"/>
          <w:bCs w:val="0"/>
          <w:sz w:val="18"/>
          <w:szCs w:val="18"/>
        </w:rPr>
        <w:t xml:space="preserve">: </w:t>
      </w:r>
      <w:bookmarkStart w:id="3"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3"/>
      <w:r w:rsidRPr="00A34843">
        <w:rPr>
          <w:rFonts w:cs="Times New Roman"/>
          <w:b w:val="0"/>
          <w:bCs w:val="0"/>
          <w:strike/>
          <w:color w:val="FF0000"/>
          <w:sz w:val="18"/>
          <w:szCs w:val="18"/>
        </w:rPr>
        <w:t xml:space="preserve"> </w:t>
      </w:r>
      <w:r w:rsidRPr="00573E0F">
        <w:rPr>
          <w:rFonts w:cs="Times New Roman"/>
          <w:b w:val="0"/>
          <w:bCs w:val="0"/>
          <w:sz w:val="18"/>
          <w:szCs w:val="18"/>
        </w:rPr>
        <w:t xml:space="preserve">and </w:t>
      </w:r>
      <w:r w:rsidRPr="00573E0F">
        <w:rPr>
          <w:rFonts w:cs="Times New Roman"/>
          <w:b w:val="0"/>
          <w:bCs w:val="0"/>
          <w:color w:val="FF0000"/>
          <w:sz w:val="18"/>
          <w:szCs w:val="18"/>
        </w:rPr>
        <w:t xml:space="preserve">investigate the possibility to have one solution for </w:t>
      </w:r>
      <w:r>
        <w:rPr>
          <w:rFonts w:cs="Times New Roman"/>
          <w:b w:val="0"/>
          <w:bCs w:val="0"/>
          <w:color w:val="FF0000"/>
          <w:sz w:val="18"/>
          <w:szCs w:val="18"/>
        </w:rPr>
        <w:t>S-</w:t>
      </w:r>
      <w:r w:rsidRPr="00573E0F">
        <w:rPr>
          <w:rFonts w:cs="Times New Roman"/>
          <w:b w:val="0"/>
          <w:bCs w:val="0"/>
          <w:color w:val="FF0000"/>
          <w:sz w:val="18"/>
          <w:szCs w:val="18"/>
        </w:rPr>
        <w:t xml:space="preserve">DCI and </w:t>
      </w:r>
      <w:r>
        <w:rPr>
          <w:rFonts w:cs="Times New Roman"/>
          <w:b w:val="0"/>
          <w:bCs w:val="0"/>
          <w:color w:val="FF0000"/>
          <w:sz w:val="18"/>
          <w:szCs w:val="18"/>
        </w:rPr>
        <w:t>M-</w:t>
      </w:r>
      <w:r w:rsidRPr="00573E0F">
        <w:rPr>
          <w:rFonts w:cs="Times New Roman"/>
          <w:b w:val="0"/>
          <w:bCs w:val="0"/>
          <w:color w:val="FF0000"/>
          <w:sz w:val="18"/>
          <w:szCs w:val="18"/>
        </w:rPr>
        <w:t xml:space="preserve">DCI </w:t>
      </w:r>
      <w:r>
        <w:rPr>
          <w:rFonts w:cs="Times New Roman"/>
          <w:b w:val="0"/>
          <w:bCs w:val="0"/>
          <w:color w:val="FF0000"/>
          <w:sz w:val="18"/>
          <w:szCs w:val="18"/>
        </w:rPr>
        <w:t>based M-</w:t>
      </w:r>
      <w:r w:rsidRPr="00573E0F">
        <w:rPr>
          <w:rFonts w:cs="Times New Roman"/>
          <w:b w:val="0"/>
          <w:bCs w:val="0"/>
          <w:color w:val="FF0000"/>
          <w:sz w:val="18"/>
          <w:szCs w:val="18"/>
        </w:rPr>
        <w:t>TRP</w:t>
      </w:r>
    </w:p>
    <w:p w14:paraId="34617229"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4"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14:paraId="19656F54"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5"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5"/>
    </w:p>
    <w:p w14:paraId="636CBA96"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新細明體" w:hAnsi="新細明體"/>
          <w:color w:val="000000"/>
          <w:sz w:val="18"/>
          <w:szCs w:val="18"/>
        </w:rPr>
      </w:pPr>
      <w:bookmarkStart w:id="6"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6"/>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1676CE62" w:rsidR="00573E0F" w:rsidRPr="00B622E9" w:rsidRDefault="00573E0F" w:rsidP="00A34843">
      <w:pPr>
        <w:rPr>
          <w:rFonts w:ascii="Times New Roman" w:hAnsi="Times New Roman" w:cs="Times New Roman"/>
          <w:sz w:val="18"/>
          <w:szCs w:val="18"/>
        </w:rPr>
      </w:pPr>
    </w:p>
    <w:bookmarkEnd w:id="2"/>
    <w:p w14:paraId="7AB81F60" w14:textId="76588C03" w:rsidR="003C2A01" w:rsidRPr="00BA0F19"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Pr>
          <w:rFonts w:cs="Times New Roman"/>
          <w:b w:val="0"/>
          <w:bCs w:val="0"/>
          <w:color w:val="FF0000"/>
          <w:sz w:val="18"/>
          <w:szCs w:val="18"/>
        </w:rPr>
        <w:t>select</w:t>
      </w:r>
      <w:r>
        <w:rPr>
          <w:rFonts w:cs="Times New Roman"/>
          <w:b w:val="0"/>
          <w:bCs w:val="0"/>
          <w:color w:val="000000" w:themeColor="text1"/>
          <w:sz w:val="18"/>
          <w:szCs w:val="18"/>
        </w:rPr>
        <w:t xml:space="preserve"> </w:t>
      </w:r>
      <w:r w:rsidRPr="00EA42E8">
        <w:rPr>
          <w:rFonts w:cs="Times New Roman"/>
          <w:b w:val="0"/>
          <w:bCs w:val="0"/>
          <w:color w:val="000000" w:themeColor="text1"/>
          <w:sz w:val="18"/>
          <w:szCs w:val="18"/>
        </w:rPr>
        <w:t>one or two</w:t>
      </w:r>
      <w:r>
        <w:rPr>
          <w:rFonts w:cs="Times New Roman"/>
          <w:b w:val="0"/>
          <w:bCs w:val="0"/>
          <w:color w:val="000000" w:themeColor="text1"/>
          <w:sz w:val="18"/>
          <w:szCs w:val="18"/>
        </w:rPr>
        <w:t xml:space="preserve"> </w:t>
      </w:r>
      <w:r w:rsidRPr="003C2A01">
        <w:rPr>
          <w:rFonts w:cs="Times New Roman"/>
          <w:b w:val="0"/>
          <w:bCs w:val="0"/>
          <w:color w:val="FF0000"/>
          <w:sz w:val="18"/>
          <w:szCs w:val="18"/>
        </w:rPr>
        <w:t>joint/DL TCI states</w:t>
      </w:r>
      <w:r>
        <w:rPr>
          <w:rFonts w:cs="Times New Roman"/>
          <w:b w:val="0"/>
          <w:bCs w:val="0"/>
          <w:color w:val="FF0000"/>
          <w:sz w:val="18"/>
          <w:szCs w:val="18"/>
        </w:rPr>
        <w:t xml:space="preserve"> from the two</w:t>
      </w:r>
      <w:r>
        <w:rPr>
          <w:rFonts w:cs="Times New Roman"/>
          <w:b w:val="0"/>
          <w:bCs w:val="0"/>
          <w:color w:val="FF0000"/>
          <w:sz w:val="18"/>
          <w:szCs w:val="18"/>
        </w:rPr>
        <w:t xml:space="preserve"> </w:t>
      </w:r>
      <w:r w:rsidRPr="003C2A01">
        <w:rPr>
          <w:rFonts w:cs="Times New Roman"/>
          <w:b w:val="0"/>
          <w:bCs w:val="0"/>
          <w:color w:val="FF0000"/>
          <w:sz w:val="18"/>
          <w:szCs w:val="18"/>
        </w:rPr>
        <w:t xml:space="preserve">indicated joint/DL TCI states </w:t>
      </w:r>
      <w:r w:rsidRPr="00FC38BF">
        <w:rPr>
          <w:rFonts w:cs="Times New Roman"/>
          <w:b w:val="0"/>
          <w:bCs w:val="0"/>
          <w:color w:val="FF0000"/>
          <w:sz w:val="18"/>
          <w:szCs w:val="18"/>
        </w:rPr>
        <w:t xml:space="preserve">for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Pr="00BA0F19">
        <w:rPr>
          <w:rFonts w:cs="Times New Roman"/>
          <w:b w:val="0"/>
          <w:bCs w:val="0"/>
          <w:color w:val="000000" w:themeColor="text1"/>
          <w:sz w:val="18"/>
          <w:szCs w:val="18"/>
        </w:rPr>
        <w:t>:</w:t>
      </w:r>
    </w:p>
    <w:p w14:paraId="0498A33C" w14:textId="3E0041A8" w:rsidR="003C2A01" w:rsidRPr="00BD7B24" w:rsidRDefault="003C2A01" w:rsidP="003C2A01">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Pr="00942652">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selection</w:t>
      </w:r>
    </w:p>
    <w:p w14:paraId="6EBAE3ED" w14:textId="2AE39988" w:rsidR="003C2A01" w:rsidRPr="00EA42E8"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Pr="00942652">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w:t>
      </w:r>
      <w:r w:rsidRPr="003C2A01">
        <w:rPr>
          <w:rFonts w:ascii="Times New Roman" w:hAnsi="Times New Roman" w:cs="Times New Roman"/>
          <w:color w:val="FF0000"/>
          <w:sz w:val="18"/>
          <w:szCs w:val="18"/>
          <w:lang w:val="en-GB"/>
        </w:rPr>
        <w:t>selection</w:t>
      </w:r>
      <w:r>
        <w:rPr>
          <w:rFonts w:ascii="Times New Roman" w:eastAsia="新細明體" w:hAnsi="Times New Roman" w:cs="Times New Roman" w:hint="eastAsia"/>
          <w:color w:val="000000" w:themeColor="text1"/>
          <w:sz w:val="18"/>
          <w:szCs w:val="18"/>
          <w:lang w:val="en-GB" w:eastAsia="zh-TW"/>
        </w:rPr>
        <w:t xml:space="preserve"> </w:t>
      </w:r>
    </w:p>
    <w:p w14:paraId="12C6DE9B" w14:textId="424F6B0D" w:rsidR="003C2A01" w:rsidRPr="00BB6E63"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w:t>
      </w:r>
      <w:r w:rsidRPr="003C2A01">
        <w:rPr>
          <w:rFonts w:ascii="Times New Roman" w:hAnsi="Times New Roman" w:cs="Times New Roman"/>
          <w:color w:val="FF0000"/>
          <w:sz w:val="18"/>
          <w:szCs w:val="18"/>
          <w:lang w:val="en-GB"/>
        </w:rPr>
        <w:t>selection</w:t>
      </w:r>
    </w:p>
    <w:p w14:paraId="72569C2C" w14:textId="77777777" w:rsidR="003C2A01" w:rsidRPr="00BB6E63" w:rsidRDefault="003C2A01" w:rsidP="003C2A0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737A52">
        <w:rPr>
          <w:rFonts w:ascii="Times New Roman" w:hAnsi="Times New Roman" w:cs="Times New Roman"/>
          <w:color w:val="000000" w:themeColor="text1"/>
          <w:sz w:val="18"/>
          <w:szCs w:val="18"/>
          <w:lang w:val="en-GB"/>
        </w:rPr>
        <w:t xml:space="preserve">, </w:t>
      </w:r>
      <w:r w:rsidR="00737A52" w:rsidRPr="00737A52">
        <w:rPr>
          <w:rFonts w:ascii="Times New Roman" w:hAnsi="Times New Roman" w:cs="Times New Roman"/>
          <w:color w:val="FF0000"/>
          <w:sz w:val="18"/>
          <w:szCs w:val="18"/>
          <w:lang w:val="en-GB"/>
        </w:rPr>
        <w:t>when two joint/DL TCI states are selected for the corresponding PDSCH reception</w:t>
      </w:r>
      <w:r>
        <w:rPr>
          <w:rFonts w:ascii="Times New Roman" w:hAnsi="Times New Roman" w:cs="Times New Roman"/>
          <w:color w:val="000000" w:themeColor="text1"/>
          <w:sz w:val="18"/>
          <w:szCs w:val="18"/>
          <w:lang w:val="en-GB"/>
        </w:rPr>
        <w:t>,</w:t>
      </w:r>
      <w:r w:rsidR="00737A52">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Pr="00A739F8">
        <w:rPr>
          <w:rFonts w:ascii="Times New Roman" w:hAnsi="Times New Roman" w:cs="Times New Roman"/>
          <w:color w:val="FF0000"/>
          <w:sz w:val="18"/>
          <w:szCs w:val="18"/>
          <w:lang w:val="en-GB"/>
        </w:rPr>
        <w:t xml:space="preserve">two selected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hint="eastAsia"/>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f3"/>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w:t>
      </w:r>
      <w:r w:rsidR="003A23FD">
        <w:rPr>
          <w:rFonts w:ascii="Times New Roman" w:eastAsia="新細明體" w:hAnsi="Times New Roman" w:cs="Times New Roman"/>
          <w:color w:val="000000" w:themeColor="text1"/>
          <w:sz w:val="18"/>
          <w:szCs w:val="20"/>
          <w:lang w:eastAsia="zh-TW"/>
        </w:rPr>
        <w:t xml:space="preserve">hether to increase the </w:t>
      </w:r>
      <w:r w:rsidR="00DB3F8A">
        <w:rPr>
          <w:rFonts w:ascii="Times New Roman" w:eastAsia="新細明體" w:hAnsi="Times New Roman" w:cs="Times New Roman"/>
          <w:color w:val="000000" w:themeColor="text1"/>
          <w:sz w:val="18"/>
          <w:szCs w:val="20"/>
          <w:lang w:eastAsia="zh-TW"/>
        </w:rPr>
        <w:t>max</w:t>
      </w:r>
      <w:r w:rsidR="003A23FD">
        <w:rPr>
          <w:rFonts w:ascii="Times New Roman" w:eastAsia="新細明體" w:hAnsi="Times New Roman" w:cs="Times New Roman"/>
          <w:color w:val="000000" w:themeColor="text1"/>
          <w:sz w:val="18"/>
          <w:szCs w:val="20"/>
          <w:lang w:eastAsia="zh-TW"/>
        </w:rPr>
        <w:t xml:space="preserve"> number of configured TCI states in </w:t>
      </w:r>
      <w:r w:rsidR="00D91B22">
        <w:rPr>
          <w:rFonts w:ascii="Times New Roman" w:eastAsia="新細明體" w:hAnsi="Times New Roman" w:cs="Times New Roman"/>
          <w:color w:val="000000" w:themeColor="text1"/>
          <w:sz w:val="18"/>
          <w:szCs w:val="20"/>
          <w:lang w:eastAsia="zh-TW"/>
        </w:rPr>
        <w:t>the</w:t>
      </w:r>
      <w:r w:rsidR="003A23FD">
        <w:rPr>
          <w:rFonts w:ascii="Times New Roman" w:eastAsia="新細明體" w:hAnsi="Times New Roman" w:cs="Times New Roman"/>
          <w:color w:val="000000" w:themeColor="text1"/>
          <w:sz w:val="18"/>
          <w:szCs w:val="20"/>
          <w:lang w:eastAsia="zh-TW"/>
        </w:rPr>
        <w:t xml:space="preserve"> joint/DL TCI state list </w:t>
      </w:r>
      <w:r w:rsidR="00D91B22">
        <w:rPr>
          <w:rFonts w:ascii="Times New Roman" w:eastAsia="新細明體" w:hAnsi="Times New Roman" w:cs="Times New Roman"/>
          <w:color w:val="000000" w:themeColor="text1"/>
          <w:sz w:val="18"/>
          <w:szCs w:val="20"/>
          <w:lang w:eastAsia="zh-TW"/>
        </w:rPr>
        <w:t>and the</w:t>
      </w:r>
      <w:r w:rsidR="003A23FD">
        <w:rPr>
          <w:rFonts w:ascii="Times New Roman" w:eastAsia="新細明體"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af3"/>
              <w:numPr>
                <w:ilvl w:val="0"/>
                <w:numId w:val="45"/>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7EC72F6" w14:textId="7EA42330" w:rsidR="002E7EEE" w:rsidRPr="00F569B9" w:rsidRDefault="002E7EEE" w:rsidP="002E7EEE">
            <w:pPr>
              <w:pStyle w:val="af3"/>
              <w:numPr>
                <w:ilvl w:val="0"/>
                <w:numId w:val="45"/>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w:t>
            </w:r>
            <w:r w:rsidR="0012241A">
              <w:rPr>
                <w:rFonts w:ascii="Times New Roman" w:eastAsia="新細明體"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af3"/>
              <w:numPr>
                <w:ilvl w:val="0"/>
                <w:numId w:val="4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
          <w:p w14:paraId="7D99F4C1" w14:textId="6A65A392" w:rsidR="00B64B88" w:rsidRPr="00B64B88" w:rsidRDefault="00B64B88" w:rsidP="00B64B88">
            <w:pPr>
              <w:pStyle w:val="af3"/>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TCIs; </w:t>
            </w:r>
          </w:p>
          <w:p w14:paraId="5564C250" w14:textId="6180C7A6" w:rsidR="00FC38BF" w:rsidRPr="00B64B88" w:rsidRDefault="00B64B88" w:rsidP="00916C74">
            <w:pPr>
              <w:pStyle w:val="af3"/>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one or 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新細明體"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hint="eastAsia"/>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hint="eastAsia"/>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87974C4" w14:textId="0C07AD34" w:rsidR="00E85F41" w:rsidRPr="003C2A01" w:rsidRDefault="003C2A01" w:rsidP="00E85F41">
            <w:pPr>
              <w:snapToGrid w:val="0"/>
              <w:rPr>
                <w:rFonts w:ascii="Times New Roman" w:hAnsi="Times New Roman" w:cs="Times New Roman" w:hint="eastAsia"/>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7" w:name="_Hlk102142298"/>
      <w:r>
        <w:rPr>
          <w:rFonts w:ascii="Times New Roman" w:eastAsia="新細明體" w:hAnsi="Times New Roman"/>
          <w:sz w:val="28"/>
          <w:lang w:val="en-US" w:eastAsia="zh-TW"/>
        </w:rPr>
        <w:t>Issue 3 – Beam reporting and beam failure recovery</w:t>
      </w:r>
    </w:p>
    <w:bookmarkEnd w:id="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If STxMP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263786" w:rsidRDefault="00263786" w:rsidP="00263786">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263786" w:rsidRDefault="00263786" w:rsidP="00263786">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8"/>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xiaomi</w:t>
      </w:r>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InterDigital,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Huawei, HiSilicon</w:t>
      </w:r>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Spreadtrum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CEWiT</w:t>
      </w:r>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Considerations on unified TCI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On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Extension of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Transsion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F9605" w14:textId="77777777" w:rsidR="00EE41DE" w:rsidRDefault="00EE41DE" w:rsidP="000F62EA">
      <w:r>
        <w:separator/>
      </w:r>
    </w:p>
  </w:endnote>
  <w:endnote w:type="continuationSeparator" w:id="0">
    <w:p w14:paraId="1C8340C3" w14:textId="77777777" w:rsidR="00EE41DE" w:rsidRDefault="00EE41D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5B41A" w14:textId="77777777" w:rsidR="00EE41DE" w:rsidRDefault="00EE41DE" w:rsidP="000F62EA">
      <w:r>
        <w:separator/>
      </w:r>
    </w:p>
  </w:footnote>
  <w:footnote w:type="continuationSeparator" w:id="0">
    <w:p w14:paraId="707FB532" w14:textId="77777777" w:rsidR="00EE41DE" w:rsidRDefault="00EE41DE"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31B1BF3"/>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6B254DB"/>
    <w:multiLevelType w:val="hybridMultilevel"/>
    <w:tmpl w:val="33049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6"/>
  </w:num>
  <w:num w:numId="6">
    <w:abstractNumId w:val="13"/>
  </w:num>
  <w:num w:numId="7">
    <w:abstractNumId w:val="46"/>
  </w:num>
  <w:num w:numId="8">
    <w:abstractNumId w:val="42"/>
  </w:num>
  <w:num w:numId="9">
    <w:abstractNumId w:val="2"/>
  </w:num>
  <w:num w:numId="10">
    <w:abstractNumId w:val="25"/>
  </w:num>
  <w:num w:numId="11">
    <w:abstractNumId w:val="41"/>
  </w:num>
  <w:num w:numId="12">
    <w:abstractNumId w:val="30"/>
  </w:num>
  <w:num w:numId="13">
    <w:abstractNumId w:val="14"/>
  </w:num>
  <w:num w:numId="14">
    <w:abstractNumId w:val="29"/>
  </w:num>
  <w:num w:numId="15">
    <w:abstractNumId w:val="27"/>
  </w:num>
  <w:num w:numId="16">
    <w:abstractNumId w:val="49"/>
  </w:num>
  <w:num w:numId="17">
    <w:abstractNumId w:val="4"/>
  </w:num>
  <w:num w:numId="18">
    <w:abstractNumId w:val="48"/>
  </w:num>
  <w:num w:numId="19">
    <w:abstractNumId w:val="43"/>
  </w:num>
  <w:num w:numId="20">
    <w:abstractNumId w:val="3"/>
  </w:num>
  <w:num w:numId="21">
    <w:abstractNumId w:val="26"/>
  </w:num>
  <w:num w:numId="22">
    <w:abstractNumId w:val="28"/>
  </w:num>
  <w:num w:numId="23">
    <w:abstractNumId w:val="44"/>
  </w:num>
  <w:num w:numId="24">
    <w:abstractNumId w:val="17"/>
  </w:num>
  <w:num w:numId="25">
    <w:abstractNumId w:val="21"/>
  </w:num>
  <w:num w:numId="26">
    <w:abstractNumId w:val="1"/>
  </w:num>
  <w:num w:numId="27">
    <w:abstractNumId w:val="38"/>
  </w:num>
  <w:num w:numId="28">
    <w:abstractNumId w:val="37"/>
  </w:num>
  <w:num w:numId="29">
    <w:abstractNumId w:val="5"/>
  </w:num>
  <w:num w:numId="30">
    <w:abstractNumId w:val="34"/>
  </w:num>
  <w:num w:numId="31">
    <w:abstractNumId w:val="35"/>
  </w:num>
  <w:num w:numId="32">
    <w:abstractNumId w:val="19"/>
  </w:num>
  <w:num w:numId="33">
    <w:abstractNumId w:val="11"/>
  </w:num>
  <w:num w:numId="34">
    <w:abstractNumId w:val="40"/>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9"/>
  </w:num>
  <w:num w:numId="44">
    <w:abstractNumId w:val="41"/>
  </w:num>
  <w:num w:numId="45">
    <w:abstractNumId w:val="45"/>
  </w:num>
  <w:num w:numId="46">
    <w:abstractNumId w:val="41"/>
  </w:num>
  <w:num w:numId="47">
    <w:abstractNumId w:val="8"/>
  </w:num>
  <w:num w:numId="48">
    <w:abstractNumId w:val="10"/>
  </w:num>
  <w:num w:numId="49">
    <w:abstractNumId w:val="7"/>
  </w:num>
  <w:num w:numId="50">
    <w:abstractNumId w:val="6"/>
  </w:num>
  <w:num w:numId="51">
    <w:abstractNumId w:val="21"/>
  </w:num>
  <w:num w:numId="52">
    <w:abstractNumId w:val="10"/>
  </w:num>
  <w:num w:numId="53">
    <w:abstractNumId w:val="33"/>
  </w:num>
  <w:num w:numId="54">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4188</Words>
  <Characters>23872</Characters>
  <Application>Microsoft Office Word</Application>
  <DocSecurity>0</DocSecurity>
  <Lines>198</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2</cp:revision>
  <dcterms:created xsi:type="dcterms:W3CDTF">2022-05-19T03:24:00Z</dcterms:created>
  <dcterms:modified xsi:type="dcterms:W3CDTF">2022-05-19T03:24:00Z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